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83FA17A-A301-4DD7-9CCA-2BF9FCCC7A38"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OZNÁMENIE KOMISIE EURÓPSKEMU PARLAMENTU A RADE</w:t>
      </w:r>
    </w:p>
    <w:p>
      <w:pPr>
        <w:pStyle w:val="Titreobjet"/>
        <w:rPr>
          <w:noProof/>
        </w:rPr>
      </w:pPr>
      <w:r>
        <w:rPr>
          <w:noProof/>
        </w:rPr>
        <w:t xml:space="preserve">Smerom k lepšiemu vykonávaniu rámca EÚ pre boj proti praniu špinavých peňazí a financovaniu terorizmu </w:t>
      </w:r>
      <w:r>
        <w:rPr>
          <w:noProof/>
        </w:rPr>
        <w:br/>
      </w:r>
      <w:r>
        <w:rPr>
          <w:noProof/>
        </w:rPr>
        <w:br/>
      </w:r>
    </w:p>
    <w:p>
      <w:pPr>
        <w:pStyle w:val="Heading1"/>
      </w:pPr>
      <w:r>
        <w:t>Úvod</w:t>
      </w:r>
    </w:p>
    <w:p>
      <w:pPr>
        <w:spacing w:before="120" w:after="120" w:line="240" w:lineRule="auto"/>
        <w:jc w:val="both"/>
        <w:rPr>
          <w:rFonts w:ascii="Times New Roman" w:hAnsi="Times New Roman"/>
          <w:noProof/>
          <w:sz w:val="24"/>
        </w:rPr>
      </w:pPr>
      <w:r>
        <w:rPr>
          <w:rFonts w:ascii="Times New Roman" w:hAnsi="Times New Roman"/>
          <w:noProof/>
          <w:sz w:val="24"/>
        </w:rPr>
        <w:t>Riziká prania špinavých peňazí a financovania terorizmu naďalej predstavujú závažný problém z hľadiska integrity finančného systému Únie a bezpečnosti jej občanov. Podľa zistení Europolu</w:t>
      </w:r>
      <w:r>
        <w:rPr>
          <w:rFonts w:ascii="Times New Roman" w:hAnsi="Times New Roman"/>
          <w:noProof/>
          <w:sz w:val="24"/>
          <w:vertAlign w:val="superscript"/>
        </w:rPr>
        <w:footnoteReference w:id="1"/>
      </w:r>
      <w:r>
        <w:rPr>
          <w:rFonts w:ascii="Times New Roman" w:hAnsi="Times New Roman"/>
          <w:noProof/>
          <w:sz w:val="24"/>
        </w:rPr>
        <w:t xml:space="preserve"> sa až 0,7 – 1,28 % ročného hrubého domáceho produktu Európskej únie (EÚ) „využíva pri podozrivých finančných činnostiach“</w:t>
      </w:r>
      <w:r>
        <w:rPr>
          <w:rFonts w:ascii="Times New Roman" w:hAnsi="Times New Roman"/>
          <w:noProof/>
          <w:sz w:val="24"/>
          <w:vertAlign w:val="superscript"/>
        </w:rPr>
        <w:footnoteReference w:id="2"/>
      </w:r>
      <w:r>
        <w:rPr>
          <w:rFonts w:ascii="Times New Roman" w:hAnsi="Times New Roman"/>
          <w:noProof/>
          <w:sz w:val="24"/>
        </w:rPr>
        <w:t>. Boj proti praniu špinavých peňazí a financovaniu terorizmu je preto pre Úniu dôležitou prioritou a súčasťou budovania bezpečnostnej únie.</w:t>
      </w:r>
    </w:p>
    <w:p>
      <w:pPr>
        <w:spacing w:before="120" w:after="120" w:line="240" w:lineRule="auto"/>
        <w:jc w:val="both"/>
        <w:rPr>
          <w:rFonts w:ascii="Times New Roman" w:hAnsi="Times New Roman"/>
          <w:noProof/>
          <w:sz w:val="24"/>
        </w:rPr>
      </w:pPr>
      <w:r>
        <w:rPr>
          <w:rFonts w:ascii="Times New Roman" w:hAnsi="Times New Roman"/>
          <w:noProof/>
          <w:sz w:val="24"/>
        </w:rPr>
        <w:t>Únia v priebehu času vytvorila pevný regulačný rámec na predchádzanie praniu špinavých peňazí a financovaniu terorizmu v súlade s medzinárodnými normami prijatými Finančnou akčnou skupinou. Je potrebné, aby tento regulačný rámec držal krok so zvyšujúcou sa integráciou finančných tokov na vnútornom trhu, meniacimi sa trendmi, technologickým vývojom a vynaliezavosťou páchateľov trestnej činnosti pri využívaní nedostatkov a medzier v systéme.</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V tomto oznámení sa uvádza zhrnutie súboru správ týkajúcich sa právneho rámca Únie na predchádzanie praniu špinavých peňazí a financovaniu terorizmu a jeho vykonávania. Sprievodným dokumentom k tomuto oznámeniu je dvojročné nadnárodné hodnotenie rizík</w:t>
      </w:r>
      <w:r>
        <w:rPr>
          <w:rFonts w:ascii="Times New Roman" w:hAnsi="Times New Roman"/>
          <w:noProof/>
          <w:sz w:val="24"/>
          <w:vertAlign w:val="superscript"/>
        </w:rPr>
        <w:footnoteReference w:id="3"/>
      </w:r>
      <w:r>
        <w:rPr>
          <w:rFonts w:ascii="Times New Roman" w:hAnsi="Times New Roman"/>
          <w:noProof/>
          <w:sz w:val="24"/>
        </w:rPr>
        <w:t>, vypracované Komisiou, zamerané na riziká prania špinavých peňazí a financovania terorizmu, ktorým čelí vnútorný trh Únie, posúdenie nedávnych prípadov údajného prania špinavých peňazí týkajúcich sa úverových inštitúcií EÚ, ako aj správa o spolupráci medzi finančnými spravodajskými jednotkami</w:t>
      </w:r>
      <w:r>
        <w:rPr>
          <w:rFonts w:ascii="Times New Roman" w:hAnsi="Times New Roman"/>
          <w:noProof/>
          <w:sz w:val="24"/>
          <w:vertAlign w:val="superscript"/>
        </w:rPr>
        <w:footnoteReference w:id="4"/>
      </w:r>
      <w:r>
        <w:rPr>
          <w:rFonts w:ascii="Times New Roman" w:hAnsi="Times New Roman"/>
          <w:noProof/>
          <w:sz w:val="24"/>
        </w:rPr>
        <w:t xml:space="preserve"> a správa o prepojení vnútroštátnych centralizovaných automatizovaných mechanizmov členských štátov v oblasti bankových účtov</w:t>
      </w:r>
      <w:r>
        <w:rPr>
          <w:rFonts w:ascii="Times New Roman" w:hAnsi="Times New Roman"/>
          <w:noProof/>
          <w:sz w:val="24"/>
          <w:vertAlign w:val="superscript"/>
        </w:rPr>
        <w:footnoteReference w:id="5"/>
      </w:r>
      <w:r>
        <w:rPr>
          <w:rFonts w:ascii="Times New Roman" w:hAnsi="Times New Roman"/>
          <w:noProof/>
          <w:sz w:val="24"/>
        </w:rPr>
        <w:t>.</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Účelom zistení uvedených v tomto oznámení a v dnes prijatých správach je poskytnúť informácie pre diskusiu o tom, ako by sa mohol ďalej zlepšiť rámec pre boj proti praniu špinavých peňazí/financovaniu terorizmu, a poskytnúť základ pre ďalšie diskusie s príslušnými zainteresovanými stranami.</w:t>
      </w:r>
    </w:p>
    <w:p>
      <w:pPr>
        <w:pStyle w:val="Heading1"/>
      </w:pPr>
      <w:r>
        <w:t>Kontext: Vývoj právneho rámca k súčasnému stavu</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 xml:space="preserve">Únia za posledné roky zásadným spôsobom posilnila svoj právny rámec pre boj proti praniu špinavých peňazí a financovaniu terorizmu. V máji 2015 bola prijatá štvrtá </w:t>
      </w:r>
      <w:r>
        <w:rPr>
          <w:rFonts w:ascii="Times New Roman" w:hAnsi="Times New Roman"/>
          <w:noProof/>
          <w:sz w:val="24"/>
        </w:rPr>
        <w:lastRenderedPageBreak/>
        <w:t>smernica o boji proti praniu špinavých peňazí</w:t>
      </w:r>
      <w:r>
        <w:rPr>
          <w:rFonts w:ascii="Times New Roman" w:hAnsi="Times New Roman"/>
          <w:noProof/>
          <w:sz w:val="24"/>
          <w:vertAlign w:val="superscript"/>
        </w:rPr>
        <w:footnoteReference w:id="6"/>
      </w:r>
      <w:r>
        <w:rPr>
          <w:rFonts w:ascii="Times New Roman" w:hAnsi="Times New Roman"/>
          <w:noProof/>
          <w:sz w:val="24"/>
        </w:rPr>
        <w:t>, ktorú členské štáty mali transponovať do júna 2017</w:t>
      </w:r>
      <w:r>
        <w:rPr>
          <w:rStyle w:val="FootnoteReference"/>
          <w:rFonts w:ascii="Times New Roman" w:hAnsi="Times New Roman"/>
          <w:noProof/>
          <w:sz w:val="24"/>
        </w:rPr>
        <w:footnoteReference w:id="7"/>
      </w:r>
      <w:r>
        <w:rPr>
          <w:rFonts w:ascii="Times New Roman" w:hAnsi="Times New Roman"/>
          <w:noProof/>
          <w:sz w:val="24"/>
        </w:rPr>
        <w:t>.</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V apríli 2018 bola ako súčasť akčného plánu na posilnenie boja proti financovaniu terorizmu, prijatého vo februári 2016</w:t>
      </w:r>
      <w:r>
        <w:rPr>
          <w:rFonts w:ascii="Times New Roman" w:hAnsi="Times New Roman"/>
          <w:noProof/>
          <w:sz w:val="24"/>
          <w:vertAlign w:val="superscript"/>
        </w:rPr>
        <w:footnoteReference w:id="8"/>
      </w:r>
      <w:r>
        <w:rPr>
          <w:rFonts w:ascii="Times New Roman" w:hAnsi="Times New Roman"/>
          <w:noProof/>
          <w:sz w:val="24"/>
        </w:rPr>
        <w:t>, a v reakcii na odhalenia v rámci aféry Panama Papers v apríli 2016 prijatá piata smernica o boji proti praniu špinavých peňazí</w:t>
      </w:r>
      <w:r>
        <w:rPr>
          <w:rFonts w:ascii="Times New Roman" w:hAnsi="Times New Roman"/>
          <w:noProof/>
          <w:sz w:val="24"/>
          <w:vertAlign w:val="superscript"/>
        </w:rPr>
        <w:footnoteReference w:id="9"/>
      </w:r>
      <w:r>
        <w:rPr>
          <w:rFonts w:ascii="Times New Roman" w:hAnsi="Times New Roman"/>
          <w:noProof/>
          <w:sz w:val="24"/>
        </w:rPr>
        <w:t>, ktorú majú členské štáty transponovať do svojich vnútroštátnych právnych poriadkov do januára 2020. Touto revíziou sa zvyšuje transparentnosť informácií o konečných užívateľoch výhod, finančným spravodajským jednotkám sa poskytuje širší prístup k informáciám, podporuje sa spolupráca medzi orgánmi dohľadu a regulujú sa virtuálne meny a predplatené karty s cieľom lepšie predchádzať financovaniu terorizmu.</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Pokiaľ ide o finančný sektor, na základe nových pravidiel o výmene a poskytovaní informácií by sa mala výrazne zlepšiť spolupráca medzi orgánmi prudenciálneho dohľadu a orgánmi dohľadu v oblasti boja proti praniu špinavých peňazí/financovaniu terorizmu</w:t>
      </w:r>
      <w:r>
        <w:rPr>
          <w:rFonts w:ascii="Times New Roman" w:hAnsi="Times New Roman"/>
          <w:noProof/>
          <w:sz w:val="24"/>
          <w:vertAlign w:val="superscript"/>
        </w:rPr>
        <w:footnoteReference w:id="10"/>
      </w:r>
      <w:r>
        <w:rPr>
          <w:rFonts w:ascii="Times New Roman" w:hAnsi="Times New Roman"/>
          <w:noProof/>
          <w:sz w:val="24"/>
        </w:rPr>
        <w:t xml:space="preserve"> a zároveň by sa mala posilniť úloha Európskeho orgánu pre bankovníctvo pri zabezpečovaní dodržiavania pravidiel Únie a podporovaní spolupráce v otázkach spojených s bojom proti praniu špinavých peňazí a financovaniu terorizmu.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Tento preventívny rámec ďalej dopĺňa smernica 2018/1673 o boji proti praniu špinavých peňazí prostredníctvom trestného práva</w:t>
      </w:r>
      <w:r>
        <w:rPr>
          <w:rFonts w:ascii="Times New Roman" w:hAnsi="Times New Roman"/>
          <w:noProof/>
          <w:sz w:val="24"/>
          <w:vertAlign w:val="superscript"/>
        </w:rPr>
        <w:footnoteReference w:id="11"/>
      </w:r>
      <w:r>
        <w:rPr>
          <w:rFonts w:ascii="Times New Roman" w:hAnsi="Times New Roman"/>
          <w:noProof/>
          <w:sz w:val="24"/>
        </w:rPr>
        <w:t xml:space="preserve"> tým, že sa v nej harmonizuje vymedzenie trestného činu prania špinavých peňazí a súvisiace sankcie. Smernica nadobudla účinnosť v decembri 2018 a členské štáty ju majú transponovať do decembra 2020.</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Smernica 2019/1153, ktorou sa uľahčuje využívanie finančných a iných informácií</w:t>
      </w:r>
      <w:r>
        <w:rPr>
          <w:rStyle w:val="FootnoteReference"/>
          <w:rFonts w:ascii="Times New Roman" w:hAnsi="Times New Roman"/>
          <w:noProof/>
          <w:sz w:val="24"/>
        </w:rPr>
        <w:footnoteReference w:id="12"/>
      </w:r>
      <w:r>
        <w:rPr>
          <w:rFonts w:ascii="Times New Roman" w:hAnsi="Times New Roman"/>
          <w:noProof/>
          <w:sz w:val="24"/>
        </w:rPr>
        <w:t>, predstavuje ďalšie posilnenie právneho rámca trestného práva, pretože sa ňou orgánom presadzovania práva umožňuje získať rýchlejší prístup k finančným informáciám a podporuje sa ňou výmena finančných informácií medzi orgánmi presadzovania práva a finančnými spravodajskými jednotkami. Smernica nadobudne účinnosť v auguste 2019 a členské štáty ju budú musieť transponovať do augusta 2021.</w:t>
      </w:r>
    </w:p>
    <w:p>
      <w:pPr>
        <w:pStyle w:val="Heading1"/>
      </w:pPr>
      <w:r>
        <w:lastRenderedPageBreak/>
        <w:t>Riziká spojené s praním špinavých peňazí a financovaním terorizmu a oblasti vyžadujúce zlepšenie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Napriek nedávnemu posilneniu legislatívneho rámca stále pretrvávajú určité výzvy. Komisia dnes zverejňuje sériu správ, v ktorých sa hodnotia riziká a identifikujú oblasti vyžadujúce zlepšenie.</w:t>
      </w:r>
    </w:p>
    <w:p>
      <w:pPr>
        <w:pStyle w:val="ListParagraph"/>
        <w:numPr>
          <w:ilvl w:val="0"/>
          <w:numId w:val="4"/>
        </w:num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Hodnotenie rizík, ktoré majú vplyv na Úniu</w:t>
      </w:r>
    </w:p>
    <w:p>
      <w:pPr>
        <w:spacing w:after="120" w:line="240" w:lineRule="auto"/>
        <w:jc w:val="both"/>
        <w:rPr>
          <w:rFonts w:ascii="Times New Roman" w:hAnsi="Times New Roman"/>
          <w:noProof/>
          <w:sz w:val="24"/>
        </w:rPr>
      </w:pPr>
      <w:r>
        <w:rPr>
          <w:rFonts w:ascii="Times New Roman" w:hAnsi="Times New Roman"/>
          <w:noProof/>
          <w:sz w:val="24"/>
        </w:rPr>
        <w:t xml:space="preserve">Komisia v prvom rade predkladá </w:t>
      </w:r>
      <w:r>
        <w:rPr>
          <w:rFonts w:ascii="Times New Roman" w:hAnsi="Times New Roman"/>
          <w:b/>
          <w:noProof/>
          <w:sz w:val="24"/>
        </w:rPr>
        <w:t>nadnárodné hodnotenie rizík</w:t>
      </w:r>
      <w:r>
        <w:rPr>
          <w:rFonts w:ascii="Times New Roman" w:hAnsi="Times New Roman"/>
          <w:noProof/>
          <w:sz w:val="24"/>
        </w:rPr>
        <w:t xml:space="preserve"> zamerané na riziká prania špinavých peňazí a financovania terorizmu, ktoré majú vplyv na vnútorný trh Únie a súvisia s cezhraničnou činnosťou, ako sa vyžaduje v článku 6 štvrtej smernice o praní špinavých peňazí. Aktualizuje sa ním prvé nadnárodné hodnotenie rizík prijaté v roku 2017</w:t>
      </w:r>
      <w:r>
        <w:rPr>
          <w:rFonts w:ascii="Times New Roman" w:hAnsi="Times New Roman"/>
          <w:noProof/>
          <w:sz w:val="24"/>
          <w:vertAlign w:val="superscript"/>
        </w:rPr>
        <w:footnoteReference w:id="13"/>
      </w:r>
      <w:r>
        <w:rPr>
          <w:rFonts w:ascii="Times New Roman" w:hAnsi="Times New Roman"/>
          <w:noProof/>
          <w:sz w:val="24"/>
        </w:rPr>
        <w:t xml:space="preserve"> a nadväzuje sa v ňom na odporúčania adresované aktérom zapojeným do boja proti praniu špinavých peňazí a financovaniu terorizmu</w:t>
      </w:r>
      <w:r>
        <w:rPr>
          <w:rFonts w:ascii="Times New Roman" w:hAnsi="Times New Roman"/>
          <w:noProof/>
          <w:sz w:val="24"/>
          <w:vertAlign w:val="superscript"/>
        </w:rPr>
        <w:footnoteReference w:id="14"/>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Zo správy vyplýva, že jednotliví aktéri vykonali väčšinu odporúčaní z prvého nadnárodného hodnotenia rizík. Zároveň pretrvávajú niektoré horizontálne zraniteľné miesta, konkrétne miesta týkajúce sa anonymných produktov, určovania konečných užívateľov výhod a nových neregulovaných produktov, ako sú napríklad virtuálne aktíva. Očakáva sa, že niektoré z nich sa odstránia pri nadchádzajúcej transpozícii piatej smernice o boji proti praniu špinavých peňazí, napríklad zahrnutím poskytovateľov virtuálnych mien do rozsahu pôsobnosti uvedenej smernice a rozšírením a zvýšením prístupnosti registrov informácií o konečných užívateľoch výhod. Ďalšie horizontálne zraniteľné miesta spojené s finančnými spravodajskými jednotkami a finančným dohľadom sú identifikované v správe Komisie o finančných spravodajských jednotkách a správe Komisie o posúdení nedávnych prípadov údajného prania špinavých peňazí týkajúcich sa úverových inštitúcií EÚ. V správe sa uvádzajú odporúčania pre každý sektor, pričom dodržiavanie týchto odporúčaní bude predmetom preskúmania v rámci ďalšieho nadnárodného hodnotenia rizík, ktoré má byť vydané do dvoch rokov.</w:t>
      </w:r>
    </w:p>
    <w:p>
      <w:pPr>
        <w:pStyle w:val="ListParagraph"/>
        <w:numPr>
          <w:ilvl w:val="0"/>
          <w:numId w:val="4"/>
        </w:numPr>
        <w:spacing w:line="240" w:lineRule="auto"/>
        <w:jc w:val="both"/>
        <w:rPr>
          <w:rFonts w:ascii="Times New Roman" w:eastAsia="Calibri" w:hAnsi="Times New Roman" w:cs="Times New Roman"/>
          <w:b/>
          <w:noProof/>
          <w:sz w:val="24"/>
          <w:szCs w:val="24"/>
        </w:rPr>
      </w:pPr>
      <w:r>
        <w:rPr>
          <w:rFonts w:ascii="Times New Roman" w:hAnsi="Times New Roman"/>
          <w:b/>
          <w:noProof/>
          <w:sz w:val="24"/>
        </w:rPr>
        <w:t>Oblasti rámca EÚ pre boj proti praniu špinavých peňazí/financovaniu terorizmu, ktoré si vyžadujú zlepšenie</w:t>
      </w:r>
    </w:p>
    <w:p>
      <w:pPr>
        <w:spacing w:line="240" w:lineRule="auto"/>
        <w:jc w:val="both"/>
        <w:rPr>
          <w:rFonts w:ascii="Times New Roman" w:hAnsi="Times New Roman" w:cs="Times New Roman"/>
          <w:noProof/>
          <w:sz w:val="24"/>
          <w:szCs w:val="24"/>
        </w:rPr>
      </w:pPr>
      <w:r>
        <w:rPr>
          <w:rFonts w:ascii="Times New Roman" w:hAnsi="Times New Roman"/>
          <w:noProof/>
          <w:sz w:val="24"/>
        </w:rPr>
        <w:t>V správe o </w:t>
      </w:r>
      <w:r>
        <w:rPr>
          <w:rFonts w:ascii="Times New Roman" w:hAnsi="Times New Roman"/>
          <w:b/>
          <w:noProof/>
          <w:sz w:val="24"/>
        </w:rPr>
        <w:t>posúdení nedávnych prípadov údajného prania špinavých peňazí týkajúcich sa úverových inštitúcií EÚ</w:t>
      </w:r>
      <w:r>
        <w:rPr>
          <w:rFonts w:ascii="Times New Roman" w:hAnsi="Times New Roman"/>
          <w:noProof/>
          <w:sz w:val="24"/>
          <w:vertAlign w:val="superscript"/>
        </w:rPr>
        <w:footnoteReference w:id="15"/>
      </w:r>
      <w:r>
        <w:rPr>
          <w:rFonts w:ascii="Times New Roman" w:hAnsi="Times New Roman"/>
          <w:noProof/>
          <w:sz w:val="24"/>
        </w:rPr>
        <w:t xml:space="preserve"> sa vychádza zo skutočností uvedených v prípadových štúdiách, ktoré zahŕňajú vzorku desiatich zverejnených prípadov týkajúcich sa úverových inštitúcií v období rokov 2012 – 2018. Posudzuje sa v nej úloha úverových inštitúcií, ako aj právomoci a opatrenia orgánov dohľadu v oblasti boja proti praniu špinavých peňazí/financovaniu terorizmu a orgánov prudenciálneho dohľadu</w:t>
      </w:r>
      <w:r>
        <w:rPr>
          <w:noProof/>
        </w:rPr>
        <w:t xml:space="preserve">. </w:t>
      </w:r>
      <w:r>
        <w:rPr>
          <w:rFonts w:ascii="Times New Roman" w:hAnsi="Times New Roman" w:cs="Times New Roman"/>
          <w:noProof/>
          <w:sz w:val="24"/>
          <w:szCs w:val="24"/>
        </w:rPr>
        <w:t>Správa sa predkladá v reakcii na závery Rady o akčnom pláne na boj proti praniu špinavých peňazí zo 4. decembra 2018</w:t>
      </w:r>
      <w:r>
        <w:rPr>
          <w:rFonts w:ascii="Times New Roman" w:hAnsi="Times New Roman" w:cs="Times New Roman"/>
          <w:noProof/>
          <w:sz w:val="24"/>
          <w:szCs w:val="24"/>
          <w:vertAlign w:val="superscript"/>
        </w:rPr>
        <w:footnoteReference w:id="16"/>
      </w:r>
      <w:r>
        <w:rPr>
          <w:rFonts w:ascii="Times New Roman" w:hAnsi="Times New Roman" w:cs="Times New Roman"/>
          <w:noProof/>
          <w:sz w:val="24"/>
          <w:szCs w:val="24"/>
        </w:rPr>
        <w:t xml:space="preserve">, v ktorých sa Komisia vyzýva vykonať „preskúmanie </w:t>
      </w:r>
      <w:r>
        <w:rPr>
          <w:rFonts w:ascii="Times New Roman" w:hAnsi="Times New Roman" w:cs="Times New Roman"/>
          <w:i/>
          <w:noProof/>
          <w:sz w:val="24"/>
          <w:szCs w:val="24"/>
        </w:rPr>
        <w:t>post mortem</w:t>
      </w:r>
      <w:r>
        <w:rPr>
          <w:rFonts w:ascii="Times New Roman" w:hAnsi="Times New Roman" w:cs="Times New Roman"/>
          <w:noProof/>
          <w:sz w:val="24"/>
          <w:szCs w:val="24"/>
        </w:rPr>
        <w:t xml:space="preserve"> nedávnych prípadov údajného prania špinavých peňazí týkajúcich sa úverových inštitúcií EÚ“.</w:t>
      </w: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Pri analýze vybraných prípadov boli odhalené závažné zlyhania úverových inštitúcií z hľadiska plnenia základných požiadaviek smernice o boji proti praniu špinavých peňazí, ako sú hodnotenie rizík, povinná starostlivosť vo vzťahu ku klientovi a ohlasovanie</w:t>
      </w:r>
      <w:r>
        <w:rPr>
          <w:rFonts w:ascii="Times New Roman" w:hAnsi="Times New Roman"/>
          <w:noProof/>
          <w:sz w:val="24"/>
        </w:rPr>
        <w:t xml:space="preserve"> podozrivých transakcií a činností finančným spravodajským jednotkám. V niektorých prípadoch dokázali orgány dohľadu účinne vopred identifikovať nedostatky v rámci úverových inštitúcií a požadovať nápravné opatrenia, no v mnohých ďalších prípadoch orgány dohľadu zasiahli, až keď sa významné riziká stali realitou alebo až keď opakovane došlo k nedodržiavaniu požiadaviek a zlyhaniam riadenia. Následné opatrenia dohľadu, ktoré boli úverovým inštitúciám uložené, sa značne líšili, pokiaľ ide o včasnosť a účinnosť. Skupinový dohľad vykazoval z pohľadu boja proti praniu špinavých peňazí a financovaniu terorizmu značné nedostatky. Fragmentácia regulácie a dohľadu mala vplyv na účinnosť spolupráce medzi rôznymi dotknutými aktérmi.</w:t>
      </w:r>
    </w:p>
    <w:p>
      <w:pPr>
        <w:spacing w:line="240" w:lineRule="auto"/>
        <w:jc w:val="both"/>
        <w:rPr>
          <w:rFonts w:ascii="Times New Roman" w:hAnsi="Times New Roman"/>
          <w:noProof/>
          <w:sz w:val="24"/>
        </w:rPr>
      </w:pPr>
      <w:r>
        <w:rPr>
          <w:rFonts w:ascii="Times New Roman" w:hAnsi="Times New Roman"/>
          <w:noProof/>
          <w:sz w:val="24"/>
        </w:rPr>
        <w:t>V správe o </w:t>
      </w:r>
      <w:r>
        <w:rPr>
          <w:rFonts w:ascii="Times New Roman" w:hAnsi="Times New Roman"/>
          <w:b/>
          <w:noProof/>
          <w:sz w:val="24"/>
        </w:rPr>
        <w:t>finančných spravodajských jednotkách</w:t>
      </w:r>
      <w:r>
        <w:rPr>
          <w:rFonts w:ascii="Times New Roman" w:hAnsi="Times New Roman"/>
          <w:noProof/>
          <w:sz w:val="24"/>
          <w:vertAlign w:val="superscript"/>
        </w:rPr>
        <w:footnoteReference w:id="17"/>
      </w:r>
      <w:r>
        <w:rPr>
          <w:rFonts w:ascii="Times New Roman" w:hAnsi="Times New Roman"/>
          <w:noProof/>
          <w:sz w:val="24"/>
        </w:rPr>
        <w:t xml:space="preserve"> sa posudzuje rámec pre spoluprácu finančných spravodajských jednotiek s tretími krajinami, ako aj prekážky a príležitosti z hľadiska posilnenia spolupráce medzi finančnými spravodajskými jednotkami v Európskej únii vrátane možnosti vytvorenia koordinačného a podporného mechanizmu. Správa sa zverejňuje v zmysle právnej povinnosti Komisie podľa článku 65 ods. 2 smernice o boji proti praniu špinavých peňazí.</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Z posúdenia vyplynulo, že niektoré finančné spravodajské jednotky nedokážu rozvíjať zmysluplnú komunikáciu s povinnými subjektmi prostredníctvom poskytovania spätnej väzby ku kvalite správ o podozrivých transakciách. Prekážkou z hľadiska kvality správ, ktoré predkladajú povinné subjekty, sú aj chýbajúce vzory ohlasovacích formulárov. Niekoľko finančných spravodajských jednotiek nespĺňa v plnej miere povinnosť vymieňať si informácie s ostatnými finančnými spravodajskými jednotkami. Významným faktorom sú podľa všetkého opakujúce sa technické problémy spojené s fungovaním siete FIU.net, ktoré sťažujú výmenu informácií medzi finančnými spravodajskými jednotkami. Z posúdenia takisto vyplynulo, že v dôsledku neregulovania výmen informácií medzi finančnými spravodajskými jednotkami členských štátov a finančnými spravodajskými jednotkami tretích krajín sa takéto výmeny uskutočňujú neharmonizovaným spôsobom. Takisto je potrebné zabezpečiť, aby tieto výmeny boli v súlade s rámcom Únie na ochranu údajov.</w:t>
      </w:r>
    </w:p>
    <w:p>
      <w:pPr>
        <w:spacing w:line="240" w:lineRule="auto"/>
        <w:jc w:val="both"/>
        <w:rPr>
          <w:rFonts w:ascii="Times New Roman" w:hAnsi="Times New Roman" w:cs="Times New Roman"/>
          <w:noProof/>
          <w:sz w:val="24"/>
          <w:szCs w:val="24"/>
        </w:rPr>
      </w:pPr>
      <w:r>
        <w:rPr>
          <w:rFonts w:ascii="Times New Roman" w:hAnsi="Times New Roman"/>
          <w:noProof/>
          <w:sz w:val="24"/>
        </w:rPr>
        <w:t>Poslednou predkladanou správou je správa o </w:t>
      </w:r>
      <w:r>
        <w:rPr>
          <w:rFonts w:ascii="Times New Roman" w:hAnsi="Times New Roman"/>
          <w:b/>
          <w:noProof/>
          <w:sz w:val="24"/>
        </w:rPr>
        <w:t>vzájomnom prepojení vnútroštátnych centralizovaných automatizovaných mechanizmov členských štátov v oblasti bankových účtov</w:t>
      </w:r>
      <w:r>
        <w:rPr>
          <w:rFonts w:ascii="Times New Roman" w:hAnsi="Times New Roman"/>
          <w:noProof/>
          <w:sz w:val="24"/>
          <w:vertAlign w:val="superscript"/>
        </w:rPr>
        <w:footnoteReference w:id="18"/>
      </w:r>
      <w:r>
        <w:rPr>
          <w:rFonts w:ascii="Times New Roman" w:hAnsi="Times New Roman"/>
          <w:noProof/>
          <w:sz w:val="24"/>
        </w:rPr>
        <w:t>, ktorá je vypracovaná v nadväznosti na článok 32a ods. 5 smernice o boji proti praniu špinavých peňazí, v ktorom sa od Komisie vyžaduje posúdenie podmienok, technických špecifikácií a postupov na zaistenie bezpečného a účinného prepojenia centralizovaných automatizovaných mechanizmov. V správe sa preto posudzujú rôzne IT riešenia na úrovni EÚ, ktoré sú už v prevádzke alebo sa v súčasnosti vyvíjajú a ktoré môžu poslúžiť ako model prípadného prepojenia centralizovaných mechanizmov. V správe sa dospelo k záveru, že prepojenie je technicky uskutočniteľné a že vzhľadom na skutočnosť, že prepojenie centralizovaných mechanizmov v rámci celej EÚ by v budúcnosti urýchlilo prístup k finančným informáciám a uľahčilo cezhraničnú spoluprácu, Komisia zamýšľa pokračovať v konzultáciách s príslušnými zainteresovanými stranami, vládami, ako aj s finančnými spravodajskými jednotkami, orgánmi presadzovania práva a úradmi pre vyhľadávanie majetku ako s potenciálnymi „koncovými používateľmi“ prípadného systému prepojenia. Na dosiahnutie prepojenia by bol nevyhnutný legislatívny nástroj.</w:t>
      </w:r>
    </w:p>
    <w:p>
      <w:pPr>
        <w:pStyle w:val="Heading1"/>
      </w:pPr>
      <w:r>
        <w:t>Záver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Boj proti praniu špinavých peňazí a financovaniu terorizmu je nepretržitá úloha opierajúca sa o regulačný rámec, ktorý treba pravidelne aktualizovať, aby držal krok s novým vývojom. Dosiahol sa veľký pokrok pri zlepšovaní existujúceho rámca, najmä prostredníctvom legislatívnych úprav vykonaných v posledných rokoch. Pri vykonávaní tohto rámca však existujú výrazné rozdiely, ktoré predstavujú štrukturálny problém z hľadiska schopnosti Únie predchádzať tomu, aby bol finančný systém využívaný na nezákonné účely.</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Na integrovanom vnútornom trhu predstavujú fragmentácia a nedostatky pri vykonávaní právneho rámca hrozbu pre integritu finančného systému Únie a všeobecnejšie aj hrozbu pre bezpečnosť Únie. Je preto nevyhnutné prijať rázne, rýchle a súdržné opatrenia priebežného charakteru na zabezpečenie úplného, súdržného a účinného vykonávania právnych predpisov v oblasti boja proti praniu špinavých peňazí/financovaniu terorizmu, a to predovšetkým zo strany príslušných orgánov, ako sú orgány dohľadu a finančné spravodajské jednotky. Komisia bude naďalej monitorovať vykonávanie aktualizovaného právneho rámca, ako aj odporúčaní uvedených v jej nadnárodnom hodnotení rizík. </w:t>
      </w:r>
    </w:p>
    <w:tbl>
      <w:tblPr>
        <w:tblStyle w:val="TableGrid"/>
        <w:tblW w:w="0" w:type="auto"/>
        <w:tblLook w:val="04A0" w:firstRow="1" w:lastRow="0" w:firstColumn="1" w:lastColumn="0" w:noHBand="0" w:noVBand="1"/>
      </w:tblPr>
      <w:tblGrid>
        <w:gridCol w:w="8834"/>
      </w:tblGrid>
      <w:tr>
        <w:tc>
          <w:tcPr>
            <w:tcW w:w="8834" w:type="dxa"/>
            <w:tcBorders>
              <w:top w:val="nil"/>
              <w:left w:val="nil"/>
              <w:bottom w:val="nil"/>
              <w:right w:val="nil"/>
            </w:tcBorders>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Zatiaľ čo mnohé riziká a nedostatky sa už vďaka nedávnym zmenám v regulačnom rámci vyriešili alebo budú zakrátko vyriešené, niektoré zo zistených nedostatkov majú štrukturálnu povahu a vyriešené ešte nie sú.</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Účelom zistení uvedených v dnes prijatých správach je poskytnúť informácie na diskusiu o tom, ako by sa mohol ďalej zlepšiť rámec pre boj proti praniu špinavých peňazí a financovaniu terorizmu, a poskytnúť základ pre ďalšie diskusie s príslušnými zainteresovanými stranami.</w:t>
            </w:r>
          </w:p>
          <w:p>
            <w:pPr>
              <w:jc w:val="both"/>
              <w:rPr>
                <w:rFonts w:ascii="Times New Roman" w:hAnsi="Times New Roman"/>
                <w:noProof/>
                <w:sz w:val="24"/>
              </w:rPr>
            </w:pPr>
            <w:r>
              <w:rPr>
                <w:rFonts w:ascii="Times New Roman" w:hAnsi="Times New Roman"/>
                <w:noProof/>
                <w:sz w:val="24"/>
              </w:rPr>
              <w:t>Mohla by sa zvážiť hlbšia harmonizácia súboru pravidiel týkajúcich sa boja proti praniu špinavých peňazí/financovaniu terorizmu. Jednou z možností by bola transformácia smernice o boji proti praniu špinavých peňazí na nariadenie, ktoré by umožňovalo stanoviť harmonizovaný, priamo uplatniteľný regulačný rámec Únie na boj proti praniu špinavých peňazí. Mohlo by sa naplánovať aj viacero alternatív s cieľom zabezpečiť vysokú kvalitu a konzistentnosť dohľadu v oblasti boja proti praniu špinavých peňazí vo finančnom sektore, čo si môže vyžadovať poverenie orgánu Únie vykonávaním osobitných úloh v rámci dohľadu v oblasti boja proti praniu špinavých peňazí. Z posúdení okrem toho vyplýva potreba účinnejšieho mechanizmu na koordináciu a podporu cezhraničnej spolupráce finančných spravodajských jednotiek a analýz, ktoré vykonávajú.</w:t>
            </w:r>
          </w:p>
          <w:p>
            <w:pPr>
              <w:spacing w:before="120" w:after="120"/>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863"/>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noProof w:val="0"/>
        </w:rPr>
      </w:pPr>
      <w:r>
        <w:rPr>
          <w:rStyle w:val="FootnoteReference"/>
          <w:noProof w:val="0"/>
        </w:rPr>
        <w:footnoteRef/>
      </w:r>
      <w:r>
        <w:rPr>
          <w:noProof w:val="0"/>
        </w:rPr>
        <w:t xml:space="preserve"> Europol je orgán presadzovania práva EÚ, </w:t>
      </w:r>
      <w:hyperlink r:id="rId1">
        <w:r>
          <w:rPr>
            <w:rStyle w:val="Hyperlink"/>
            <w:noProof w:val="0"/>
          </w:rPr>
          <w:t>https://www.europol.europa.eu/</w:t>
        </w:r>
      </w:hyperlink>
      <w:r>
        <w:rPr>
          <w:noProof w:val="0"/>
        </w:rPr>
        <w:t>.</w:t>
      </w:r>
    </w:p>
  </w:footnote>
  <w:footnote w:id="2">
    <w:p>
      <w:pPr>
        <w:pStyle w:val="FootnoteText"/>
        <w:ind w:left="284" w:hanging="284"/>
        <w:rPr>
          <w:noProof w:val="0"/>
        </w:rPr>
      </w:pPr>
      <w:r>
        <w:rPr>
          <w:rStyle w:val="FootnoteReference"/>
          <w:noProof w:val="0"/>
        </w:rPr>
        <w:footnoteRef/>
      </w:r>
      <w:r>
        <w:rPr>
          <w:noProof w:val="0"/>
        </w:rPr>
        <w:t xml:space="preserve"> Finančná spravodajská skupina Europolu, správa „Od podozrenia k činu“, 2017:</w:t>
      </w:r>
    </w:p>
    <w:p>
      <w:pPr>
        <w:pStyle w:val="FootnoteText"/>
        <w:rPr>
          <w:noProof w:val="0"/>
          <w:color w:val="0563C1" w:themeColor="hyperlink"/>
          <w:u w:val="single"/>
        </w:rPr>
      </w:pPr>
      <w:hyperlink r:id="rId2">
        <w:r>
          <w:rPr>
            <w:rStyle w:val="Hyperlink"/>
            <w:noProof w:val="0"/>
          </w:rPr>
          <w:t>https://www.europol.europa.eu/publications-documents/suspicion-to-action-converting-financial-intelligence-greater-operational-impact.</w:t>
        </w:r>
      </w:hyperlink>
    </w:p>
  </w:footnote>
  <w:footnote w:id="3">
    <w:p>
      <w:pPr>
        <w:pStyle w:val="FootnoteText"/>
        <w:rPr>
          <w:noProof w:val="0"/>
        </w:rPr>
      </w:pPr>
      <w:r>
        <w:rPr>
          <w:rStyle w:val="FootnoteReference"/>
          <w:noProof w:val="0"/>
        </w:rPr>
        <w:footnoteRef/>
      </w:r>
      <w:r>
        <w:rPr>
          <w:noProof w:val="0"/>
        </w:rPr>
        <w:t xml:space="preserve"> Správa Komisie Európskemu parlamentu a Rade o hodnotení rizika prania špinavých peňazí a financovania terorizmu, ktoré má vplyv na vnútorný trh a súvisí s cezhraničnou činnosťou, COM(2019) 370.</w:t>
      </w:r>
    </w:p>
  </w:footnote>
  <w:footnote w:id="4">
    <w:p>
      <w:pPr>
        <w:pStyle w:val="FootnoteText"/>
        <w:rPr>
          <w:noProof w:val="0"/>
        </w:rPr>
      </w:pPr>
      <w:r>
        <w:rPr>
          <w:rStyle w:val="FootnoteReference"/>
          <w:noProof w:val="0"/>
        </w:rPr>
        <w:footnoteRef/>
      </w:r>
      <w:r>
        <w:rPr>
          <w:noProof w:val="0"/>
        </w:rPr>
        <w:t xml:space="preserve"> Správa Komisie Európskemu parlamentu a Rade o posúdení rámca pre spoluprácu medzi finančnými spravodajskými jednotkami, COM(2019) 371.</w:t>
      </w:r>
    </w:p>
  </w:footnote>
  <w:footnote w:id="5">
    <w:p>
      <w:pPr>
        <w:pStyle w:val="FootnoteText"/>
        <w:rPr>
          <w:noProof w:val="0"/>
        </w:rPr>
      </w:pPr>
      <w:r>
        <w:rPr>
          <w:rStyle w:val="FootnoteReference"/>
          <w:noProof w:val="0"/>
        </w:rPr>
        <w:footnoteRef/>
      </w:r>
      <w:r>
        <w:rPr>
          <w:noProof w:val="0"/>
        </w:rPr>
        <w:t xml:space="preserve"> Správa Komisie Európskemu parlamentu a Rade o vzájomnom prepojení vnútroštátnych centralizovaných automatizovaných mechanizmov (centrálnych registrov alebo centrálnych elektronických systémov vyhľadávania údajov) členských štátov v oblasti bankových účtov, COM(2019) 372.</w:t>
      </w:r>
    </w:p>
  </w:footnote>
  <w:footnote w:id="6">
    <w:p>
      <w:pPr>
        <w:pStyle w:val="FootnoteText"/>
        <w:rPr>
          <w:noProof w:val="0"/>
        </w:rPr>
      </w:pPr>
      <w:r>
        <w:rPr>
          <w:rStyle w:val="FootnoteReference"/>
          <w:noProof w:val="0"/>
        </w:rPr>
        <w:footnoteRef/>
      </w:r>
      <w:r>
        <w:rPr>
          <w:noProof w:val="0"/>
        </w:rPr>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footnote>
  <w:footnote w:id="7">
    <w:p>
      <w:pPr>
        <w:pStyle w:val="FootnoteText"/>
        <w:rPr>
          <w:noProof w:val="0"/>
        </w:rPr>
      </w:pPr>
      <w:r>
        <w:rPr>
          <w:rStyle w:val="FootnoteReference"/>
          <w:noProof w:val="0"/>
        </w:rPr>
        <w:footnoteRef/>
      </w:r>
      <w:r>
        <w:rPr>
          <w:noProof w:val="0"/>
        </w:rPr>
        <w:t xml:space="preserve"> Komisia posudzuje transpozíciu štvrtej smernice o boji proti praniu špinavých peňazí a zároveň overuje, či členské štáty uplatňujú dané pravidlá. Komisia začala postup v prípade nesplnenia povinnosti proti všetkým 28 členským štátom, keďže dospela k záveru, že oznámenia predložené členskými štátmi nesvedčia o úplnej transpozícii tejto smernice.</w:t>
      </w:r>
    </w:p>
  </w:footnote>
  <w:footnote w:id="8">
    <w:p>
      <w:pPr>
        <w:pStyle w:val="FootnoteText"/>
        <w:ind w:left="284" w:hanging="284"/>
        <w:rPr>
          <w:noProof w:val="0"/>
        </w:rPr>
      </w:pPr>
      <w:r>
        <w:rPr>
          <w:rStyle w:val="FootnoteReference"/>
          <w:noProof w:val="0"/>
        </w:rPr>
        <w:footnoteRef/>
      </w:r>
      <w:r>
        <w:rPr>
          <w:noProof w:val="0"/>
        </w:rPr>
        <w:t xml:space="preserve"> COM(2016) 050 final.</w:t>
      </w:r>
    </w:p>
  </w:footnote>
  <w:footnote w:id="9">
    <w:p>
      <w:pPr>
        <w:pStyle w:val="FootnoteText"/>
        <w:rPr>
          <w:noProof w:val="0"/>
        </w:rPr>
      </w:pPr>
      <w:r>
        <w:rPr>
          <w:rStyle w:val="FootnoteReference"/>
          <w:noProof w:val="0"/>
        </w:rPr>
        <w:footnoteRef/>
      </w:r>
      <w:r>
        <w:rPr>
          <w:noProof w:val="0"/>
        </w:rPr>
        <w:t xml:space="preserve">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 s. 43.</w:t>
      </w:r>
    </w:p>
  </w:footnote>
  <w:footnote w:id="10">
    <w:p>
      <w:pPr>
        <w:pStyle w:val="FootnoteText"/>
        <w:rPr>
          <w:noProof w:val="0"/>
        </w:rPr>
      </w:pPr>
      <w:r>
        <w:rPr>
          <w:rStyle w:val="FootnoteReference"/>
          <w:noProof w:val="0"/>
        </w:rPr>
        <w:footnoteRef/>
      </w:r>
      <w:r>
        <w:rPr>
          <w:noProof w:val="0"/>
        </w:rPr>
        <w:t xml:space="preserve">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7.6.2019.</w:t>
      </w:r>
    </w:p>
  </w:footnote>
  <w:footnote w:id="11">
    <w:p>
      <w:pPr>
        <w:pStyle w:val="FootnoteText"/>
        <w:rPr>
          <w:noProof w:val="0"/>
        </w:rPr>
      </w:pPr>
      <w:r>
        <w:rPr>
          <w:rStyle w:val="FootnoteReference"/>
          <w:noProof w:val="0"/>
        </w:rPr>
        <w:footnoteRef/>
      </w:r>
      <w:r>
        <w:rPr>
          <w:noProof w:val="0"/>
        </w:rPr>
        <w:t xml:space="preserve"> Smernica Európskeho parlamentu a Rady (EÚ) 2018/1673 z 23. októbra 2018 o boji proti praniu špinavých peňazí prostredníctvom trestného práva; PE/30/2018/REV/1; Ú. v. EÚ L 284, 12.11.2018, s. 22 – 30.</w:t>
      </w:r>
    </w:p>
  </w:footnote>
  <w:footnote w:id="12">
    <w:p>
      <w:pPr>
        <w:pStyle w:val="FootnoteText"/>
        <w:rPr>
          <w:noProof w:val="0"/>
        </w:rPr>
      </w:pPr>
      <w:r>
        <w:rPr>
          <w:rStyle w:val="FootnoteReference"/>
          <w:noProof w:val="0"/>
        </w:rPr>
        <w:footnoteRef/>
      </w:r>
      <w:r>
        <w:rPr>
          <w:noProof w:val="0"/>
        </w:rPr>
        <w:t xml:space="preserve"> Smernica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Ú. v. EÚ L 186, 11.7.2019.</w:t>
      </w:r>
    </w:p>
  </w:footnote>
  <w:footnote w:id="13">
    <w:p>
      <w:pPr>
        <w:pStyle w:val="FootnoteText"/>
        <w:rPr>
          <w:noProof w:val="0"/>
        </w:rPr>
      </w:pPr>
      <w:r>
        <w:rPr>
          <w:rStyle w:val="FootnoteReference"/>
          <w:noProof w:val="0"/>
        </w:rPr>
        <w:footnoteRef/>
      </w:r>
      <w:r>
        <w:rPr>
          <w:noProof w:val="0"/>
        </w:rPr>
        <w:t xml:space="preserve"> COM(2017) 340 final, 26. 6. 2017.</w:t>
      </w:r>
    </w:p>
  </w:footnote>
  <w:footnote w:id="14">
    <w:p>
      <w:pPr>
        <w:pStyle w:val="FootnoteText"/>
        <w:rPr>
          <w:noProof w:val="0"/>
        </w:rPr>
      </w:pPr>
      <w:r>
        <w:rPr>
          <w:rStyle w:val="FootnoteReference"/>
          <w:noProof w:val="0"/>
        </w:rPr>
        <w:footnoteRef/>
      </w:r>
      <w:r>
        <w:rPr>
          <w:noProof w:val="0"/>
        </w:rPr>
        <w:t xml:space="preserve"> Posudzovanie rizík spojených s tretími krajinami predstavujúcimi významné hrozby pre finančný systém Únie je aj naďalej samostatným procesom mimo tohto nadnárodného hodnotenia rizík a vykonáva sa prostredníctvom delegovaných aktov Komisie, v ktorých sa identifikujú takéto vysokorizikové tretie krajiny. Aktuálny zoznam vysokorizikových tretích krajín je stanovený v delegovanom nariadení Komisie (EÚ) 2016/1675 zo 14. júla 2016, ktorým sa smernica Európskeho parlamentu a Rady (EÚ) 2015/849 dopĺňa o identifikáciu vysokorizikových tretích krajín so strategickými nedostatkami, naposledy zmenenom delegovaným nariadením (EÚ) 2018/1467 z 27. júla 2018. V nadväznosti na zamietnutie delegovaného nariadenia, ktoré Komisia prijala 13. februára 2019 a ktorým sa mal nahradiť súčasný zoznam, zo strany Rady Komisia spolupracuje s Európskym parlamentom a Radou na vylepšenej metodike a zintenzívnila svoju spoluprácu s dotknutými tretími krajinami, ako aj s Finančnou akčnou skupinou (FATF).  </w:t>
      </w:r>
    </w:p>
  </w:footnote>
  <w:footnote w:id="15">
    <w:p>
      <w:pPr>
        <w:spacing w:after="0" w:line="240" w:lineRule="auto"/>
        <w:jc w:val="both"/>
      </w:pPr>
      <w:r>
        <w:rPr>
          <w:rStyle w:val="FootnoteReference"/>
          <w:rFonts w:ascii="Times New Roman" w:hAnsi="Times New Roman"/>
        </w:rPr>
        <w:footnoteRef/>
      </w:r>
      <w:r>
        <w:t xml:space="preserve"> </w:t>
      </w:r>
      <w:r>
        <w:rPr>
          <w:rFonts w:ascii="Times New Roman" w:hAnsi="Times New Roman"/>
          <w:sz w:val="20"/>
        </w:rPr>
        <w:t>Správa Komisie Európskemu Parlamentu a Rade o posúdení nedávnych prípadov údajného prania špinavých peňazí týkajúcich sa úverových inštitúcií EÚ, COM(2019) 373.</w:t>
      </w:r>
    </w:p>
  </w:footnote>
  <w:footnote w:id="16">
    <w:p>
      <w:pPr>
        <w:pStyle w:val="FootnoteText"/>
        <w:rPr>
          <w:noProof w:val="0"/>
        </w:rPr>
      </w:pPr>
      <w:r>
        <w:rPr>
          <w:rStyle w:val="FootnoteReference"/>
          <w:noProof w:val="0"/>
        </w:rPr>
        <w:footnoteRef/>
      </w:r>
      <w:r>
        <w:rPr>
          <w:noProof w:val="0"/>
        </w:rPr>
        <w:t xml:space="preserve"> </w:t>
      </w:r>
      <w:hyperlink r:id="rId3">
        <w:r>
          <w:rPr>
            <w:rStyle w:val="Hyperlink"/>
            <w:noProof w:val="0"/>
          </w:rPr>
          <w:t>https://www.consilium.europa.eu/sk/press/press-releases/2018/12/04/money-laundering-council-adopts-conclusions-on-an-action-plan-for-enhanced-monitoring/.</w:t>
        </w:r>
      </w:hyperlink>
    </w:p>
  </w:footnote>
  <w:footnote w:id="17">
    <w:p>
      <w:pPr>
        <w:pStyle w:val="FootnoteText"/>
        <w:rPr>
          <w:noProof w:val="0"/>
        </w:rPr>
      </w:pPr>
      <w:r>
        <w:rPr>
          <w:rStyle w:val="FootnoteReference"/>
          <w:noProof w:val="0"/>
        </w:rPr>
        <w:footnoteRef/>
      </w:r>
      <w:r>
        <w:rPr>
          <w:noProof w:val="0"/>
        </w:rPr>
        <w:t xml:space="preserve"> Správa Komisie Európskemu parlamentu a Rade o posúdení rámca pre spoluprácu medzi finančnými spravodajskými jednotkami, COM(2019) 371.</w:t>
      </w:r>
    </w:p>
  </w:footnote>
  <w:footnote w:id="18">
    <w:p>
      <w:pPr>
        <w:pStyle w:val="FootnoteText"/>
        <w:rPr>
          <w:noProof w:val="0"/>
        </w:rPr>
      </w:pPr>
      <w:r>
        <w:rPr>
          <w:rStyle w:val="FootnoteReference"/>
          <w:noProof w:val="0"/>
        </w:rPr>
        <w:footnoteRef/>
      </w:r>
      <w:r>
        <w:rPr>
          <w:noProof w:val="0"/>
        </w:rPr>
        <w:t xml:space="preserve"> Správa Komisie Európskemu parlamentu a Rade o vzájomnom prepojení vnútroštátnych centralizovaných automatizovaných mechanizmov (centrálnych registrov alebo centrálnych elektronických systémov vyhľadávania údajov) členských štátov v oblasti bankových účtov, COM(2019) 372.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6C6"/>
    <w:multiLevelType w:val="hybridMultilevel"/>
    <w:tmpl w:val="A9B064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5C508D"/>
    <w:multiLevelType w:val="hybridMultilevel"/>
    <w:tmpl w:val="DE24BF1C"/>
    <w:lvl w:ilvl="0" w:tplc="D6728FDC">
      <w:start w:val="1"/>
      <w:numFmt w:val="upperRoman"/>
      <w:pStyle w:val="Heading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83FA17A-A301-4DD7-9CCA-2BF9FCCC7A38"/>
    <w:docVar w:name="LW_COVERPAGE_TYPE" w:val="1"/>
    <w:docVar w:name="LW_CROSSREFERENCE" w:val="&lt;UNUSED&gt;"/>
    <w:docVar w:name="LW_DocType" w:val="NORMAL"/>
    <w:docVar w:name="LW_EMISSION" w:val="24. 7. 2019"/>
    <w:docVar w:name="LW_EMISSION_ISODATE" w:val="2019-07-24"/>
    <w:docVar w:name="LW_EMISSION_LOCATION" w:val="BRX"/>
    <w:docVar w:name="LW_EMISSION_PREFIX" w:val="V Bruseli"/>
    <w:docVar w:name="LW_EMISSION_SUFFIX" w:val=" "/>
    <w:docVar w:name="LW_ID_DOCTYPE_NONLW" w:val="CP-012"/>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3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merom k lep\u353?iemu vykonávaniu rámca EÚ pre boj proti praniu \u353?pinavých pe\u328?azí a financovaniu terorizmu _x000b__x000b_"/>
    <w:docVar w:name="LW_TYPE.DOC.CP" w:val="OZNÁMENIE KOMISIE EURÓPSKEMU PARLAMENTU A RAD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sk-SK"/>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unhideWhenUsed/>
    <w:qFormat/>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rFonts w:ascii="Times New Roman" w:eastAsia="Times New Roman" w:hAnsi="Times New Roman" w:cs="Times New Roman"/>
      <w:noProof/>
      <w:sz w:val="20"/>
      <w:szCs w:val="20"/>
      <w:lang w:val="sk-SK"/>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sk-SK"/>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unhideWhenUsed/>
    <w:qFormat/>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rFonts w:ascii="Times New Roman" w:eastAsia="Times New Roman" w:hAnsi="Times New Roman" w:cs="Times New Roman"/>
      <w:noProof/>
      <w:sz w:val="20"/>
      <w:szCs w:val="20"/>
      <w:lang w:val="sk-SK"/>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n/press/press-releases/2018/12/04/money-laundering-council-adopts-conclusions-on-an-action-plan-for-enhanced-monitoring/" TargetMode="External"/><Relationship Id="rId2" Type="http://schemas.openxmlformats.org/officeDocument/2006/relationships/hyperlink" Target="https://www.europol.europa.eu/publications-documents/suspicion-to-action-converting-financial-intelligence-greater-operational-impact" TargetMode="External"/><Relationship Id="rId1" Type="http://schemas.openxmlformats.org/officeDocument/2006/relationships/hyperlink" Target="https://www.europo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566DA-5016-4DEC-BBB0-CBB1F6F8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1788</Words>
  <Characters>11499</Characters>
  <Application>Microsoft Office Word</Application>
  <DocSecurity>0</DocSecurity>
  <Lines>185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2019-07-22T08:28:00Z</dcterms:created>
  <dcterms:modified xsi:type="dcterms:W3CDTF">2019-09-06T12:26:00Z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CP-012</vt:lpwstr>
  </property>
</Properties>
</file>