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C9" w:rsidRDefault="000664B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EFE122B-3270-4201-AF74-BBA6AC5BC052" style="width:450pt;height:366pt">
            <v:imagedata r:id="rId8" o:title=""/>
          </v:shape>
        </w:pict>
      </w:r>
    </w:p>
    <w:p w:rsidR="00927BC9" w:rsidRDefault="00927BC9">
      <w:pPr>
        <w:rPr>
          <w:noProof/>
        </w:rPr>
        <w:sectPr w:rsidR="00927BC9">
          <w:footerReference w:type="default" r:id="rId9"/>
          <w:pgSz w:w="11907" w:h="16839"/>
          <w:pgMar w:top="1134" w:right="1417" w:bottom="1134" w:left="1417" w:header="709" w:footer="709" w:gutter="0"/>
          <w:pgNumType w:start="0"/>
          <w:cols w:space="720"/>
          <w:docGrid w:linePitch="360"/>
        </w:sectPr>
      </w:pPr>
    </w:p>
    <w:p w:rsidR="00927BC9" w:rsidRDefault="000664B9">
      <w:pPr>
        <w:pStyle w:val="Exposdesmotifstitre"/>
        <w:rPr>
          <w:noProof/>
        </w:rPr>
      </w:pPr>
      <w:r>
        <w:rPr>
          <w:noProof/>
        </w:rPr>
        <w:lastRenderedPageBreak/>
        <w:t>DÔVODOVÁ SPRÁVA</w:t>
      </w:r>
    </w:p>
    <w:p w:rsidR="00927BC9" w:rsidRDefault="000664B9">
      <w:pPr>
        <w:pStyle w:val="ManualHeading1"/>
        <w:rPr>
          <w:noProof/>
        </w:rPr>
      </w:pPr>
      <w:r>
        <w:rPr>
          <w:noProof/>
        </w:rPr>
        <w:t>1.</w:t>
      </w:r>
      <w:r>
        <w:rPr>
          <w:noProof/>
        </w:rPr>
        <w:tab/>
        <w:t>KONTEXT NÁVRHU</w:t>
      </w:r>
    </w:p>
    <w:p w:rsidR="00927BC9" w:rsidRDefault="000664B9">
      <w:pPr>
        <w:pStyle w:val="ManualHeading2"/>
        <w:rPr>
          <w:rFonts w:eastAsia="Arial Unicode MS"/>
          <w:noProof/>
        </w:rPr>
      </w:pPr>
      <w:r>
        <w:rPr>
          <w:noProof/>
          <w:u w:color="000000"/>
          <w:bdr w:val="nil"/>
        </w:rPr>
        <w:t>•</w:t>
      </w:r>
      <w:r>
        <w:rPr>
          <w:noProof/>
          <w:u w:color="000000"/>
          <w:bdr w:val="nil"/>
        </w:rPr>
        <w:tab/>
      </w:r>
      <w:r>
        <w:rPr>
          <w:noProof/>
        </w:rPr>
        <w:t>Dôvody a ciele návrhu</w:t>
      </w:r>
    </w:p>
    <w:p w:rsidR="00927BC9" w:rsidRDefault="000664B9">
      <w:pPr>
        <w:pBdr>
          <w:top w:val="nil"/>
          <w:left w:val="nil"/>
          <w:bottom w:val="nil"/>
          <w:right w:val="nil"/>
          <w:between w:val="nil"/>
          <w:bar w:val="nil"/>
        </w:pBdr>
        <w:spacing w:before="0" w:after="240"/>
        <w:rPr>
          <w:noProof/>
        </w:rPr>
      </w:pPr>
      <w:r>
        <w:rPr>
          <w:noProof/>
        </w:rPr>
        <w:t xml:space="preserve">Spojené kráľovstvo sa rozhodlo opustiť Európsku úniu iniciovaním postupu stanoveného v článku </w:t>
      </w:r>
      <w:r>
        <w:rPr>
          <w:noProof/>
        </w:rPr>
        <w:t>50 Zmluvy o Európskej únii (ďalej len „ZEÚ“). Na základe žiadosti Spojeného kráľovstva Európska rada (článok 50) odsúhlasila 11. apríla 2019</w:t>
      </w:r>
      <w:r>
        <w:rPr>
          <w:rStyle w:val="FootnoteReference"/>
          <w:noProof/>
        </w:rPr>
        <w:footnoteReference w:id="1"/>
      </w:r>
      <w:r>
        <w:rPr>
          <w:noProof/>
        </w:rPr>
        <w:t xml:space="preserve"> ďalšie predĺženie</w:t>
      </w:r>
      <w:r>
        <w:rPr>
          <w:rStyle w:val="FootnoteReference"/>
          <w:noProof/>
        </w:rPr>
        <w:footnoteReference w:id="2"/>
      </w:r>
      <w:r>
        <w:rPr>
          <w:noProof/>
        </w:rPr>
        <w:t xml:space="preserve"> lehoty stanovenej v článku 50 ods. 3 Zmluvy o EÚ do 31. októbra 2019. Ak Spojené kráľovstvo do </w:t>
      </w:r>
      <w:r>
        <w:rPr>
          <w:noProof/>
        </w:rPr>
        <w:t>31. októbra 2019 neratifikuje dohodu o vystúpení, alebo ak nepožiada o tretie predĺženie, ktoré Európska rada (článok 50) schváli jednomyseľne, lehota stanovená v článku 50 ods. 3 ZEÚ sa skončí. Spojené kráľovstvo bude potom od 1. novembra 2019 treťou kraj</w:t>
      </w:r>
      <w:r>
        <w:rPr>
          <w:noProof/>
        </w:rPr>
        <w:t>inou bez dohody zabezpečujúcej riadené vystúpenie. Komisia naďalej zastáva názor, že najlepším výsledkom je riadené vystúpenie Spojeného kráľovstva z Únie na základe dohody o vystúpení.</w:t>
      </w:r>
    </w:p>
    <w:p w:rsidR="00927BC9" w:rsidRDefault="000664B9">
      <w:pPr>
        <w:pBdr>
          <w:top w:val="nil"/>
          <w:left w:val="nil"/>
          <w:bottom w:val="nil"/>
          <w:right w:val="nil"/>
          <w:between w:val="nil"/>
          <w:bar w:val="nil"/>
        </w:pBdr>
        <w:spacing w:before="0" w:after="240"/>
        <w:rPr>
          <w:noProof/>
        </w:rPr>
      </w:pPr>
      <w:r>
        <w:rPr>
          <w:noProof/>
        </w:rPr>
        <w:t>Od toho momentu sa na Spojené kráľovstvo prestanú vzťahovať všetky pri</w:t>
      </w:r>
      <w:r>
        <w:rPr>
          <w:noProof/>
        </w:rPr>
        <w:t>márne a sekundárne právne predpisy EÚ. Nebude sa uplatňovať žiadne prechodné obdobie stanovené v dohode o vystúpení. Táto situácia samozrejme spôsobí veľké problémy občanom, podnikom a verejným inštitúciám a bude mať vážne negatívne ekonomické a finančné d</w:t>
      </w:r>
      <w:r>
        <w:rPr>
          <w:noProof/>
        </w:rPr>
        <w:t>ôsledky.</w:t>
      </w:r>
    </w:p>
    <w:p w:rsidR="00927BC9" w:rsidRDefault="000664B9">
      <w:pPr>
        <w:pBdr>
          <w:top w:val="nil"/>
          <w:left w:val="nil"/>
          <w:bottom w:val="nil"/>
          <w:right w:val="nil"/>
          <w:between w:val="nil"/>
          <w:bar w:val="nil"/>
        </w:pBdr>
        <w:spacing w:before="0" w:after="240"/>
        <w:rPr>
          <w:noProof/>
        </w:rPr>
      </w:pPr>
      <w:r>
        <w:rPr>
          <w:noProof/>
        </w:rPr>
        <w:t>Európska únia a členské štáty EÚ27 doteraz prijali významný súbor opatrení. V prvom rade sa Európska komisia od novembra 2018 pripravuje na vystúpenie bez dohody. Komisia do dnešného dňa predložila a spoluzákonodarcovia prijali 19 legislatívnych n</w:t>
      </w:r>
      <w:r>
        <w:rPr>
          <w:noProof/>
        </w:rPr>
        <w:t>ávrhov. Komisia okrem toho prijala 63 nelegislatívnych aktov a uverejnila 100 oznamov o pripravenosti.</w:t>
      </w:r>
    </w:p>
    <w:p w:rsidR="00927BC9" w:rsidRDefault="000664B9">
      <w:pPr>
        <w:pBdr>
          <w:top w:val="nil"/>
          <w:left w:val="nil"/>
          <w:bottom w:val="nil"/>
          <w:right w:val="nil"/>
          <w:between w:val="nil"/>
          <w:bar w:val="nil"/>
        </w:pBdr>
        <w:spacing w:before="0" w:after="240"/>
        <w:rPr>
          <w:noProof/>
        </w:rPr>
      </w:pPr>
      <w:r>
        <w:rPr>
          <w:noProof/>
        </w:rPr>
        <w:t>Zásady krízových opatrení na všetkých úrovniach boli stanovené v druhom oznámení o pripravenosti na brexit z 13. novembra 2018</w:t>
      </w:r>
      <w:r>
        <w:rPr>
          <w:rStyle w:val="FootnoteReference"/>
          <w:noProof/>
        </w:rPr>
        <w:footnoteReference w:id="3"/>
      </w:r>
      <w:r>
        <w:rPr>
          <w:noProof/>
        </w:rPr>
        <w:t>. Medzi ne patrí najmä to,</w:t>
      </w:r>
      <w:r>
        <w:rPr>
          <w:noProof/>
        </w:rPr>
        <w:t xml:space="preserve"> že opatrenia nebudú slúžiť na nápravu škôd, ktorým bolo možné predísť opatreniami na zaistenie pripravenosti a včasnými krokmi príslušných zainteresovaných strán.</w:t>
      </w:r>
    </w:p>
    <w:p w:rsidR="00927BC9" w:rsidRDefault="000664B9">
      <w:pPr>
        <w:pBdr>
          <w:top w:val="nil"/>
          <w:left w:val="nil"/>
          <w:bottom w:val="nil"/>
          <w:right w:val="nil"/>
          <w:between w:val="nil"/>
          <w:bar w:val="nil"/>
        </w:pBdr>
        <w:spacing w:before="0" w:after="240"/>
        <w:rPr>
          <w:noProof/>
        </w:rPr>
      </w:pPr>
      <w:r>
        <w:rPr>
          <w:noProof/>
        </w:rPr>
        <w:t>Ako sa uvádza v štvrtom oznámení o pripravenosti na brexit z 10. apríla 2019</w:t>
      </w:r>
      <w:r>
        <w:rPr>
          <w:rStyle w:val="FootnoteReference"/>
          <w:noProof/>
        </w:rPr>
        <w:footnoteReference w:id="4"/>
      </w:r>
      <w:r>
        <w:rPr>
          <w:noProof/>
        </w:rPr>
        <w:t xml:space="preserve">, v súvislosti </w:t>
      </w:r>
      <w:r>
        <w:rPr>
          <w:noProof/>
        </w:rPr>
        <w:t>s prípravou krízových opatrení je Komisia pripravená navrhnúť opatrenia finančnej podpory na zmiernenie vplyvu v najviac postihnutých oblastiach a odvetviach, pričom zohľadní finančné prostriedky, ktoré sú k dispozícii, a akékoľvek úpravy na strane výdavko</w:t>
      </w:r>
      <w:r>
        <w:rPr>
          <w:noProof/>
        </w:rPr>
        <w:t>v a na strane príjmov rozpočtu EÚ, ktoré by mohli vyplynúť z vystúpenia bez dohody. Pravidlá EÚ v oblasti štátnej pomoci ponúkajú pružné riešenia pre vnútroštátne opatrenia na bezprostrednejšiu podporu dotknutých zainteresovaných strán.</w:t>
      </w:r>
    </w:p>
    <w:p w:rsidR="00927BC9" w:rsidRDefault="000664B9">
      <w:pPr>
        <w:pBdr>
          <w:top w:val="nil"/>
          <w:left w:val="nil"/>
          <w:bottom w:val="nil"/>
          <w:right w:val="nil"/>
          <w:between w:val="nil"/>
          <w:bar w:val="nil"/>
        </w:pBdr>
        <w:spacing w:before="0" w:after="240"/>
        <w:rPr>
          <w:noProof/>
        </w:rPr>
      </w:pPr>
      <w:r>
        <w:rPr>
          <w:noProof/>
        </w:rPr>
        <w:t>Okrem toho môžu mať</w:t>
      </w:r>
      <w:r>
        <w:rPr>
          <w:noProof/>
        </w:rPr>
        <w:t xml:space="preserve"> podniky, najmä malé a stredné podniky s veľkou mierou naviazania na Spojené kráľovstvo, problémy súvisiace so stratou ľahkého prístupu na jeho trh alebo ich môžu inak ovplyvniť komplexnejšie obchodné vzťahy. Dôsledkom by mohla byť strata pracovných miest.</w:t>
      </w:r>
      <w:r>
        <w:rPr>
          <w:noProof/>
        </w:rPr>
        <w:t xml:space="preserve"> Členské štáty môžu pocítiť potrebu konať proti negatívnemu vplyvu na trh práce zavedením schém pomoci na podporu postihnutých podnikov pri riadení zmien alebo zavádzaní opatrení, ktoré by pomohli zachovať úrovne zamestnanosti.</w:t>
      </w:r>
    </w:p>
    <w:p w:rsidR="00927BC9" w:rsidRDefault="000664B9">
      <w:pPr>
        <w:pBdr>
          <w:top w:val="nil"/>
          <w:left w:val="nil"/>
          <w:bottom w:val="nil"/>
          <w:right w:val="nil"/>
          <w:between w:val="nil"/>
          <w:bar w:val="nil"/>
        </w:pBdr>
        <w:spacing w:before="0" w:after="240"/>
        <w:rPr>
          <w:noProof/>
        </w:rPr>
      </w:pPr>
      <w:r>
        <w:rPr>
          <w:noProof/>
        </w:rPr>
        <w:lastRenderedPageBreak/>
        <w:t xml:space="preserve">Ovplyvnená bude aj verejná </w:t>
      </w:r>
      <w:r>
        <w:rPr>
          <w:noProof/>
        </w:rPr>
        <w:t>správa členských štátov, pretože bude musieť vo veľmi krátkom čase vytvoriť ďalšiu infraštruktúru a v niektorých dotknutých odvetviach prijať ďalších zamestnancov.</w:t>
      </w:r>
    </w:p>
    <w:p w:rsidR="00927BC9" w:rsidRDefault="000664B9">
      <w:pPr>
        <w:pBdr>
          <w:top w:val="nil"/>
          <w:left w:val="nil"/>
          <w:bottom w:val="nil"/>
          <w:right w:val="nil"/>
          <w:between w:val="nil"/>
          <w:bar w:val="nil"/>
        </w:pBdr>
        <w:spacing w:before="0" w:after="240"/>
        <w:rPr>
          <w:noProof/>
        </w:rPr>
      </w:pPr>
      <w:r>
        <w:rPr>
          <w:noProof/>
        </w:rPr>
        <w:t>Napríklad v oblasti ciel a nepriamych daní budú musieť vnútroštátne správne orgány vynaložiť</w:t>
      </w:r>
      <w:r>
        <w:rPr>
          <w:noProof/>
        </w:rPr>
        <w:t xml:space="preserve"> značné investície do infraštruktúry a ľudských zdrojov, predovšetkým v členských štátoch, ktoré sú hlavným vstupným a výstupným bodom pre obchod Európskej únie so Spojeným kráľovstvom. V oblasti sanitárnych a rastlinolekárskych kontrol si 27 členských štá</w:t>
      </w:r>
      <w:r>
        <w:rPr>
          <w:noProof/>
        </w:rPr>
        <w:t>tov vytvára nové hraničné inšpekčné stanice, resp. rozširuje existujúce stanice na vstupných miestach dovozu zo Spojeného kráľovstva do EÚ.</w:t>
      </w:r>
    </w:p>
    <w:p w:rsidR="00927BC9" w:rsidRDefault="000664B9">
      <w:pPr>
        <w:pBdr>
          <w:top w:val="nil"/>
          <w:left w:val="nil"/>
          <w:bottom w:val="nil"/>
          <w:right w:val="nil"/>
          <w:between w:val="nil"/>
          <w:bar w:val="nil"/>
        </w:pBdr>
        <w:spacing w:before="0" w:after="240"/>
        <w:rPr>
          <w:noProof/>
        </w:rPr>
      </w:pPr>
      <w:r>
        <w:rPr>
          <w:noProof/>
        </w:rPr>
        <w:t>Uvedené druhy opatrení budú mať pravdepodobne výrazný vplyv na verejné výdavky, najmä v krátkodobom horizonte a v čl</w:t>
      </w:r>
      <w:r>
        <w:rPr>
          <w:noProof/>
        </w:rPr>
        <w:t>enských štátoch, ktoré táto udalosť zasiahla najviac. Pre verejné financie uvedených členských štátov by to mohlo znamenať veľkú katastrofu, čo by spôsobilo naliehavú potrebu dodatočných verejných finančných prostriedkov. Preto ak by sa rozsah pôsobnosti F</w:t>
      </w:r>
      <w:r>
        <w:rPr>
          <w:noProof/>
        </w:rPr>
        <w:t>ondu solidarity Európskej únie (FSEÚ) rozšíril tak, že by sa vzťahoval aj na negatívny vplyv tohto scenára, uvoľnenie jeho prostriedkov by mohlo týmto členským štátom a ich finančným inštitúciám poskytnúť životne dôležitú pomoc.</w:t>
      </w:r>
    </w:p>
    <w:p w:rsidR="00927BC9" w:rsidRDefault="000664B9">
      <w:pPr>
        <w:pBdr>
          <w:top w:val="nil"/>
          <w:left w:val="nil"/>
          <w:bottom w:val="nil"/>
          <w:right w:val="nil"/>
          <w:between w:val="nil"/>
          <w:bar w:val="nil"/>
        </w:pBdr>
        <w:spacing w:before="0" w:after="240"/>
        <w:rPr>
          <w:noProof/>
        </w:rPr>
      </w:pPr>
      <w:r>
        <w:rPr>
          <w:noProof/>
        </w:rPr>
        <w:t>FSEÚ bol vytvorený v roku 2</w:t>
      </w:r>
      <w:r>
        <w:rPr>
          <w:noProof/>
        </w:rPr>
        <w:t>002 na podporu členských štátov EÚ a pristupujúcich krajín v čase veľkých katastrof spôsobených prírodnými udalosťami, ako sú povodne, búrky, zemetrasenia, sopečné erupcie, lesné požiare alebo suchá. Prostriedky z fondu možno uvoľniť na základe žiadosti pr</w:t>
      </w:r>
      <w:r>
        <w:rPr>
          <w:noProof/>
        </w:rPr>
        <w:t>íslušnej krajiny, ak má katastrofa rozmer, ktorý odôvodňuje intervenciu na európskej úrovni.</w:t>
      </w:r>
    </w:p>
    <w:p w:rsidR="00927BC9" w:rsidRDefault="000664B9">
      <w:pPr>
        <w:pBdr>
          <w:top w:val="nil"/>
          <w:left w:val="nil"/>
          <w:bottom w:val="nil"/>
          <w:right w:val="nil"/>
          <w:between w:val="nil"/>
          <w:bar w:val="nil"/>
        </w:pBdr>
        <w:spacing w:before="0" w:after="240"/>
        <w:rPr>
          <w:noProof/>
        </w:rPr>
      </w:pPr>
      <w:r>
        <w:rPr>
          <w:noProof/>
        </w:rPr>
        <w:t>Jeho fungovanie je konkrétnym vyjadrením skutočnej solidarity EÚ, v rámci ktorej sa členské štáty dohodli na vzájomnej podpore v podobe poskytnutia dodatočných fin</w:t>
      </w:r>
      <w:r>
        <w:rPr>
          <w:noProof/>
        </w:rPr>
        <w:t>ančných prostriedkov z rozpočtu EÚ.</w:t>
      </w:r>
    </w:p>
    <w:p w:rsidR="00927BC9" w:rsidRDefault="000664B9">
      <w:pPr>
        <w:pBdr>
          <w:top w:val="nil"/>
          <w:left w:val="nil"/>
          <w:bottom w:val="nil"/>
          <w:right w:val="nil"/>
          <w:between w:val="nil"/>
          <w:bar w:val="nil"/>
        </w:pBdr>
        <w:spacing w:before="0" w:after="240"/>
        <w:rPr>
          <w:noProof/>
        </w:rPr>
      </w:pPr>
      <w:r>
        <w:rPr>
          <w:noProof/>
        </w:rPr>
        <w:t>Napriek už prijatým alebo plánovaným opatreniam sa možno domnievať, že niektoré členské štáty z dôvodu mimoriadne úzkeho ekonomického a obchodného vzťahu so Spojeným kráľovstvom ovplyvní vystúpenie bez dohody viac ako in</w:t>
      </w:r>
      <w:r>
        <w:rPr>
          <w:noProof/>
        </w:rPr>
        <w:t>é členské štáty. Aj keď je mimoriadne ťažké presne ho posúdiť, bude mať výrazný vplyv na ekonomiku, trh práce a verejné financie, najmä v krátkodobom horizonte. Pôjde síce o ojedinelú udalosť, jej rušivé účinky a z nej vyplývajúca záťaž v oblasti verejných</w:t>
      </w:r>
      <w:r>
        <w:rPr>
          <w:noProof/>
        </w:rPr>
        <w:t xml:space="preserve"> financií, ktoré možno priamo pripísať vystúpeniu bez dohody, by však mohli predstavovať veľkú katastrofu, a preto by aktivácia „zásady solidarity“, ktorá je základom FSEÚ, bola na účely zmiernenia týchto účinkov odôvodnená.</w:t>
      </w:r>
    </w:p>
    <w:p w:rsidR="00927BC9" w:rsidRDefault="000664B9">
      <w:pPr>
        <w:pStyle w:val="ManualHeading2"/>
        <w:rPr>
          <w:rFonts w:eastAsia="Arial Unicode MS"/>
          <w:noProof/>
          <w:u w:color="000000"/>
          <w:bdr w:val="nil"/>
        </w:rPr>
      </w:pPr>
      <w:r>
        <w:rPr>
          <w:noProof/>
        </w:rPr>
        <w:t>•</w:t>
      </w:r>
      <w:r>
        <w:rPr>
          <w:noProof/>
          <w:u w:color="000000"/>
          <w:bdr w:val="nil"/>
        </w:rPr>
        <w:tab/>
      </w:r>
      <w:r>
        <w:rPr>
          <w:noProof/>
        </w:rPr>
        <w:t>Súlad s existujúcimi ustanove</w:t>
      </w:r>
      <w:r>
        <w:rPr>
          <w:noProof/>
        </w:rPr>
        <w:t>niami v tejto oblasti politiky</w:t>
      </w:r>
    </w:p>
    <w:p w:rsidR="00927BC9" w:rsidRDefault="000664B9">
      <w:pPr>
        <w:pBdr>
          <w:top w:val="nil"/>
          <w:left w:val="nil"/>
          <w:bottom w:val="nil"/>
          <w:right w:val="nil"/>
          <w:between w:val="nil"/>
          <w:bar w:val="nil"/>
        </w:pBdr>
        <w:spacing w:before="0" w:after="240"/>
        <w:rPr>
          <w:rFonts w:eastAsia="Arial Unicode MS"/>
          <w:noProof/>
        </w:rPr>
      </w:pPr>
      <w:r>
        <w:rPr>
          <w:noProof/>
        </w:rPr>
        <w:t>Cieľom súčasného návrhu je zmeniť nariadenie Rady (ES) č. 2012/2002 z 11. novembra 2002, ktorým sa zriaďuje Fond solidarity Európskej únie [ďalej len „nariadenie (ES) č. 2012/2002“] s cieľom rozšíriť jeho rozsah pôsobnosti na</w:t>
      </w:r>
      <w:r>
        <w:rPr>
          <w:noProof/>
        </w:rPr>
        <w:t xml:space="preserve"> určité druhy dodatočných verejných výdavkov, ktoré vznikli v dôsledku vystúpenia Spojeného kráľovstva z Európskej únie bez dohody o vystúpení.</w:t>
      </w:r>
    </w:p>
    <w:p w:rsidR="00927BC9" w:rsidRDefault="000664B9">
      <w:pPr>
        <w:pStyle w:val="ManualHeading2"/>
        <w:rPr>
          <w:rFonts w:eastAsia="Arial Unicode MS"/>
          <w:noProof/>
        </w:rPr>
      </w:pPr>
      <w:r>
        <w:rPr>
          <w:noProof/>
          <w:u w:color="000000"/>
          <w:bdr w:val="nil"/>
        </w:rPr>
        <w:t>•</w:t>
      </w:r>
      <w:r>
        <w:rPr>
          <w:noProof/>
          <w:u w:color="000000"/>
          <w:bdr w:val="nil"/>
        </w:rPr>
        <w:tab/>
      </w:r>
      <w:r>
        <w:rPr>
          <w:noProof/>
        </w:rPr>
        <w:t>Súlad s ostatnými politikami Únie</w:t>
      </w:r>
    </w:p>
    <w:p w:rsidR="00927BC9" w:rsidRDefault="000664B9">
      <w:pPr>
        <w:pBdr>
          <w:top w:val="nil"/>
          <w:left w:val="nil"/>
          <w:bottom w:val="nil"/>
          <w:right w:val="nil"/>
          <w:between w:val="nil"/>
          <w:bar w:val="nil"/>
        </w:pBdr>
        <w:spacing w:before="0" w:after="240"/>
        <w:rPr>
          <w:rFonts w:eastAsia="Arial Unicode MS"/>
          <w:noProof/>
        </w:rPr>
      </w:pPr>
      <w:r>
        <w:rPr>
          <w:noProof/>
        </w:rPr>
        <w:t>Návrh je súčasťou prípravy krízových opatrení na vystúpenie Spojeného kráľov</w:t>
      </w:r>
      <w:r>
        <w:rPr>
          <w:noProof/>
        </w:rPr>
        <w:t>stva z Európskej únie.</w:t>
      </w:r>
    </w:p>
    <w:p w:rsidR="00927BC9" w:rsidRDefault="000664B9">
      <w:pPr>
        <w:pStyle w:val="ManualHeading1"/>
        <w:rPr>
          <w:noProof/>
        </w:rPr>
      </w:pPr>
      <w:r>
        <w:rPr>
          <w:noProof/>
        </w:rPr>
        <w:t>2.</w:t>
      </w:r>
      <w:r>
        <w:rPr>
          <w:noProof/>
        </w:rPr>
        <w:tab/>
        <w:t>PRÁVNY ZÁKLAD, SUBSIDIARITA A PROPORCIONALITA</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Právny základ</w:t>
      </w:r>
    </w:p>
    <w:p w:rsidR="00927BC9" w:rsidRDefault="000664B9">
      <w:pPr>
        <w:pBdr>
          <w:top w:val="nil"/>
          <w:left w:val="nil"/>
          <w:bottom w:val="nil"/>
          <w:right w:val="nil"/>
          <w:between w:val="nil"/>
          <w:bar w:val="nil"/>
        </w:pBdr>
        <w:spacing w:before="0" w:after="240"/>
        <w:rPr>
          <w:rFonts w:eastAsia="Arial Unicode MS"/>
          <w:noProof/>
        </w:rPr>
      </w:pPr>
      <w:r>
        <w:rPr>
          <w:noProof/>
        </w:rPr>
        <w:t xml:space="preserve">Keďže ide o zmenu existujúceho nariadenia, vychádza sa z ustanovení, ktoré sú právnym základom nariadenia (ES) č. 2012/2002, t. j. článku 175 Zmluvy o fungovaní </w:t>
      </w:r>
      <w:r>
        <w:rPr>
          <w:noProof/>
        </w:rPr>
        <w:t>Európskej únie (ZFEÚ). Keďže táto zmena sa týka len členských štátov, neuplatňuje sa článok 212 ZFEÚ.</w:t>
      </w:r>
    </w:p>
    <w:p w:rsidR="00927BC9" w:rsidRDefault="000664B9">
      <w:pPr>
        <w:pStyle w:val="ManualHeading2"/>
        <w:rPr>
          <w:noProof/>
          <w:u w:color="000000"/>
          <w:bdr w:val="nil"/>
        </w:rPr>
      </w:pPr>
      <w:r>
        <w:rPr>
          <w:noProof/>
          <w:u w:color="000000"/>
          <w:bdr w:val="nil"/>
        </w:rPr>
        <w:t>•</w:t>
      </w:r>
      <w:r>
        <w:rPr>
          <w:noProof/>
          <w:u w:color="000000"/>
          <w:bdr w:val="nil"/>
        </w:rPr>
        <w:tab/>
        <w:t>Subsidiarita (v prípade inej ako výlučnej právomoci)</w:t>
      </w:r>
    </w:p>
    <w:p w:rsidR="00927BC9" w:rsidRDefault="000664B9">
      <w:pPr>
        <w:pBdr>
          <w:top w:val="nil"/>
          <w:left w:val="nil"/>
          <w:bottom w:val="nil"/>
          <w:right w:val="nil"/>
          <w:between w:val="nil"/>
          <w:bar w:val="nil"/>
        </w:pBdr>
        <w:spacing w:before="0" w:after="240"/>
        <w:rPr>
          <w:noProof/>
        </w:rPr>
      </w:pPr>
      <w:r>
        <w:rPr>
          <w:noProof/>
        </w:rPr>
        <w:t>Cieľom návrhu je rozšíriť rozsah pôsobnosti FSEÚ a prejaviť európsku solidaritu s najviac zasiahnut</w:t>
      </w:r>
      <w:r>
        <w:rPr>
          <w:noProof/>
        </w:rPr>
        <w:t>ými členskými štátmi tak, že sa im poskytne pomoc z fondu na zvládnutie finančnej záťaže, ktorá im vznikla v dôsledku vystúpenia Spojeného kráľovstva z Únie bez dohody. V súlade so zásadou subsidiarity sa v ňom vymedzujú jasné kritériá oprávnenosti na uvoľ</w:t>
      </w:r>
      <w:r>
        <w:rPr>
          <w:noProof/>
        </w:rPr>
        <w:t>nenie prostriedkov z FSEÚ. Pomoc v rámci tohto nástroja sa preto obmedzuje na náklady so závažnými dôsledkami pre ekonomickú a sociálnu situáciu v danom členskom štáte.</w:t>
      </w:r>
    </w:p>
    <w:p w:rsidR="00927BC9" w:rsidRDefault="000664B9">
      <w:pPr>
        <w:pBdr>
          <w:top w:val="nil"/>
          <w:left w:val="nil"/>
          <w:bottom w:val="nil"/>
          <w:right w:val="nil"/>
          <w:between w:val="nil"/>
          <w:bar w:val="nil"/>
        </w:pBdr>
        <w:spacing w:before="0" w:after="240"/>
        <w:rPr>
          <w:noProof/>
        </w:rPr>
      </w:pPr>
      <w:r>
        <w:rPr>
          <w:noProof/>
        </w:rPr>
        <w:t>FSEÚ je založený na zásade subsidiarity. To znamená, že EÚ by mala zasiahnuť len vtedy,</w:t>
      </w:r>
      <w:r>
        <w:rPr>
          <w:noProof/>
        </w:rPr>
        <w:t xml:space="preserve"> ak sa dospeje k záveru, že členský štát už nezvláda krízu sám a potrebuje pomoc. Podľa zákonodarcu k takejto situácii v prípade prírodných katastrof dochádza, keď celkové priame škody prekročia určitú prahovú hodnotu. Nepatrí sem následná ekonomická škoda</w:t>
      </w:r>
      <w:r>
        <w:rPr>
          <w:noProof/>
        </w:rPr>
        <w:t>, pretože sa považuje za príliš zložitú na to, aby ju bolo možné rýchlo, spoľahlivo a porovnateľným spôsobom určiť. Prahová hodnota v prípade prírodných katastrof sa preto definovala ako priame škody presahujúce 0,6 % hrubého národného dôchodku (HND) alebo</w:t>
      </w:r>
      <w:r>
        <w:rPr>
          <w:noProof/>
        </w:rPr>
        <w:t xml:space="preserve"> 3 miliardy EUR (v cenách roku 2011), pričom sa uplatňuje nižšia suma. Toto dvojité kritérium sa vybralo z toho dôvodu, že jedna fixná suma by nezohľadňovala veľké rozdiely v ekonomickej sile (a teda v rozpočtovej reakcieschopnosti) členských štátov a vied</w:t>
      </w:r>
      <w:r>
        <w:rPr>
          <w:noProof/>
        </w:rPr>
        <w:t>la by k veľkej nespravodlivosti a nerovnakému zaobchádzaniu s členskými štátmi. Jedna percentuálna sadzba by viedla buď k mimoriadne nízkym sumám v prípade menších členských štátov, alebo k výrazne vysokým prahovým hodnotám v prípade najväčších ekonomík.</w:t>
      </w:r>
    </w:p>
    <w:p w:rsidR="00927BC9" w:rsidRDefault="000664B9">
      <w:pPr>
        <w:pBdr>
          <w:top w:val="nil"/>
          <w:left w:val="nil"/>
          <w:bottom w:val="nil"/>
          <w:right w:val="nil"/>
          <w:between w:val="nil"/>
          <w:bar w:val="nil"/>
        </w:pBdr>
        <w:spacing w:before="0" w:after="240"/>
        <w:rPr>
          <w:noProof/>
        </w:rPr>
      </w:pPr>
      <w:r>
        <w:rPr>
          <w:noProof/>
        </w:rPr>
        <w:t>V</w:t>
      </w:r>
      <w:r>
        <w:rPr>
          <w:noProof/>
        </w:rPr>
        <w:t xml:space="preserve"> prípade neriadeného vystúpenia Spojeného kráľovstva z EÚ sa očakávajú vážne dôsledky pre ekonomiky členských štátov. Priame škody je však takmer nemožné odhadnúť. Z toho dôvodu nie je možný rovnaký prístup ako pri prírodných katastrofách. Komisia namiesto</w:t>
      </w:r>
      <w:r>
        <w:rPr>
          <w:noProof/>
        </w:rPr>
        <w:t xml:space="preserve"> toho navrhuje, aby sa za referenciu pri určovaní oprávnenosti považovala finančná záťaž na rozpočty členských štátov v súvislosti s riešením dodatočných potrieb vyplývajúcich z vystúpenia bez dohody a priamo s ním spojených. To vo veľkej miere zodpovedá v</w:t>
      </w:r>
      <w:r>
        <w:rPr>
          <w:noProof/>
        </w:rPr>
        <w:t>erejnému podielu na priamych škodách, ktorý je oprávnený na financovanie (napríklad náklady na obnovu verejnej infraštruktúry, pomoc obyvateľstvu, záchranné služby atď.) v prípade prírodných katastrof. Tento oprávnený verejný podiel na celkových škodách je</w:t>
      </w:r>
      <w:r>
        <w:rPr>
          <w:noProof/>
        </w:rPr>
        <w:t xml:space="preserve"> v závislosti od katastrofy a dotknutej krajiny veľmi rozdielny. V priemere predstavuje asi 50 % celkových škôd.</w:t>
      </w:r>
    </w:p>
    <w:p w:rsidR="00927BC9" w:rsidRDefault="000664B9">
      <w:pPr>
        <w:pBdr>
          <w:top w:val="nil"/>
          <w:left w:val="nil"/>
          <w:bottom w:val="nil"/>
          <w:right w:val="nil"/>
          <w:between w:val="nil"/>
          <w:bar w:val="nil"/>
        </w:pBdr>
        <w:spacing w:before="0" w:after="240"/>
        <w:rPr>
          <w:rFonts w:eastAsia="Arial Unicode MS"/>
          <w:noProof/>
        </w:rPr>
      </w:pPr>
      <w:r>
        <w:rPr>
          <w:noProof/>
        </w:rPr>
        <w:t>Komisia preto navrhuje zachovať zásady, na ktorých je založený prístup k FSEÚ. Z toho vyplýva, že ako minimálna úroveň verejných výdavkov súvis</w:t>
      </w:r>
      <w:r>
        <w:rPr>
          <w:noProof/>
        </w:rPr>
        <w:t>iacich s vystúpením bez dohody s cieľom získať prístup k FSEÚ sa definuje nižšia suma z 0,3 % HND alebo 1,5 miliardy EUR v cenách roku 2011, t. j. polovica sumy uplatniteľnej na prírodné katastrofy. Členský štát má poskytnúť dôkazy o týchto výdavkoch a pre</w:t>
      </w:r>
      <w:r>
        <w:rPr>
          <w:noProof/>
        </w:rPr>
        <w:t>ukázať, že priamo súvisia s vystúpením bez dohody.</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Proporcionalita</w:t>
      </w:r>
    </w:p>
    <w:p w:rsidR="00927BC9" w:rsidRDefault="000664B9">
      <w:pPr>
        <w:pBdr>
          <w:top w:val="nil"/>
          <w:left w:val="nil"/>
          <w:bottom w:val="nil"/>
          <w:right w:val="nil"/>
          <w:between w:val="nil"/>
          <w:bar w:val="nil"/>
        </w:pBdr>
        <w:spacing w:before="0" w:after="240"/>
        <w:rPr>
          <w:rFonts w:eastAsia="Arial Unicode MS"/>
          <w:noProof/>
        </w:rPr>
      </w:pPr>
      <w:r>
        <w:rPr>
          <w:noProof/>
        </w:rPr>
        <w:t>Návrh je v súlade so zásadou proporcionality. Neprekračuje rámec toho, čo je nevyhnutné na dosiahnutie cieľov stanovených v rámci existujúceho nástroja.</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Výber nástroja</w:t>
      </w:r>
    </w:p>
    <w:p w:rsidR="00927BC9" w:rsidRDefault="000664B9">
      <w:pPr>
        <w:pBdr>
          <w:top w:val="nil"/>
          <w:left w:val="nil"/>
          <w:bottom w:val="nil"/>
          <w:right w:val="nil"/>
          <w:between w:val="nil"/>
          <w:bar w:val="nil"/>
        </w:pBdr>
        <w:spacing w:before="0" w:after="240"/>
        <w:rPr>
          <w:noProof/>
        </w:rPr>
      </w:pPr>
      <w:r>
        <w:rPr>
          <w:noProof/>
        </w:rPr>
        <w:t>Navrhuje sa uprav</w:t>
      </w:r>
      <w:r>
        <w:rPr>
          <w:noProof/>
        </w:rPr>
        <w:t>iť existujúce nariadenie (ES) č. 2012/2002 s cieľom využiť zavedené postupy a postupy na prípravu a posudzovanie žiadostí o pomoc a na vykonávanie a podávanie správ o pomoci. Tento postup je cielený a obmedzený na zmiernenie ekonomických dôsledkov výnimočn</w:t>
      </w:r>
      <w:r>
        <w:rPr>
          <w:noProof/>
        </w:rPr>
        <w:t>ej situácie, ktorou je vystúpenie Spojeného kráľovstva z Únie bez dohody.</w:t>
      </w:r>
    </w:p>
    <w:p w:rsidR="00927BC9" w:rsidRDefault="000664B9">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noProof/>
          <w:u w:color="000000"/>
          <w:bdr w:val="nil"/>
        </w:rPr>
        <w:t>ex post</w:t>
      </w:r>
      <w:r>
        <w:rPr>
          <w:noProof/>
          <w:u w:color="000000"/>
          <w:bdr w:val="nil"/>
        </w:rPr>
        <w:t>/kontroly vhodnosti existujúcich právnych predpisov</w:t>
      </w:r>
    </w:p>
    <w:p w:rsidR="00927BC9" w:rsidRDefault="000664B9">
      <w:pPr>
        <w:pBdr>
          <w:top w:val="nil"/>
          <w:left w:val="nil"/>
          <w:bottom w:val="nil"/>
          <w:right w:val="nil"/>
          <w:between w:val="nil"/>
          <w:bar w:val="nil"/>
        </w:pBdr>
        <w:spacing w:before="0" w:after="240"/>
        <w:rPr>
          <w:noProof/>
        </w:rPr>
      </w:pPr>
      <w:r>
        <w:rPr>
          <w:noProof/>
        </w:rPr>
        <w:t xml:space="preserve">V hodnotení </w:t>
      </w:r>
      <w:r>
        <w:rPr>
          <w:i/>
          <w:noProof/>
        </w:rPr>
        <w:t>ex post</w:t>
      </w:r>
      <w:r>
        <w:rPr>
          <w:noProof/>
        </w:rPr>
        <w:t xml:space="preserve"> za roky 2002 – 2017</w:t>
      </w:r>
      <w:r>
        <w:rPr>
          <w:rStyle w:val="FootnoteReference"/>
          <w:noProof/>
        </w:rPr>
        <w:footnoteReference w:id="5"/>
      </w:r>
      <w:r>
        <w:rPr>
          <w:noProof/>
        </w:rPr>
        <w:t xml:space="preserve"> sa dospelo k záveru, že fond je cenným nástrojom, ktorý má EÚ k dispozícii na intervencie v katastrofických situáciách, ktorý prináša pridanú hodnotu EÚ k reakcii po katastrofách v členských štátoch a pristupujúcich krajinách. V hodno</w:t>
      </w:r>
      <w:r>
        <w:rPr>
          <w:noProof/>
        </w:rPr>
        <w:t>tení sa takisto vyzvalo, aby sa ešte zvážila možnosť politických opatrení, ktoré zvyšujú intervenčný potenciál fondu.</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rsidR="00927BC9" w:rsidRDefault="000664B9">
      <w:pPr>
        <w:rPr>
          <w:noProof/>
        </w:rPr>
      </w:pPr>
      <w:r>
        <w:rPr>
          <w:noProof/>
        </w:rPr>
        <w:t xml:space="preserve">Vzhľadom na naliehavosť vypracovania návrhu tak, aby ho spoluzákonodarcovia mohli včas prijať, </w:t>
      </w:r>
      <w:r>
        <w:rPr>
          <w:noProof/>
        </w:rPr>
        <w:t>sa konzultácie so zainteresovanými stranami nemohli uskutočniť.</w:t>
      </w:r>
    </w:p>
    <w:p w:rsidR="00927BC9" w:rsidRDefault="000664B9">
      <w:pPr>
        <w:pStyle w:val="ManualHeading2"/>
        <w:rPr>
          <w:noProof/>
          <w:u w:color="000000"/>
          <w:bdr w:val="nil"/>
        </w:rPr>
      </w:pPr>
      <w:r>
        <w:rPr>
          <w:noProof/>
          <w:u w:color="000000"/>
          <w:bdr w:val="nil"/>
        </w:rPr>
        <w:t>•</w:t>
      </w:r>
      <w:r>
        <w:rPr>
          <w:noProof/>
          <w:u w:color="000000"/>
          <w:bdr w:val="nil"/>
        </w:rPr>
        <w:tab/>
        <w:t>Posúdenie vplyvu</w:t>
      </w:r>
    </w:p>
    <w:p w:rsidR="00927BC9" w:rsidRDefault="000664B9">
      <w:pPr>
        <w:pBdr>
          <w:top w:val="nil"/>
          <w:left w:val="nil"/>
          <w:bottom w:val="nil"/>
          <w:right w:val="nil"/>
          <w:between w:val="nil"/>
          <w:bar w:val="nil"/>
        </w:pBdr>
        <w:spacing w:before="0" w:after="240"/>
        <w:rPr>
          <w:noProof/>
        </w:rPr>
      </w:pPr>
      <w:r>
        <w:rPr>
          <w:noProof/>
        </w:rPr>
        <w:t>Vzhľadom na naliehavosť návrhu nebolo vykonané žiadne posúdenie vplyvu.</w:t>
      </w:r>
    </w:p>
    <w:p w:rsidR="00927BC9" w:rsidRDefault="000664B9">
      <w:pPr>
        <w:pStyle w:val="ManualHeading1"/>
        <w:rPr>
          <w:noProof/>
        </w:rPr>
      </w:pPr>
      <w:r>
        <w:rPr>
          <w:noProof/>
        </w:rPr>
        <w:t>4.</w:t>
      </w:r>
      <w:r>
        <w:rPr>
          <w:noProof/>
        </w:rPr>
        <w:tab/>
        <w:t>VPLYV NA ROZPOČET</w:t>
      </w:r>
    </w:p>
    <w:p w:rsidR="00927BC9" w:rsidRDefault="000664B9">
      <w:pPr>
        <w:spacing w:before="0" w:after="240"/>
        <w:rPr>
          <w:noProof/>
        </w:rPr>
      </w:pPr>
      <w:r>
        <w:rPr>
          <w:noProof/>
        </w:rPr>
        <w:t>V záujme zachovania disponibility FSEÚ v prípade veľkých prírodných katastrof, č</w:t>
      </w:r>
      <w:r>
        <w:rPr>
          <w:noProof/>
        </w:rPr>
        <w:t>o je jeho pôvodným účelom, by sa použitie FSEÚ na účely tohto návrhu malo obmedziť na maximálne 50 % jeho ročnej disponibilnej sumy v rokoch 2019 a 2020.</w:t>
      </w:r>
    </w:p>
    <w:p w:rsidR="00927BC9" w:rsidRDefault="000664B9">
      <w:pPr>
        <w:spacing w:before="0" w:after="240"/>
        <w:rPr>
          <w:noProof/>
        </w:rPr>
      </w:pPr>
      <w:r>
        <w:rPr>
          <w:noProof/>
        </w:rPr>
        <w:t>Maximálna výška ročných rozpočtových prostriedkov pridelených z FSEÚ predstavuje 500 mil. EUR v cenách</w:t>
      </w:r>
      <w:r>
        <w:rPr>
          <w:noProof/>
        </w:rPr>
        <w:t xml:space="preserve"> roku 2011. V bežných cenách to znamená 585,8 mil. EUR na rok 2019 plus 597,5 mil. EUR na rok 2020, t. j. spolu 1 183,3 mil. EUR. Na účely tohto návrhu by preto bolo k dispozícii až 591,65 mil. EUR.</w:t>
      </w:r>
    </w:p>
    <w:p w:rsidR="00927BC9" w:rsidRDefault="000664B9">
      <w:pPr>
        <w:pBdr>
          <w:top w:val="nil"/>
          <w:left w:val="nil"/>
          <w:bottom w:val="nil"/>
          <w:right w:val="nil"/>
          <w:between w:val="nil"/>
          <w:bar w:val="nil"/>
        </w:pBdr>
        <w:spacing w:before="0" w:after="240"/>
        <w:rPr>
          <w:noProof/>
        </w:rPr>
      </w:pPr>
      <w:r>
        <w:rPr>
          <w:noProof/>
        </w:rPr>
        <w:t>Na základe pomoci z FSEÚ, ktorá sa mobilizovala už v roku</w:t>
      </w:r>
      <w:r>
        <w:rPr>
          <w:noProof/>
        </w:rPr>
        <w:t xml:space="preserve"> 2019 a ktorá sa mobilizuje v súčasnosti, možno odôvodnene očakávať, že väčšia časť a v každom prípade viac ako polovica rozpočtových prostriedkov pridelených na rok 2019 sa počas daného roka nevyužije a prenesie sa do roku 2020.</w:t>
      </w:r>
    </w:p>
    <w:p w:rsidR="00927BC9" w:rsidRDefault="000664B9">
      <w:pPr>
        <w:pBdr>
          <w:top w:val="nil"/>
          <w:left w:val="nil"/>
          <w:bottom w:val="nil"/>
          <w:right w:val="nil"/>
          <w:between w:val="nil"/>
          <w:bar w:val="nil"/>
        </w:pBdr>
        <w:spacing w:before="0" w:after="240"/>
        <w:rPr>
          <w:noProof/>
        </w:rPr>
      </w:pPr>
      <w:r>
        <w:rPr>
          <w:noProof/>
        </w:rPr>
        <w:t>Revíziou nariadenia o FSEÚ</w:t>
      </w:r>
      <w:r>
        <w:rPr>
          <w:noProof/>
        </w:rPr>
        <w:t xml:space="preserve"> v roku 2014 boli zavedené zálohové platby, ktoré nadobudli účinnosť od roku 2015. Hlavným dôvodom ich zavedenia bolo, že postup potrebný na uvoľnenie prostriedkov z FSEÚ a vyplatenie úplnej pomoci je príliš zdĺhavý (zvyčajne až jeden rok) a že vážna krízo</w:t>
      </w:r>
      <w:r>
        <w:rPr>
          <w:noProof/>
        </w:rPr>
        <w:t>vá situácia si vyžadovala rýchlejšiu reakciu. Takisto sa usúdilo, že dlhé oneskorenia pri poskytovaní pomoci neprospievali obrazu EÚ.</w:t>
      </w:r>
    </w:p>
    <w:p w:rsidR="00927BC9" w:rsidRDefault="000664B9">
      <w:pPr>
        <w:pBdr>
          <w:top w:val="nil"/>
          <w:left w:val="nil"/>
          <w:bottom w:val="nil"/>
          <w:right w:val="nil"/>
          <w:between w:val="nil"/>
          <w:bar w:val="nil"/>
        </w:pBdr>
        <w:spacing w:before="0" w:after="240"/>
        <w:rPr>
          <w:noProof/>
        </w:rPr>
      </w:pPr>
      <w:r>
        <w:rPr>
          <w:noProof/>
        </w:rPr>
        <w:t>Výška záloh sa stanovila na 10 % predpokladaného príspevku z FSEÚ, a to najviac do výšky 30 miliónov EUR. Ukázalo sa, že t</w:t>
      </w:r>
      <w:r>
        <w:rPr>
          <w:noProof/>
        </w:rPr>
        <w:t>áto úroveň nebola uspokojivá. V prípade menších katastrof, pri ktorých príspevok z FSEÚ predstavuje niekoľko miliónov EUR, záloha nie je oveľa vyššia ako niekoľko sto tisíc eur, čo takmer nemení situáciu. V prípade veľmi veľkých katastrof, ako je zemetrase</w:t>
      </w:r>
      <w:r>
        <w:rPr>
          <w:noProof/>
        </w:rPr>
        <w:t>nie v regióne Abruzzo so škodou vo výške 22 miliárd EUR a s príspevkom z FSEÚ vo výške 1,2 miliardy EUR je záloha vo výške najviac 30 miliónov EUR úplne neprimeraná. V oboch scenároch je zálohová platba neprimeraná jej účinkom v praxi. Túto analýzu potvrdz</w:t>
      </w:r>
      <w:r>
        <w:rPr>
          <w:noProof/>
        </w:rPr>
        <w:t xml:space="preserve">uje nedávne </w:t>
      </w:r>
      <w:r>
        <w:rPr>
          <w:i/>
          <w:noProof/>
        </w:rPr>
        <w:t>ex- post</w:t>
      </w:r>
      <w:r>
        <w:rPr>
          <w:noProof/>
        </w:rPr>
        <w:t xml:space="preserve"> hodnotenie FSEÚ (2002 – 2017).</w:t>
      </w:r>
    </w:p>
    <w:p w:rsidR="00927BC9" w:rsidRDefault="000664B9">
      <w:pPr>
        <w:pBdr>
          <w:top w:val="nil"/>
          <w:left w:val="nil"/>
          <w:bottom w:val="nil"/>
          <w:right w:val="nil"/>
          <w:between w:val="nil"/>
          <w:bar w:val="nil"/>
        </w:pBdr>
        <w:spacing w:before="0" w:after="240"/>
        <w:rPr>
          <w:noProof/>
        </w:rPr>
      </w:pPr>
      <w:r>
        <w:rPr>
          <w:noProof/>
        </w:rPr>
        <w:t>Komisia preto navrhuje zvýšiť úroveň zálohových platieb pre jednotlivé katastrofy v prípade všetkých kategórií na 25 % predpokladaného príspevku z FSEÚ, a to najviac do výšky 100 miliónov EUR.</w:t>
      </w:r>
    </w:p>
    <w:p w:rsidR="00927BC9" w:rsidRDefault="000664B9">
      <w:pPr>
        <w:pBdr>
          <w:top w:val="nil"/>
          <w:left w:val="nil"/>
          <w:bottom w:val="nil"/>
          <w:right w:val="nil"/>
          <w:between w:val="nil"/>
          <w:bar w:val="nil"/>
        </w:pBdr>
        <w:spacing w:before="0" w:after="240"/>
        <w:rPr>
          <w:noProof/>
        </w:rPr>
      </w:pPr>
      <w:r>
        <w:rPr>
          <w:noProof/>
        </w:rPr>
        <w:t>Komisia takisto navrhuje zvýšiť celkovú výšku rozpočtových prostriedkov na zálohové platby z FSEÚ v ročnom rozpočte z 50 miliónov EUR na 100 miliónov EUR. V návrhu rozpočtu na rok 2020 nie je tento návrh zapracovaný. S cieľom zabezpečiť v prípade potreby v</w:t>
      </w:r>
      <w:r>
        <w:rPr>
          <w:noProof/>
        </w:rPr>
        <w:t xml:space="preserve">časnú disponibilitu zdrojov Komisia navrhne do rozpočtu na rok 2020 zaradiť dodatočné rozpočtové prostriedky vo výške </w:t>
      </w:r>
      <w:r w:rsidRPr="000664B9">
        <w:rPr>
          <w:noProof/>
        </w:rPr>
        <w:t xml:space="preserve">maximálne </w:t>
      </w:r>
      <w:r w:rsidRPr="000664B9">
        <w:rPr>
          <w:noProof/>
        </w:rPr>
        <w:t>50 miliónov</w:t>
      </w:r>
      <w:bookmarkStart w:id="0" w:name="_GoBack"/>
      <w:bookmarkEnd w:id="0"/>
      <w:r>
        <w:rPr>
          <w:noProof/>
        </w:rPr>
        <w:t xml:space="preserve"> EUR.</w:t>
      </w:r>
    </w:p>
    <w:p w:rsidR="00927BC9" w:rsidRDefault="000664B9">
      <w:pPr>
        <w:pStyle w:val="ManualHeading1"/>
        <w:rPr>
          <w:noProof/>
        </w:rPr>
      </w:pPr>
      <w:r>
        <w:rPr>
          <w:noProof/>
        </w:rPr>
        <w:t>5.</w:t>
      </w:r>
      <w:r>
        <w:rPr>
          <w:noProof/>
        </w:rPr>
        <w:tab/>
        <w:t>ĎALŠIE PRVKY</w:t>
      </w:r>
    </w:p>
    <w:p w:rsidR="00927BC9" w:rsidRDefault="000664B9">
      <w:pPr>
        <w:pStyle w:val="ManualHeading2"/>
        <w:rPr>
          <w:rFonts w:eastAsia="Arial Unicode MS"/>
          <w:noProof/>
          <w:u w:color="000000"/>
          <w:bdr w:val="nil"/>
        </w:rPr>
      </w:pPr>
      <w:r>
        <w:rPr>
          <w:noProof/>
          <w:u w:color="000000"/>
          <w:bdr w:val="nil"/>
        </w:rPr>
        <w:t>•</w:t>
      </w:r>
      <w:r>
        <w:rPr>
          <w:noProof/>
          <w:u w:color="000000"/>
          <w:bdr w:val="nil"/>
        </w:rPr>
        <w:tab/>
        <w:t>Plány vykonávania a spôsob monitorovania, hodnotenia a podávania správ</w:t>
      </w:r>
    </w:p>
    <w:p w:rsidR="00927BC9" w:rsidRDefault="000664B9">
      <w:pPr>
        <w:pBdr>
          <w:top w:val="nil"/>
          <w:left w:val="nil"/>
          <w:bottom w:val="nil"/>
          <w:right w:val="nil"/>
          <w:between w:val="nil"/>
          <w:bar w:val="nil"/>
        </w:pBdr>
        <w:spacing w:before="0" w:after="240"/>
        <w:rPr>
          <w:noProof/>
        </w:rPr>
      </w:pPr>
      <w:r>
        <w:rPr>
          <w:noProof/>
        </w:rPr>
        <w:t xml:space="preserve">Vyžaduje sa maximálna </w:t>
      </w:r>
      <w:r>
        <w:rPr>
          <w:noProof/>
        </w:rPr>
        <w:t>transparentnosť a riadne monitorovanie využívania finančných zdrojov EÚ. Ohlasovacie povinnosti členských štátov a Komisie sa budú uplatňovať v zmysle nariadenia (ES) č. 2012/2002.</w:t>
      </w:r>
    </w:p>
    <w:p w:rsidR="00927BC9" w:rsidRDefault="00927BC9">
      <w:pPr>
        <w:rPr>
          <w:noProof/>
        </w:rPr>
        <w:sectPr w:rsidR="00927BC9">
          <w:footerReference w:type="default" r:id="rId10"/>
          <w:footerReference w:type="first" r:id="rId11"/>
          <w:pgSz w:w="11907" w:h="16839"/>
          <w:pgMar w:top="1134" w:right="1417" w:bottom="1134" w:left="1417" w:header="709" w:footer="709" w:gutter="0"/>
          <w:cols w:space="708"/>
          <w:docGrid w:linePitch="360"/>
        </w:sectPr>
      </w:pPr>
    </w:p>
    <w:p w:rsidR="00927BC9" w:rsidRDefault="000664B9">
      <w:pPr>
        <w:pStyle w:val="Rfrenceinterinstitutionnelle"/>
        <w:rPr>
          <w:noProof/>
        </w:rPr>
      </w:pPr>
      <w:r>
        <w:rPr>
          <w:noProof/>
        </w:rPr>
        <w:t>2019/0183 (COD)</w:t>
      </w:r>
    </w:p>
    <w:p w:rsidR="00927BC9" w:rsidRDefault="000664B9">
      <w:pPr>
        <w:pStyle w:val="Statut"/>
        <w:rPr>
          <w:noProof/>
        </w:rPr>
      </w:pPr>
      <w:r>
        <w:rPr>
          <w:noProof/>
        </w:rPr>
        <w:t>Návrh</w:t>
      </w:r>
    </w:p>
    <w:p w:rsidR="00927BC9" w:rsidRDefault="000664B9">
      <w:pPr>
        <w:pStyle w:val="Typedudocument"/>
        <w:rPr>
          <w:noProof/>
        </w:rPr>
      </w:pPr>
      <w:r>
        <w:rPr>
          <w:noProof/>
        </w:rPr>
        <w:t>NARIADENIE EURÓPSKEHO PARLAMENTU A RADY,</w:t>
      </w:r>
    </w:p>
    <w:p w:rsidR="00927BC9" w:rsidRDefault="000664B9">
      <w:pPr>
        <w:pStyle w:val="Titreobjet"/>
        <w:rPr>
          <w:noProof/>
        </w:rPr>
      </w:pPr>
      <w:r>
        <w:rPr>
          <w:noProof/>
        </w:rPr>
        <w:t>ktorým sa mení nariadenie Rady (ES) č. 2012/2002 s cieľom poskytnúť finančnú pomoc členským štátom na pokrytie vážnej finančnej záťaže, ktorá im vznikla v dôsledku vystúpenia Spojeného kráľovstva z Únie bez do</w:t>
      </w:r>
      <w:r>
        <w:rPr>
          <w:noProof/>
        </w:rPr>
        <w:t>hody</w:t>
      </w:r>
    </w:p>
    <w:p w:rsidR="00927BC9" w:rsidRDefault="000664B9">
      <w:pPr>
        <w:pStyle w:val="Institutionquiagit"/>
        <w:rPr>
          <w:noProof/>
        </w:rPr>
      </w:pPr>
      <w:r>
        <w:rPr>
          <w:noProof/>
        </w:rPr>
        <w:t>EURÓPSKY PARLAMENT A RADA EURÓPSKEJ ÚNIE,</w:t>
      </w:r>
    </w:p>
    <w:p w:rsidR="00927BC9" w:rsidRDefault="000664B9">
      <w:pPr>
        <w:rPr>
          <w:noProof/>
        </w:rPr>
      </w:pPr>
      <w:r>
        <w:rPr>
          <w:noProof/>
        </w:rPr>
        <w:t>so zreteľom na Zmluvu o fungovaní Európskej únie, a najmä na jej článok 175 tretí odsek,</w:t>
      </w:r>
    </w:p>
    <w:p w:rsidR="00927BC9" w:rsidRDefault="000664B9">
      <w:pPr>
        <w:rPr>
          <w:noProof/>
        </w:rPr>
      </w:pPr>
      <w:r>
        <w:rPr>
          <w:noProof/>
        </w:rPr>
        <w:t>so zreteľom na návrh Európskej komisie,</w:t>
      </w:r>
    </w:p>
    <w:p w:rsidR="00927BC9" w:rsidRDefault="000664B9">
      <w:pPr>
        <w:rPr>
          <w:noProof/>
        </w:rPr>
      </w:pPr>
      <w:r>
        <w:rPr>
          <w:noProof/>
        </w:rPr>
        <w:t>po postúpení návrhu legislatívneho aktu národným parlamentom,</w:t>
      </w:r>
    </w:p>
    <w:p w:rsidR="00927BC9" w:rsidRDefault="000664B9">
      <w:pPr>
        <w:rPr>
          <w:noProof/>
        </w:rPr>
      </w:pPr>
      <w:r>
        <w:rPr>
          <w:noProof/>
        </w:rPr>
        <w:t>so zreteľom na sta</w:t>
      </w:r>
      <w:r>
        <w:rPr>
          <w:noProof/>
        </w:rPr>
        <w:t>novisko Európskeho hospodárskeho a sociálneho výboru</w:t>
      </w:r>
      <w:r>
        <w:rPr>
          <w:rStyle w:val="FootnoteReference"/>
          <w:noProof/>
        </w:rPr>
        <w:footnoteReference w:id="6"/>
      </w:r>
      <w:r>
        <w:rPr>
          <w:noProof/>
        </w:rPr>
        <w:t>,</w:t>
      </w:r>
    </w:p>
    <w:p w:rsidR="00927BC9" w:rsidRDefault="000664B9">
      <w:pPr>
        <w:rPr>
          <w:noProof/>
        </w:rPr>
      </w:pPr>
      <w:r>
        <w:rPr>
          <w:noProof/>
        </w:rPr>
        <w:t>so zreteľom na stanovisko Výboru regiónov</w:t>
      </w:r>
      <w:r>
        <w:rPr>
          <w:rStyle w:val="FootnoteReference"/>
          <w:noProof/>
        </w:rPr>
        <w:footnoteReference w:id="7"/>
      </w:r>
      <w:r>
        <w:rPr>
          <w:noProof/>
        </w:rPr>
        <w:t>,</w:t>
      </w:r>
    </w:p>
    <w:p w:rsidR="00927BC9" w:rsidRDefault="000664B9">
      <w:pPr>
        <w:rPr>
          <w:noProof/>
        </w:rPr>
      </w:pPr>
      <w:r>
        <w:rPr>
          <w:noProof/>
        </w:rPr>
        <w:t>konajúc v súlade s riadnym legislatívnym postupom,</w:t>
      </w:r>
    </w:p>
    <w:p w:rsidR="00927BC9" w:rsidRDefault="000664B9">
      <w:pPr>
        <w:rPr>
          <w:noProof/>
        </w:rPr>
      </w:pPr>
      <w:r>
        <w:rPr>
          <w:noProof/>
        </w:rPr>
        <w:t>keďže:</w:t>
      </w:r>
    </w:p>
    <w:p w:rsidR="00927BC9" w:rsidRDefault="000664B9">
      <w:pPr>
        <w:pStyle w:val="ManualConsidrant"/>
        <w:rPr>
          <w:noProof/>
        </w:rPr>
      </w:pPr>
      <w:r>
        <w:t>(1)</w:t>
      </w:r>
      <w:r>
        <w:tab/>
      </w:r>
      <w:r>
        <w:rPr>
          <w:noProof/>
        </w:rPr>
        <w:t>Fond solidarity Európskej únie (ďalej len „fond“) bol zriadený nariadením Rady (ES) č. 2012/200</w:t>
      </w:r>
      <w:r>
        <w:rPr>
          <w:noProof/>
        </w:rPr>
        <w:t>2</w:t>
      </w:r>
      <w:r>
        <w:rPr>
          <w:rStyle w:val="FootnoteReference"/>
          <w:noProof/>
        </w:rPr>
        <w:footnoteReference w:id="8"/>
      </w:r>
      <w:r>
        <w:rPr>
          <w:noProof/>
        </w:rPr>
        <w:t>. Fond bol vytvorený na poskytovanie finančnej pomoci členským štátom v núdzových situáciách ako konkrétny prejav európskej solidarity v ťažkých situáciách.</w:t>
      </w:r>
    </w:p>
    <w:p w:rsidR="00927BC9" w:rsidRDefault="000664B9">
      <w:pPr>
        <w:pStyle w:val="ManualConsidrant"/>
        <w:rPr>
          <w:noProof/>
        </w:rPr>
      </w:pPr>
      <w:r>
        <w:t>(2)</w:t>
      </w:r>
      <w:r>
        <w:tab/>
      </w:r>
      <w:r>
        <w:rPr>
          <w:noProof/>
        </w:rPr>
        <w:t xml:space="preserve">Spojené kráľovstvo 29. marca 2017 predložilo oznámenie o svojom úmysle vystúpiť z Únie podľa </w:t>
      </w:r>
      <w:r>
        <w:rPr>
          <w:noProof/>
        </w:rPr>
        <w:t>článku 50 Zmluvy o Európskej únii (ďalej len „Zmluva o EÚ“). Zmluvy sa na Spojené kráľovstvo prestávajú uplatňovať odo dňa nadobudnutia platnosti dohody o vystúpení, alebo ak dohoda nenadobudne platnosť, po dvoch rokoch od uvedeného oznámenia, pokiaľ Európ</w:t>
      </w:r>
      <w:r>
        <w:rPr>
          <w:noProof/>
        </w:rPr>
        <w:t>ska rada po dohode so Spojeným kráľovstvom jednomyseľne nerozhodne o predĺžení tejto lehoty.</w:t>
      </w:r>
    </w:p>
    <w:p w:rsidR="00927BC9" w:rsidRDefault="000664B9">
      <w:pPr>
        <w:pStyle w:val="ManualConsidrant"/>
        <w:rPr>
          <w:noProof/>
        </w:rPr>
      </w:pPr>
      <w:r>
        <w:t>(3)</w:t>
      </w:r>
      <w:r>
        <w:tab/>
      </w:r>
      <w:r>
        <w:rPr>
          <w:noProof/>
        </w:rPr>
        <w:t>Na základe žiadosti Spojeného kráľovstva Európska rada odsúhlasila 11. apríla 2019</w:t>
      </w:r>
      <w:r>
        <w:rPr>
          <w:rStyle w:val="FootnoteReference"/>
          <w:noProof/>
        </w:rPr>
        <w:footnoteReference w:id="9"/>
      </w:r>
      <w:r>
        <w:rPr>
          <w:noProof/>
        </w:rPr>
        <w:t xml:space="preserve"> ďalšie predĺženie</w:t>
      </w:r>
      <w:r>
        <w:rPr>
          <w:rStyle w:val="FootnoteReference"/>
          <w:noProof/>
        </w:rPr>
        <w:footnoteReference w:id="10"/>
      </w:r>
      <w:r>
        <w:rPr>
          <w:noProof/>
        </w:rPr>
        <w:t xml:space="preserve"> lehoty stanovenej v článku 50 ods. 3 Zmluvy o EÚ do 31. </w:t>
      </w:r>
      <w:r>
        <w:rPr>
          <w:noProof/>
        </w:rPr>
        <w:t>októbra 2019. Ak Spojené kráľovstvo do 31. októbra 2019 neratifikuje dohodu o vystúpení</w:t>
      </w:r>
      <w:r>
        <w:rPr>
          <w:rStyle w:val="FootnoteReference"/>
          <w:noProof/>
        </w:rPr>
        <w:footnoteReference w:id="11"/>
      </w:r>
      <w:r>
        <w:rPr>
          <w:noProof/>
        </w:rPr>
        <w:t xml:space="preserve"> alebo ak nepožiada o tretie predĺženie, ktoré Európska rada jednomyseľne schváli, Spojené kráľovstvo vystúpi z Únie bez dohody a od 1. novembra 2019 sa stane treťou kr</w:t>
      </w:r>
      <w:r>
        <w:rPr>
          <w:noProof/>
        </w:rPr>
        <w:t>ajinou.</w:t>
      </w:r>
    </w:p>
    <w:p w:rsidR="00927BC9" w:rsidRDefault="000664B9">
      <w:pPr>
        <w:pStyle w:val="ManualConsidrant"/>
        <w:rPr>
          <w:noProof/>
        </w:rPr>
      </w:pPr>
      <w:r>
        <w:t>(4)</w:t>
      </w:r>
      <w:r>
        <w:tab/>
      </w:r>
      <w:r>
        <w:rPr>
          <w:noProof/>
        </w:rPr>
        <w:t>S cieľom zmierniť ekonomické dôsledky vystúpenia Spojeného kráľovstva z Únie bez dohody a prejaviť solidaritu s najviac zasiahnutými členskými štátmi za takýchto výnimočných okolností by sa nariadenie (ES) č. 2012/2002 malo zmeniť, aby sa podpo</w:t>
      </w:r>
      <w:r>
        <w:rPr>
          <w:noProof/>
        </w:rPr>
        <w:t>rili súvisiace verejné výdavky.</w:t>
      </w:r>
    </w:p>
    <w:p w:rsidR="00927BC9" w:rsidRDefault="000664B9">
      <w:pPr>
        <w:pStyle w:val="ManualConsidrant"/>
        <w:rPr>
          <w:noProof/>
        </w:rPr>
      </w:pPr>
      <w:r>
        <w:t>(5)</w:t>
      </w:r>
      <w:r>
        <w:tab/>
      </w:r>
      <w:r>
        <w:rPr>
          <w:noProof/>
        </w:rPr>
        <w:t xml:space="preserve">Keďže ide o výnimočné použitie fondu, jeho pomoc na zmiernenie vážnej finančnej záťaže, ktorá členským štátom vznikla ako priamy dôsledok vystúpenia Spojeného kráľovstva z Únie bez dohody, by mala byť cielená a časovo </w:t>
      </w:r>
      <w:r>
        <w:rPr>
          <w:noProof/>
        </w:rPr>
        <w:t>obmedzená, aby sa zachoval pôvodný zmysel fondu a jeho schopnosť reagovať na prírodné katastrofy.</w:t>
      </w:r>
    </w:p>
    <w:p w:rsidR="00927BC9" w:rsidRDefault="000664B9">
      <w:pPr>
        <w:pStyle w:val="ManualConsidrant"/>
        <w:rPr>
          <w:noProof/>
        </w:rPr>
      </w:pPr>
      <w:r>
        <w:t>(6)</w:t>
      </w:r>
      <w:r>
        <w:tab/>
      </w:r>
      <w:r>
        <w:rPr>
          <w:noProof/>
        </w:rPr>
        <w:t>Na účely tohto mimoriadneho využívania fondu je vhodné stanoviť minimálnu výšku odhadovanej škody, po prekročení ktorej členský štát môže požiadať o pomoc</w:t>
      </w:r>
      <w:r>
        <w:rPr>
          <w:noProof/>
        </w:rPr>
        <w:t xml:space="preserve"> z fondu v dôsledku vystúpenia Spojeného kráľovstva z Únie bez dohody. Okrem toho je potrebné zmeniť pravidlá oprávnenosti tak, aby zahŕňali podporu verejných výdavkov, ktoré vznikli v dôsledku vystúpenia Spojeného kráľovstva z Únie bez dohody.</w:t>
      </w:r>
    </w:p>
    <w:p w:rsidR="00927BC9" w:rsidRDefault="000664B9">
      <w:pPr>
        <w:pStyle w:val="ManualConsidrant"/>
        <w:rPr>
          <w:noProof/>
        </w:rPr>
      </w:pPr>
      <w:r>
        <w:t>(7)</w:t>
      </w:r>
      <w:r>
        <w:tab/>
      </w:r>
      <w:r>
        <w:rPr>
          <w:noProof/>
        </w:rPr>
        <w:t>S cieľo</w:t>
      </w:r>
      <w:r>
        <w:rPr>
          <w:noProof/>
        </w:rPr>
        <w:t>m zabezpečiť rovnaké zaobchádzanie medzi členskými štátmi by mala existovať jedna lehota, ktorá sa uplatňuje na všetky členské štáty, pokiaľ ide o predloženie žiadosti o finančný príspevok z fondu, bez možnosti predĺžiť uplatňovanie po danej lehote na pokr</w:t>
      </w:r>
      <w:r>
        <w:rPr>
          <w:noProof/>
        </w:rPr>
        <w:t>ytie dodatočných výdavkov.</w:t>
      </w:r>
    </w:p>
    <w:p w:rsidR="00927BC9" w:rsidRDefault="000664B9">
      <w:pPr>
        <w:pStyle w:val="ManualConsidrant"/>
        <w:rPr>
          <w:noProof/>
        </w:rPr>
      </w:pPr>
      <w:r>
        <w:t>(8)</w:t>
      </w:r>
      <w:r>
        <w:tab/>
      </w:r>
      <w:r>
        <w:rPr>
          <w:noProof/>
        </w:rPr>
        <w:t>S cieľom zachovať disponibilitu fondu pre prírodné katastrofy, čo je jeho pôvodným účelom, by sa mal stanoviť rozpočtový strop na podporu súvisiacu s vystúpením Spojeného kráľovstva z Únie bez dohody.</w:t>
      </w:r>
    </w:p>
    <w:p w:rsidR="00927BC9" w:rsidRDefault="000664B9">
      <w:pPr>
        <w:pStyle w:val="ManualConsidrant"/>
        <w:rPr>
          <w:noProof/>
        </w:rPr>
      </w:pPr>
      <w:r>
        <w:t>(9)</w:t>
      </w:r>
      <w:r>
        <w:tab/>
      </w:r>
      <w:r>
        <w:rPr>
          <w:noProof/>
        </w:rPr>
        <w:t>Na pomoc z fondu v z</w:t>
      </w:r>
      <w:r>
        <w:rPr>
          <w:noProof/>
        </w:rPr>
        <w:t>áujme zmiernenia vážnej finančnej záťaže členských štátov v dôsledku vystúpenia Spojeného kráľovstva z Únie bez dohody by sa mali vzťahovať rovnaké pravidlá vykonávania, monitorovania, podávania správ, kontroly a auditu ako na všetky iné intervencie fondu.</w:t>
      </w:r>
      <w:r>
        <w:rPr>
          <w:noProof/>
        </w:rPr>
        <w:t xml:space="preserve"> Okrem toho vzhľadom na veľký rozsah verejných výdavkov, ktoré sú potenciálne oprávnené na podporu, je dôležité zabezpečiť, aby sa dodržiavali ostatné ustanovenia práva EÚ, najmä pravidlá štátnej pomoci.</w:t>
      </w:r>
    </w:p>
    <w:p w:rsidR="00927BC9" w:rsidRDefault="000664B9">
      <w:pPr>
        <w:pStyle w:val="ManualConsidrant"/>
        <w:rPr>
          <w:noProof/>
        </w:rPr>
      </w:pPr>
      <w:r>
        <w:t>(10)</w:t>
      </w:r>
      <w:r>
        <w:tab/>
      </w:r>
      <w:r>
        <w:rPr>
          <w:noProof/>
        </w:rPr>
        <w:t xml:space="preserve">Komisia by mala byť schopná rýchlo rozhodnúť o </w:t>
      </w:r>
      <w:r>
        <w:rPr>
          <w:noProof/>
        </w:rPr>
        <w:t>viazaní osobitných finančných prostriedkov a ich čo najrýchlejšom uvoľnení. Existujúce ustanovenia týkajúce sa zálohových platieb by sa preto mali posilniť tak, že sa zvýšia ich sumy.</w:t>
      </w:r>
    </w:p>
    <w:p w:rsidR="00927BC9" w:rsidRDefault="000664B9">
      <w:pPr>
        <w:pStyle w:val="ManualConsidrant"/>
        <w:rPr>
          <w:noProof/>
        </w:rPr>
      </w:pPr>
      <w:r>
        <w:t>(11)</w:t>
      </w:r>
      <w:r>
        <w:tab/>
      </w:r>
      <w:r>
        <w:rPr>
          <w:noProof/>
        </w:rPr>
        <w:t>Toto nariadenie by malo z dôvodu naliehavosti nadobudnúť účinnosť d</w:t>
      </w:r>
      <w:r>
        <w:rPr>
          <w:noProof/>
        </w:rPr>
        <w:t xml:space="preserve">ňom nasledujúcim po jeho uverejnení v </w:t>
      </w:r>
      <w:r>
        <w:rPr>
          <w:i/>
          <w:noProof/>
        </w:rPr>
        <w:t>Úradnom vestníku Európskej únie</w:t>
      </w:r>
      <w:r>
        <w:rPr>
          <w:noProof/>
        </w:rPr>
        <w:t xml:space="preserve"> a malo by sa uplatňovať odo dňa nasledujúceho po dni, keď sa zmluvy prestanú vzťahovať na Spojené kráľovstvo podľa článku 50 ods. 3 ZEÚ, ak do uvedeného dátumu nenadobudne platnosť dohod</w:t>
      </w:r>
      <w:r>
        <w:rPr>
          <w:noProof/>
        </w:rPr>
        <w:t>a o vystúpení uzavretá so Spojeným kráľovstvom.</w:t>
      </w:r>
    </w:p>
    <w:p w:rsidR="00927BC9" w:rsidRDefault="000664B9">
      <w:pPr>
        <w:pStyle w:val="ManualConsidrant"/>
        <w:rPr>
          <w:noProof/>
        </w:rPr>
      </w:pPr>
      <w:r>
        <w:t>(12)</w:t>
      </w:r>
      <w:r>
        <w:tab/>
      </w:r>
      <w:r>
        <w:rPr>
          <w:noProof/>
        </w:rPr>
        <w:t>Nariadenie (ES) č. 2012/2002 by sa preto malo zodpovedajúcim spôsobom zmeniť,</w:t>
      </w:r>
    </w:p>
    <w:p w:rsidR="00927BC9" w:rsidRDefault="000664B9">
      <w:pPr>
        <w:pStyle w:val="Formuledadoption"/>
        <w:rPr>
          <w:noProof/>
        </w:rPr>
      </w:pPr>
      <w:r>
        <w:rPr>
          <w:noProof/>
        </w:rPr>
        <w:t>PRIJALI TOTO NARIADENIE:</w:t>
      </w:r>
    </w:p>
    <w:p w:rsidR="00927BC9" w:rsidRDefault="000664B9">
      <w:pPr>
        <w:pStyle w:val="Titrearticle"/>
        <w:rPr>
          <w:noProof/>
        </w:rPr>
      </w:pPr>
      <w:r>
        <w:rPr>
          <w:noProof/>
        </w:rPr>
        <w:t>Článok 1</w:t>
      </w:r>
    </w:p>
    <w:p w:rsidR="00927BC9" w:rsidRDefault="000664B9">
      <w:pPr>
        <w:rPr>
          <w:noProof/>
        </w:rPr>
      </w:pPr>
      <w:r>
        <w:rPr>
          <w:noProof/>
        </w:rPr>
        <w:t>Nariadenie (ES) č. 2012/2002 sa mení takto:</w:t>
      </w:r>
    </w:p>
    <w:p w:rsidR="00927BC9" w:rsidRDefault="000664B9">
      <w:pPr>
        <w:pStyle w:val="Point0"/>
        <w:rPr>
          <w:noProof/>
        </w:rPr>
      </w:pPr>
      <w:r>
        <w:rPr>
          <w:noProof/>
        </w:rPr>
        <w:t>1.</w:t>
      </w:r>
      <w:r>
        <w:rPr>
          <w:noProof/>
        </w:rPr>
        <w:tab/>
        <w:t>Pred článok 1 sa vkladá tento nadpis:</w:t>
      </w:r>
    </w:p>
    <w:p w:rsidR="00927BC9" w:rsidRDefault="000664B9">
      <w:pPr>
        <w:pStyle w:val="SectionTitle"/>
        <w:rPr>
          <w:noProof/>
        </w:rPr>
      </w:pPr>
      <w:r>
        <w:rPr>
          <w:noProof/>
        </w:rPr>
        <w:t>„HLAVA</w:t>
      </w:r>
      <w:r>
        <w:rPr>
          <w:noProof/>
        </w:rPr>
        <w:t xml:space="preserve"> I</w:t>
      </w:r>
      <w:r>
        <w:rPr>
          <w:noProof/>
        </w:rPr>
        <w:br/>
        <w:t>ROZSAH PÔSOBNOSTI A OPRÁVNENOSŤ“</w:t>
      </w:r>
    </w:p>
    <w:p w:rsidR="00927BC9" w:rsidRDefault="000664B9">
      <w:pPr>
        <w:pStyle w:val="Point0"/>
        <w:rPr>
          <w:noProof/>
        </w:rPr>
      </w:pPr>
      <w:r>
        <w:rPr>
          <w:noProof/>
        </w:rPr>
        <w:t>2.</w:t>
      </w:r>
      <w:r>
        <w:rPr>
          <w:noProof/>
        </w:rPr>
        <w:tab/>
        <w:t>V článku 1 sa dopĺňa tento pododsek:</w:t>
      </w:r>
    </w:p>
    <w:p w:rsidR="00927BC9" w:rsidRDefault="000664B9">
      <w:pPr>
        <w:pStyle w:val="Text1"/>
        <w:rPr>
          <w:noProof/>
        </w:rPr>
      </w:pPr>
      <w:r>
        <w:rPr>
          <w:noProof/>
        </w:rPr>
        <w:t xml:space="preserve">„Na účely tohto nariadenia pojem „veľké katastrofy“ zahŕňa prírodné katastrofy, ako aj situácie, keď členským štátom ako priamy dôsledok vystúpenia Spojeného kráľovstva z Únie bez </w:t>
      </w:r>
      <w:r>
        <w:rPr>
          <w:noProof/>
        </w:rPr>
        <w:t>dohody vznikla vážna finančná záťaž.“</w:t>
      </w:r>
    </w:p>
    <w:p w:rsidR="00927BC9" w:rsidRDefault="000664B9">
      <w:pPr>
        <w:pStyle w:val="Point0"/>
        <w:rPr>
          <w:noProof/>
        </w:rPr>
      </w:pPr>
      <w:r>
        <w:rPr>
          <w:noProof/>
        </w:rPr>
        <w:t>3.</w:t>
      </w:r>
      <w:r>
        <w:rPr>
          <w:noProof/>
        </w:rPr>
        <w:tab/>
        <w:t>Vkladajú sa tieto nové články 3a a 3b:</w:t>
      </w:r>
    </w:p>
    <w:p w:rsidR="00927BC9" w:rsidRDefault="000664B9">
      <w:pPr>
        <w:pStyle w:val="Titrearticle"/>
        <w:rPr>
          <w:noProof/>
        </w:rPr>
      </w:pPr>
      <w:r>
        <w:rPr>
          <w:noProof/>
        </w:rPr>
        <w:t>„Článok 3a</w:t>
      </w:r>
    </w:p>
    <w:p w:rsidR="00927BC9" w:rsidRDefault="000664B9">
      <w:pPr>
        <w:pStyle w:val="Point1"/>
        <w:rPr>
          <w:noProof/>
        </w:rPr>
      </w:pPr>
      <w:r>
        <w:rPr>
          <w:noProof/>
        </w:rPr>
        <w:t>1.</w:t>
      </w:r>
      <w:r>
        <w:rPr>
          <w:noProof/>
        </w:rPr>
        <w:tab/>
        <w:t>Na žiadosť členského štátu sa môže pomoc z fondu mobilizovať aj vtedy, keď tomuto členskému štátu vznikne vážna finančná záťaž ako priamy dôsledok vystúpenia Spoj</w:t>
      </w:r>
      <w:r>
        <w:rPr>
          <w:noProof/>
        </w:rPr>
        <w:t>eného kráľovstva z Únie bez dohody v súlade s článkom 50 ods. 2 ZEÚ („vystúpenie bez dohody“). Pomoc sa poskytuje vo forme finančného príspevku z fondu.</w:t>
      </w:r>
    </w:p>
    <w:p w:rsidR="00927BC9" w:rsidRDefault="000664B9">
      <w:pPr>
        <w:pStyle w:val="Point1"/>
        <w:rPr>
          <w:noProof/>
        </w:rPr>
      </w:pPr>
      <w:r>
        <w:rPr>
          <w:noProof/>
        </w:rPr>
        <w:t>2.</w:t>
      </w:r>
      <w:r>
        <w:rPr>
          <w:noProof/>
        </w:rPr>
        <w:tab/>
        <w:t>Disponibilné rozpočtové prostriedky na tento cieľ sú obmedzené na polovicu maximálnej sumy, ktorá je</w:t>
      </w:r>
      <w:r>
        <w:rPr>
          <w:noProof/>
        </w:rPr>
        <w:t xml:space="preserve"> k dispozícii na intervenciu fondu na roky 2019 a 2020.</w:t>
      </w:r>
    </w:p>
    <w:p w:rsidR="00927BC9" w:rsidRDefault="000664B9">
      <w:pPr>
        <w:pStyle w:val="Point1"/>
        <w:rPr>
          <w:noProof/>
        </w:rPr>
      </w:pPr>
      <w:r>
        <w:rPr>
          <w:noProof/>
        </w:rPr>
        <w:t>3.</w:t>
      </w:r>
      <w:r>
        <w:rPr>
          <w:noProof/>
        </w:rPr>
        <w:tab/>
        <w:t>Táto pomoc pokrýva časť dodatočných verejných výdavkov, ktoré boli priamo spôsobené vystúpením bez dohody a ktoré vznikli výlučne medzi dátumom vystúpenia bez dohody a 31. decembrom 2020 („vážna fi</w:t>
      </w:r>
      <w:r>
        <w:rPr>
          <w:noProof/>
        </w:rPr>
        <w:t>nančná záťaž“).</w:t>
      </w:r>
    </w:p>
    <w:p w:rsidR="00927BC9" w:rsidRDefault="000664B9">
      <w:pPr>
        <w:pStyle w:val="Point1"/>
        <w:rPr>
          <w:noProof/>
        </w:rPr>
      </w:pPr>
      <w:r>
        <w:rPr>
          <w:noProof/>
        </w:rPr>
        <w:t>4.</w:t>
      </w:r>
      <w:r>
        <w:rPr>
          <w:noProof/>
        </w:rPr>
        <w:tab/>
        <w:t>Členský štát je oprávnený požiadať o pomoc podľa tohto článku, ak sa jeho finančná záťaž odhaduje buď na viac ako 1 500 000 000 EUR v cenách roku 2011, alebo na viac ako 0,3 % jeho HND.</w:t>
      </w:r>
    </w:p>
    <w:p w:rsidR="00927BC9" w:rsidRDefault="000664B9">
      <w:pPr>
        <w:pStyle w:val="Point1"/>
        <w:rPr>
          <w:noProof/>
        </w:rPr>
      </w:pPr>
      <w:r>
        <w:rPr>
          <w:noProof/>
        </w:rPr>
        <w:t>5.</w:t>
      </w:r>
      <w:r>
        <w:rPr>
          <w:noProof/>
        </w:rPr>
        <w:tab/>
        <w:t>O pomoc z fondu podľa tohto článku môžu požiadať</w:t>
      </w:r>
      <w:r>
        <w:rPr>
          <w:noProof/>
        </w:rPr>
        <w:t xml:space="preserve"> len členské štáty.</w:t>
      </w:r>
    </w:p>
    <w:p w:rsidR="00927BC9" w:rsidRDefault="000664B9">
      <w:pPr>
        <w:pStyle w:val="Titrearticle"/>
        <w:rPr>
          <w:noProof/>
        </w:rPr>
      </w:pPr>
      <w:r>
        <w:rPr>
          <w:noProof/>
        </w:rPr>
        <w:t>Článok 3b</w:t>
      </w:r>
    </w:p>
    <w:p w:rsidR="00927BC9" w:rsidRDefault="000664B9">
      <w:pPr>
        <w:pStyle w:val="Point1"/>
        <w:rPr>
          <w:noProof/>
        </w:rPr>
      </w:pPr>
      <w:r>
        <w:rPr>
          <w:noProof/>
        </w:rPr>
        <w:t>1.</w:t>
      </w:r>
      <w:r>
        <w:rPr>
          <w:noProof/>
        </w:rPr>
        <w:tab/>
        <w:t>Pomoc poskytovaná podľa článku 3a sa vzťahuje len na finančnú záťaž, ktorá vznikla členskému štátu na rozdiel od situácie, ak by bola uzatvorená dohoda medzi Úniou a Spojeným kráľovstvom. Takáto pomoc sa môže použiť napríkl</w:t>
      </w:r>
      <w:r>
        <w:rPr>
          <w:noProof/>
        </w:rPr>
        <w:t>ad na poskytnutie podpory podnikom, ktoré ovplyvnilo vystúpenie bez dohody, vrátane podpory na opatrenia štátnej pomoci v prípade týchto podnikov a súvisiacich intervencií, opatrení na zachovanie existujúceho zamestnania a zabezpečenia fungovania hraničnýc</w:t>
      </w:r>
      <w:r>
        <w:rPr>
          <w:noProof/>
        </w:rPr>
        <w:t>h, colných, sanitárnych a rastlinolekárskych kontrol vrátane dodatočného personálu a infraštruktúry.</w:t>
      </w:r>
    </w:p>
    <w:p w:rsidR="00927BC9" w:rsidRDefault="000664B9">
      <w:pPr>
        <w:pStyle w:val="Point1"/>
        <w:rPr>
          <w:noProof/>
        </w:rPr>
      </w:pPr>
      <w:r>
        <w:rPr>
          <w:noProof/>
        </w:rPr>
        <w:t>2.</w:t>
      </w:r>
      <w:r>
        <w:rPr>
          <w:noProof/>
        </w:rPr>
        <w:tab/>
        <w:t>Oprávnenými výdavkami nie je DPH.</w:t>
      </w:r>
    </w:p>
    <w:p w:rsidR="00927BC9" w:rsidRDefault="000664B9">
      <w:pPr>
        <w:pStyle w:val="Point1"/>
        <w:rPr>
          <w:noProof/>
        </w:rPr>
      </w:pPr>
      <w:r>
        <w:rPr>
          <w:noProof/>
        </w:rPr>
        <w:t>3.</w:t>
      </w:r>
      <w:r>
        <w:rPr>
          <w:noProof/>
        </w:rPr>
        <w:tab/>
        <w:t>Oprávnenými výdavkami nie je strata príjmov členského štátu.</w:t>
      </w:r>
    </w:p>
    <w:p w:rsidR="00927BC9" w:rsidRDefault="000664B9">
      <w:pPr>
        <w:pStyle w:val="Point1"/>
        <w:rPr>
          <w:noProof/>
        </w:rPr>
      </w:pPr>
      <w:r>
        <w:rPr>
          <w:noProof/>
        </w:rPr>
        <w:t>4.</w:t>
      </w:r>
      <w:r>
        <w:rPr>
          <w:noProof/>
        </w:rPr>
        <w:tab/>
        <w:t>Na finančný príspevok z fondu nie je oprávnená tech</w:t>
      </w:r>
      <w:r>
        <w:rPr>
          <w:noProof/>
        </w:rPr>
        <w:t xml:space="preserve">nická pomoc pri riadení, monitorovaní, poskytovaní informácií a pri komunikácii, riešení sťažností, kontrole a audite. Oprávnené ako súčasť projektových nákladov sú náklady týkajúce sa prípravy a vykonávania operácií na zmiernenie finančnej záťaže vrátane </w:t>
      </w:r>
      <w:r>
        <w:rPr>
          <w:noProof/>
        </w:rPr>
        <w:t>nákladov týkajúcich sa základných technických expertíz.</w:t>
      </w:r>
    </w:p>
    <w:p w:rsidR="00927BC9" w:rsidRDefault="000664B9">
      <w:pPr>
        <w:pStyle w:val="Point1"/>
        <w:rPr>
          <w:noProof/>
        </w:rPr>
      </w:pPr>
      <w:r>
        <w:rPr>
          <w:noProof/>
        </w:rPr>
        <w:t>5.</w:t>
      </w:r>
      <w:r>
        <w:rPr>
          <w:noProof/>
        </w:rPr>
        <w:tab/>
        <w:t>Ak z operácií uvedených v odseku 1, na ktoré sa poskytuje finančný príspevok z fondu, vznikne príjem, celkový finančný príspevok z fondu nesmie presiahnuť celkovú čistú finančnú záťaž členského štá</w:t>
      </w:r>
      <w:r>
        <w:rPr>
          <w:noProof/>
        </w:rPr>
        <w:t>tu. Členský štát zapracuje na tento účel do správy o implementácii finančného príspevku z fondu podľa článku 8 ods. 3 vyhlásenie.</w:t>
      </w:r>
    </w:p>
    <w:p w:rsidR="00927BC9" w:rsidRDefault="000664B9">
      <w:pPr>
        <w:pStyle w:val="Point1"/>
        <w:rPr>
          <w:noProof/>
        </w:rPr>
      </w:pPr>
      <w:r>
        <w:rPr>
          <w:noProof/>
        </w:rPr>
        <w:t>6.</w:t>
      </w:r>
      <w:r>
        <w:rPr>
          <w:noProof/>
        </w:rPr>
        <w:tab/>
        <w:t>Oprávnené výdavky sa môžu vzťahovať len na operácie, ktoré sú v súlade s právom Únie vrátane pravidiel štátnej pomoci.“</w:t>
      </w:r>
    </w:p>
    <w:p w:rsidR="00927BC9" w:rsidRDefault="000664B9">
      <w:pPr>
        <w:pStyle w:val="Point0"/>
        <w:rPr>
          <w:noProof/>
        </w:rPr>
      </w:pPr>
      <w:r>
        <w:rPr>
          <w:noProof/>
        </w:rPr>
        <w:t>4.</w:t>
      </w:r>
      <w:r>
        <w:rPr>
          <w:noProof/>
        </w:rPr>
        <w:tab/>
      </w:r>
      <w:r>
        <w:rPr>
          <w:noProof/>
        </w:rPr>
        <w:t>Pred článok 4 sa vkladá tento nadpis:</w:t>
      </w:r>
    </w:p>
    <w:p w:rsidR="00927BC9" w:rsidRDefault="000664B9">
      <w:pPr>
        <w:pStyle w:val="SectionTitle"/>
        <w:rPr>
          <w:noProof/>
        </w:rPr>
      </w:pPr>
      <w:r>
        <w:rPr>
          <w:noProof/>
        </w:rPr>
        <w:t>„Hlava II</w:t>
      </w:r>
      <w:r>
        <w:rPr>
          <w:noProof/>
        </w:rPr>
        <w:br/>
        <w:t>Postupy</w:t>
      </w:r>
    </w:p>
    <w:p w:rsidR="00927BC9" w:rsidRDefault="000664B9">
      <w:pPr>
        <w:pStyle w:val="ChapterTitle"/>
        <w:rPr>
          <w:noProof/>
        </w:rPr>
      </w:pPr>
      <w:r>
        <w:rPr>
          <w:noProof/>
        </w:rPr>
        <w:t>Kapitola I</w:t>
      </w:r>
      <w:r>
        <w:rPr>
          <w:noProof/>
        </w:rPr>
        <w:br/>
        <w:t>Prírodné katastrofy“</w:t>
      </w:r>
    </w:p>
    <w:p w:rsidR="00927BC9" w:rsidRDefault="000664B9">
      <w:pPr>
        <w:pStyle w:val="Point0"/>
        <w:rPr>
          <w:noProof/>
        </w:rPr>
      </w:pPr>
      <w:r>
        <w:rPr>
          <w:noProof/>
        </w:rPr>
        <w:t>5.</w:t>
      </w:r>
      <w:r>
        <w:rPr>
          <w:noProof/>
        </w:rPr>
        <w:tab/>
        <w:t>Pred článok 4a sa vkladá tento nadpis:</w:t>
      </w:r>
    </w:p>
    <w:p w:rsidR="00927BC9" w:rsidRDefault="000664B9">
      <w:pPr>
        <w:pStyle w:val="ChapterTitle"/>
        <w:rPr>
          <w:noProof/>
        </w:rPr>
      </w:pPr>
      <w:r>
        <w:rPr>
          <w:noProof/>
        </w:rPr>
        <w:t>„Kapitola II</w:t>
      </w:r>
      <w:r>
        <w:rPr>
          <w:noProof/>
        </w:rPr>
        <w:br/>
        <w:t>Vystúpenie Spojeného kráľovstva z Únie“</w:t>
      </w:r>
    </w:p>
    <w:p w:rsidR="00927BC9" w:rsidRDefault="000664B9">
      <w:pPr>
        <w:pStyle w:val="Point0"/>
        <w:rPr>
          <w:noProof/>
        </w:rPr>
      </w:pPr>
      <w:r>
        <w:rPr>
          <w:noProof/>
        </w:rPr>
        <w:t>6.</w:t>
      </w:r>
      <w:r>
        <w:rPr>
          <w:noProof/>
        </w:rPr>
        <w:tab/>
        <w:t>Článok 4a sa nahrádza takto:</w:t>
      </w:r>
    </w:p>
    <w:p w:rsidR="00927BC9" w:rsidRDefault="000664B9">
      <w:pPr>
        <w:pStyle w:val="Titrearticle"/>
        <w:rPr>
          <w:noProof/>
        </w:rPr>
      </w:pPr>
      <w:r>
        <w:rPr>
          <w:noProof/>
        </w:rPr>
        <w:t>„Článok 4a</w:t>
      </w:r>
    </w:p>
    <w:p w:rsidR="00927BC9" w:rsidRDefault="000664B9">
      <w:pPr>
        <w:pStyle w:val="Point1"/>
        <w:rPr>
          <w:noProof/>
        </w:rPr>
      </w:pPr>
      <w:r>
        <w:rPr>
          <w:noProof/>
        </w:rPr>
        <w:t>1.</w:t>
      </w:r>
      <w:r>
        <w:rPr>
          <w:noProof/>
        </w:rPr>
        <w:tab/>
        <w:t>Príslušné vnútroštátne orgá</w:t>
      </w:r>
      <w:r>
        <w:rPr>
          <w:noProof/>
        </w:rPr>
        <w:t xml:space="preserve">ny členského štátu môžu Komisii predložiť jednu žiadosť o finančný príspevok z fondu v súlade s článkom 3a najneskôr do 30. apríla 2020. Žiadosť obsahuje minimálne všetky relevantné informácie o finančnej záťaži uvedeného členského štátu. Sú v nej opísané </w:t>
      </w:r>
      <w:r>
        <w:rPr>
          <w:noProof/>
        </w:rPr>
        <w:t>verejné opatrenia prijaté v reakcii na vystúpenie bez dohody, pričom sa uvedú ich čisté náklady do 31. decembra 2020 a dôvody, prečo sa im nedalo zabrániť prostredníctvom opatrení na zaistenie pripravenosti. Správa by mala obsahovať aj odôvodnenie týkajúce</w:t>
      </w:r>
      <w:r>
        <w:rPr>
          <w:noProof/>
        </w:rPr>
        <w:t xml:space="preserve"> sa priameho účinku vystúpenia bez dohody.</w:t>
      </w:r>
    </w:p>
    <w:p w:rsidR="00927BC9" w:rsidRDefault="000664B9">
      <w:pPr>
        <w:pStyle w:val="Point1"/>
        <w:rPr>
          <w:noProof/>
        </w:rPr>
      </w:pPr>
      <w:r>
        <w:rPr>
          <w:noProof/>
        </w:rPr>
        <w:t>2.</w:t>
      </w:r>
      <w:r>
        <w:rPr>
          <w:noProof/>
        </w:rPr>
        <w:tab/>
        <w:t>Komisia vypracuje usmernenia o efektívnom prístupe k fondu a jeho využívaní. Usmernenia budú zahŕňať podrobné informácie o príprave žiadosti a informácie, ktoré sa majú poskytnúť Komisii, vrátane dôkazov týkajú</w:t>
      </w:r>
      <w:r>
        <w:rPr>
          <w:noProof/>
        </w:rPr>
        <w:t>cich sa vzniknutej finančnej záťaže, ktoré sa majú predložiť. Usmernenia sa zverejnia na webových stránkach príslušného generálneho riaditeľstva Komisie a Komisia zabezpečí ich sprostredkovanie členským štátom.</w:t>
      </w:r>
    </w:p>
    <w:p w:rsidR="00927BC9" w:rsidRDefault="000664B9">
      <w:pPr>
        <w:pStyle w:val="Point1"/>
        <w:rPr>
          <w:noProof/>
        </w:rPr>
      </w:pPr>
      <w:r>
        <w:rPr>
          <w:noProof/>
        </w:rPr>
        <w:t>3.</w:t>
      </w:r>
      <w:r>
        <w:rPr>
          <w:noProof/>
        </w:rPr>
        <w:tab/>
        <w:t>Komisia po 30. apríli 2020 v prípade všetk</w:t>
      </w:r>
      <w:r>
        <w:rPr>
          <w:noProof/>
        </w:rPr>
        <w:t>ých prijatých žiadostí posúdi na základe informácií uvedených v odsekoch 1 a 2, či sú v jednotlivých prípadoch splnené podmienky na uvoľnenie prostriedkov z fondu, a určí výšku akéhokoľvek možného finančného príspevku z fondu v rámci disponibilných finančn</w:t>
      </w:r>
      <w:r>
        <w:rPr>
          <w:noProof/>
        </w:rPr>
        <w:t>ých zdrojov.</w:t>
      </w:r>
    </w:p>
    <w:p w:rsidR="00927BC9" w:rsidRDefault="000664B9">
      <w:pPr>
        <w:pStyle w:val="Point1"/>
        <w:rPr>
          <w:noProof/>
        </w:rPr>
      </w:pPr>
      <w:r>
        <w:rPr>
          <w:noProof/>
        </w:rPr>
        <w:t>4.</w:t>
      </w:r>
      <w:r>
        <w:rPr>
          <w:noProof/>
        </w:rPr>
        <w:tab/>
        <w:t xml:space="preserve">Pomoc z fondu sa poskytuje členským štátom, ktoré spĺňajú kritériá oprávnenosti, pričom sa zohľadňujú prahové hodnoty uvedené v článku 3a ods. 4, a to v sadzbe až do 5 % z celkovej finančnej záťaže a v rámci disponibilných rozpočtových </w:t>
      </w:r>
      <w:r>
        <w:rPr>
          <w:noProof/>
        </w:rPr>
        <w:t>prostriedkov. Ak sa ukáže, že disponibilné rozpočtové prostriedky sú nedostatočné, miera pomoci sa proporcionálne zníži.</w:t>
      </w:r>
    </w:p>
    <w:p w:rsidR="00927BC9" w:rsidRDefault="000664B9">
      <w:pPr>
        <w:pStyle w:val="Point1"/>
        <w:rPr>
          <w:noProof/>
        </w:rPr>
      </w:pPr>
      <w:r>
        <w:rPr>
          <w:noProof/>
        </w:rPr>
        <w:t>5.</w:t>
      </w:r>
      <w:r>
        <w:rPr>
          <w:noProof/>
        </w:rPr>
        <w:tab/>
        <w:t xml:space="preserve">Ak Komisia dospela k záveru, že podmienky pre poskytovanie finančného príspevku z fondu uvedené v článku 3a sú splnené, bezodkladne </w:t>
      </w:r>
      <w:r>
        <w:rPr>
          <w:noProof/>
        </w:rPr>
        <w:t>predloží Európskemu parlamentu a Rade potrebné návrhy na uvoľnenie prostriedkov z fondu a na schválenie zodpovedajúcich rozpočtových prostriedkov. Uvedené návrhy obsahujú:</w:t>
      </w:r>
    </w:p>
    <w:p w:rsidR="00927BC9" w:rsidRDefault="000664B9">
      <w:pPr>
        <w:pStyle w:val="Point2"/>
        <w:rPr>
          <w:noProof/>
        </w:rPr>
      </w:pPr>
      <w:r>
        <w:rPr>
          <w:noProof/>
        </w:rPr>
        <w:t>a)</w:t>
      </w:r>
      <w:r>
        <w:rPr>
          <w:noProof/>
        </w:rPr>
        <w:tab/>
        <w:t>všetky dostupné informácie uvedené v odseku 1;</w:t>
      </w:r>
    </w:p>
    <w:p w:rsidR="00927BC9" w:rsidRDefault="000664B9">
      <w:pPr>
        <w:pStyle w:val="Point2"/>
        <w:rPr>
          <w:noProof/>
        </w:rPr>
      </w:pPr>
      <w:r>
        <w:rPr>
          <w:noProof/>
        </w:rPr>
        <w:t>b)</w:t>
      </w:r>
      <w:r>
        <w:rPr>
          <w:noProof/>
        </w:rPr>
        <w:tab/>
        <w:t xml:space="preserve">všetky ďalšie relevantné </w:t>
      </w:r>
      <w:r>
        <w:rPr>
          <w:noProof/>
        </w:rPr>
        <w:t>informácie, ktoré má Komisia;</w:t>
      </w:r>
    </w:p>
    <w:p w:rsidR="00927BC9" w:rsidRDefault="000664B9">
      <w:pPr>
        <w:pStyle w:val="Point2"/>
        <w:rPr>
          <w:noProof/>
        </w:rPr>
      </w:pPr>
      <w:r>
        <w:rPr>
          <w:noProof/>
        </w:rPr>
        <w:t>c)</w:t>
      </w:r>
      <w:r>
        <w:rPr>
          <w:noProof/>
        </w:rPr>
        <w:tab/>
        <w:t>dôkazy preukazujúce to, že sú splnené podmienky uvedené v článku 3a;</w:t>
      </w:r>
    </w:p>
    <w:p w:rsidR="00927BC9" w:rsidRDefault="000664B9">
      <w:pPr>
        <w:pStyle w:val="Point2"/>
        <w:rPr>
          <w:noProof/>
        </w:rPr>
      </w:pPr>
      <w:r>
        <w:rPr>
          <w:noProof/>
        </w:rPr>
        <w:t>d)</w:t>
      </w:r>
      <w:r>
        <w:rPr>
          <w:noProof/>
        </w:rPr>
        <w:tab/>
        <w:t>zdôvodnenie navrhnutých súm.</w:t>
      </w:r>
    </w:p>
    <w:p w:rsidR="00927BC9" w:rsidRDefault="000664B9">
      <w:pPr>
        <w:pStyle w:val="Point1"/>
        <w:rPr>
          <w:noProof/>
        </w:rPr>
      </w:pPr>
      <w:r>
        <w:rPr>
          <w:noProof/>
        </w:rPr>
        <w:t>6.</w:t>
      </w:r>
      <w:r>
        <w:rPr>
          <w:noProof/>
        </w:rPr>
        <w:tab/>
        <w:t>Rozhodnutie o uvoľnení prostriedkov z fondu prijmú spoločne Európsky parlament a Rada čo najskôr po predložení návrhu K</w:t>
      </w:r>
      <w:r>
        <w:rPr>
          <w:noProof/>
        </w:rPr>
        <w:t>omisie. Komisia na jednej strane a Európsky parlament a Rada na strane druhej sa snažia o to, aby čas na uvoľnenie prostriedkov z fondu bol čo najkratší.</w:t>
      </w:r>
    </w:p>
    <w:p w:rsidR="00927BC9" w:rsidRDefault="000664B9">
      <w:pPr>
        <w:pStyle w:val="Point1"/>
        <w:rPr>
          <w:noProof/>
        </w:rPr>
      </w:pPr>
      <w:r>
        <w:rPr>
          <w:noProof/>
        </w:rPr>
        <w:t>7.</w:t>
      </w:r>
      <w:r>
        <w:rPr>
          <w:noProof/>
        </w:rPr>
        <w:tab/>
        <w:t>Hneď ako Európsky parlament a Rada uvoľnia rozpočtové prostriedky, Komisia prijme prostredníctvom v</w:t>
      </w:r>
      <w:r>
        <w:rPr>
          <w:noProof/>
        </w:rPr>
        <w:t>ykonávacieho aktu rozhodnutie o udelení finančného príspevku z fondu a tento finančný príspevok bezodkladne vyplatí v jednej splátke prijímajúcemu štátu. Ak bola vyplatená záloha podľa článku 4b, vyplatí sa iba zostávajúca suma.</w:t>
      </w:r>
    </w:p>
    <w:p w:rsidR="00927BC9" w:rsidRDefault="000664B9">
      <w:pPr>
        <w:pStyle w:val="Point0"/>
        <w:rPr>
          <w:noProof/>
        </w:rPr>
      </w:pPr>
      <w:r>
        <w:rPr>
          <w:noProof/>
        </w:rPr>
        <w:t>7.</w:t>
      </w:r>
      <w:r>
        <w:rPr>
          <w:noProof/>
        </w:rPr>
        <w:tab/>
        <w:t>Za článok 4a sa vkladá t</w:t>
      </w:r>
      <w:r>
        <w:rPr>
          <w:noProof/>
        </w:rPr>
        <w:t>ento nadpis a nový článok 4b:</w:t>
      </w:r>
    </w:p>
    <w:p w:rsidR="00927BC9" w:rsidRDefault="000664B9">
      <w:pPr>
        <w:pStyle w:val="ChapterTitle"/>
        <w:rPr>
          <w:noProof/>
        </w:rPr>
      </w:pPr>
      <w:r>
        <w:rPr>
          <w:noProof/>
        </w:rPr>
        <w:t>„Kapitola III</w:t>
      </w:r>
      <w:r>
        <w:rPr>
          <w:noProof/>
        </w:rPr>
        <w:br/>
        <w:t>Spoločné ustanovenia“</w:t>
      </w:r>
    </w:p>
    <w:p w:rsidR="00927BC9" w:rsidRDefault="000664B9">
      <w:pPr>
        <w:pStyle w:val="Titrearticle"/>
        <w:rPr>
          <w:noProof/>
        </w:rPr>
      </w:pPr>
      <w:r>
        <w:rPr>
          <w:noProof/>
        </w:rPr>
        <w:t xml:space="preserve"> „Článok 4b</w:t>
      </w:r>
    </w:p>
    <w:p w:rsidR="00927BC9" w:rsidRDefault="000664B9">
      <w:pPr>
        <w:pStyle w:val="Point1"/>
        <w:rPr>
          <w:noProof/>
        </w:rPr>
      </w:pPr>
      <w:r>
        <w:rPr>
          <w:noProof/>
        </w:rPr>
        <w:t>1.</w:t>
      </w:r>
      <w:r>
        <w:rPr>
          <w:noProof/>
        </w:rPr>
        <w:tab/>
        <w:t>Členský štát môže pri predložení žiadosti o finančný príspevok z fondu Komisii v prípade škody spôsobenej prírodnou katastrofou požiadať o vyplatenie zálohy. Komisia predbežne</w:t>
      </w:r>
      <w:r>
        <w:rPr>
          <w:noProof/>
        </w:rPr>
        <w:t xml:space="preserve"> posúdi, či žiadosť spĺňa podmienky stanovené v článku 4 ods. 1 a overí disponibilitu rozpočtových prostriedkov. Ak sú tieto podmienky splnené a k dispozícii sú dostatočné finančné zdroje, Komisia môže prostredníctvom vykonávacieho aktu prijať rozhodnutie </w:t>
      </w:r>
      <w:r>
        <w:rPr>
          <w:noProof/>
        </w:rPr>
        <w:t>o poskytnutí zálohy a bezodkladne ju vyplatiť ešte predtým, ako sa prijme rozhodnutie uvedené v článku 4 ods. 4. Vyplatenie zálohy nepredurčuje konečné rozhodnutie o uvoľnení prostriedkov z fondu.</w:t>
      </w:r>
    </w:p>
    <w:p w:rsidR="00927BC9" w:rsidRDefault="000664B9">
      <w:pPr>
        <w:pStyle w:val="Point1"/>
        <w:rPr>
          <w:noProof/>
        </w:rPr>
      </w:pPr>
      <w:r>
        <w:rPr>
          <w:noProof/>
        </w:rPr>
        <w:t>2.</w:t>
      </w:r>
      <w:r>
        <w:rPr>
          <w:noProof/>
        </w:rPr>
        <w:tab/>
        <w:t>Členský štát môže pri predložení žiadosti o finančný prí</w:t>
      </w:r>
      <w:r>
        <w:rPr>
          <w:noProof/>
        </w:rPr>
        <w:t>spevok z fondu Komisii v súvislosti s vážnou finančnou záťažou spôsobenou vystúpením Spojeného kráľovstva z Únie bez dohody požiadať o vyplatenie zálohy. Komisia predbežne posúdi, či žiadosť spĺňa podmienky stanovené v článku 4a ods. 1 a overí disponibilit</w:t>
      </w:r>
      <w:r>
        <w:rPr>
          <w:noProof/>
        </w:rPr>
        <w:t>u rozpočtových prostriedkov. Ak sú tieto podmienky splnené a k dispozícii sú dostatočné finančné zdroje, Komisia môže prostredníctvom vykonávacieho aktu prijať rozhodnutie o poskytnutí zálohy a bezodkladne ju vyplatiť ešte predtým, ako sa prijme rozhodnuti</w:t>
      </w:r>
      <w:r>
        <w:rPr>
          <w:noProof/>
        </w:rPr>
        <w:t>e uvedené v článku 4a ods. 7. Vyplatenie zálohy nepredurčuje konečné rozhodnutie o uvoľnení prostriedkov z fondu.</w:t>
      </w:r>
    </w:p>
    <w:p w:rsidR="00927BC9" w:rsidRDefault="000664B9">
      <w:pPr>
        <w:pStyle w:val="Point1"/>
        <w:rPr>
          <w:noProof/>
        </w:rPr>
      </w:pPr>
      <w:r>
        <w:rPr>
          <w:noProof/>
        </w:rPr>
        <w:t>3.</w:t>
      </w:r>
      <w:r>
        <w:rPr>
          <w:noProof/>
        </w:rPr>
        <w:tab/>
        <w:t>Výška zálohy neprekročí 25 % predpokladanej výšky finančného príspevku a v žiadnom prípade neprekročí 100 000 000 EUR. Potom, ako sa stanov</w:t>
      </w:r>
      <w:r>
        <w:rPr>
          <w:noProof/>
        </w:rPr>
        <w:t>í konečná výška finančného príspevku, Komisia pred vyplatením zostávajúcej sumy finančného príspevku zohľadní sumu zálohy. Komisia bude vymáhať vrátenie neoprávnene vyplatených záloh.</w:t>
      </w:r>
    </w:p>
    <w:p w:rsidR="00927BC9" w:rsidRDefault="000664B9">
      <w:pPr>
        <w:pStyle w:val="Point1"/>
        <w:rPr>
          <w:noProof/>
        </w:rPr>
      </w:pPr>
      <w:r>
        <w:rPr>
          <w:noProof/>
        </w:rPr>
        <w:t>4.</w:t>
      </w:r>
      <w:r>
        <w:rPr>
          <w:noProof/>
        </w:rPr>
        <w:tab/>
        <w:t xml:space="preserve">Akékoľvek splatenie sumy, ktorá sa má vrátiť do všeobecného rozpočtu </w:t>
      </w:r>
      <w:r>
        <w:rPr>
          <w:noProof/>
        </w:rPr>
        <w:t>Únie, sa uskutoční pred dátumom splatnosti uvedeným v príkaze na vymáhanie pohľadávok vypracovanom v súlade s článkom 101 nariadenia Európskeho parlamentu a Rady (EÚ, Euratom) 2018/1046</w:t>
      </w:r>
      <w:r>
        <w:rPr>
          <w:rStyle w:val="FootnoteReference"/>
          <w:noProof/>
        </w:rPr>
        <w:footnoteReference w:id="12"/>
      </w:r>
      <w:r>
        <w:rPr>
          <w:noProof/>
        </w:rPr>
        <w:t xml:space="preserve">. Dátumom splatnosti je posledný deň druhého mesiaca nasledujúceho po </w:t>
      </w:r>
      <w:r>
        <w:rPr>
          <w:noProof/>
        </w:rPr>
        <w:t>vydaní príkazu.</w:t>
      </w:r>
    </w:p>
    <w:p w:rsidR="00927BC9" w:rsidRDefault="000664B9">
      <w:pPr>
        <w:pStyle w:val="Point1"/>
        <w:rPr>
          <w:noProof/>
        </w:rPr>
      </w:pPr>
      <w:r>
        <w:rPr>
          <w:noProof/>
        </w:rPr>
        <w:t>5.</w:t>
      </w:r>
      <w:r>
        <w:rPr>
          <w:noProof/>
        </w:rPr>
        <w:tab/>
        <w:t>Komisia pri prijímaní návrhu všeobecného rozpočtu Únie na daný rozpočtový rok, ak je to potrebné s cieľom zabezpečiť včasnú disponibilitu rozpočtových zdrojov, navrhne Európskemu parlamentu a Rade uvoľniť z fondu sumu do maximálnej výšky</w:t>
      </w:r>
      <w:r>
        <w:rPr>
          <w:noProof/>
        </w:rPr>
        <w:t xml:space="preserve"> 100 000 000 EUR na vyplatenie záloh a navrhne zahrnúť do všeobecného rozpočtu Únie zodpovedajúce rozpočtové prostriedky. Rozpočtové pravidlá sú v súlade so stropmi uvedenými v článku 10 ods. 1 nariadenia Rady (EÚ, Euratom) č. 1311/2013</w:t>
      </w:r>
      <w:r>
        <w:rPr>
          <w:rStyle w:val="FootnoteReference"/>
          <w:noProof/>
        </w:rPr>
        <w:footnoteReference w:id="13"/>
      </w:r>
      <w:r>
        <w:rPr>
          <w:noProof/>
        </w:rPr>
        <w:t>.“</w:t>
      </w:r>
    </w:p>
    <w:p w:rsidR="00927BC9" w:rsidRDefault="000664B9">
      <w:pPr>
        <w:pStyle w:val="Point0"/>
        <w:rPr>
          <w:noProof/>
        </w:rPr>
      </w:pPr>
      <w:r>
        <w:rPr>
          <w:noProof/>
        </w:rPr>
        <w:t>8.</w:t>
      </w:r>
      <w:r>
        <w:rPr>
          <w:noProof/>
        </w:rPr>
        <w:tab/>
        <w:t>Za článok 9 s</w:t>
      </w:r>
      <w:r>
        <w:rPr>
          <w:noProof/>
        </w:rPr>
        <w:t>a vkladá tento nadpis:</w:t>
      </w:r>
    </w:p>
    <w:p w:rsidR="00927BC9" w:rsidRDefault="000664B9">
      <w:pPr>
        <w:pStyle w:val="SectionTitle"/>
        <w:rPr>
          <w:noProof/>
        </w:rPr>
      </w:pPr>
      <w:r>
        <w:rPr>
          <w:noProof/>
        </w:rPr>
        <w:t>„Hlava III</w:t>
      </w:r>
      <w:r>
        <w:rPr>
          <w:noProof/>
        </w:rPr>
        <w:br/>
        <w:t>Záverečné ustanovenia“</w:t>
      </w:r>
    </w:p>
    <w:p w:rsidR="00927BC9" w:rsidRDefault="000664B9">
      <w:pPr>
        <w:pStyle w:val="Titrearticle"/>
        <w:rPr>
          <w:noProof/>
        </w:rPr>
      </w:pPr>
      <w:r>
        <w:rPr>
          <w:noProof/>
        </w:rPr>
        <w:t>Článok 2</w:t>
      </w:r>
    </w:p>
    <w:p w:rsidR="00927BC9" w:rsidRDefault="000664B9">
      <w:pPr>
        <w:rPr>
          <w:noProof/>
        </w:rPr>
      </w:pPr>
      <w:r>
        <w:rPr>
          <w:noProof/>
        </w:rPr>
        <w:t xml:space="preserve">Toto nariadenie nadobúda účinnosť […] dňom po jeho uverejnení v </w:t>
      </w:r>
      <w:r>
        <w:rPr>
          <w:i/>
          <w:noProof/>
        </w:rPr>
        <w:t>Úradnom vestníku Európskej únie</w:t>
      </w:r>
      <w:r>
        <w:rPr>
          <w:noProof/>
        </w:rPr>
        <w:t>.</w:t>
      </w:r>
    </w:p>
    <w:p w:rsidR="00927BC9" w:rsidRDefault="000664B9">
      <w:pPr>
        <w:pStyle w:val="Applicationdirecte"/>
        <w:rPr>
          <w:noProof/>
        </w:rPr>
      </w:pPr>
      <w:r>
        <w:rPr>
          <w:noProof/>
        </w:rPr>
        <w:t>Uplatňuje sa odo dňa nasledujúceho po dni, ktorým sa zmluvy prestanú uplatňovať na Spojené kr</w:t>
      </w:r>
      <w:r>
        <w:rPr>
          <w:noProof/>
        </w:rPr>
        <w:t>áľovstvo podľa článku 50 ods. 3 Zmluvy o EÚ.</w:t>
      </w:r>
    </w:p>
    <w:p w:rsidR="00927BC9" w:rsidRDefault="000664B9">
      <w:pPr>
        <w:pStyle w:val="Applicationdirecte"/>
        <w:rPr>
          <w:noProof/>
        </w:rPr>
      </w:pPr>
      <w:r>
        <w:rPr>
          <w:noProof/>
        </w:rPr>
        <w:t>Toto nariadenie sa však neuplatňuje, ak do dátumu uvedeného v druhom odseku tohto článku nadobudne platnosť dohoda o vystúpení uzavretá so Spojeným kráľovstvom v súlade s článkom 50 ods. 2 Zmluvy o EÚ.</w:t>
      </w:r>
    </w:p>
    <w:p w:rsidR="00927BC9" w:rsidRDefault="000664B9">
      <w:pPr>
        <w:pStyle w:val="Applicationdirecte"/>
        <w:rPr>
          <w:noProof/>
        </w:rPr>
      </w:pPr>
      <w:r>
        <w:rPr>
          <w:noProof/>
        </w:rPr>
        <w:t>Toto nari</w:t>
      </w:r>
      <w:r>
        <w:rPr>
          <w:noProof/>
        </w:rPr>
        <w:t>adenie je záväzné v celom rozsahu a priamo uplatniteľné vo všetkých členských štátoch.</w:t>
      </w:r>
    </w:p>
    <w:p w:rsidR="00927BC9" w:rsidRDefault="000664B9">
      <w:pPr>
        <w:pStyle w:val="Fait"/>
        <w:rPr>
          <w:noProof/>
        </w:rPr>
      </w:pPr>
      <w:r>
        <w:t>V Bruseli</w:t>
      </w:r>
    </w:p>
    <w:p w:rsidR="00927BC9" w:rsidRDefault="000664B9">
      <w:pPr>
        <w:pStyle w:val="Institutionquisigne"/>
        <w:rPr>
          <w:noProof/>
        </w:rPr>
      </w:pPr>
      <w:r>
        <w:rPr>
          <w:noProof/>
        </w:rPr>
        <w:t>Za Európsky parlament</w:t>
      </w:r>
      <w:r>
        <w:rPr>
          <w:noProof/>
        </w:rPr>
        <w:tab/>
        <w:t>Za Radu</w:t>
      </w:r>
    </w:p>
    <w:p w:rsidR="00927BC9" w:rsidRDefault="000664B9">
      <w:pPr>
        <w:pStyle w:val="Personnequisigne"/>
        <w:rPr>
          <w:noProof/>
        </w:rPr>
      </w:pPr>
      <w:r>
        <w:rPr>
          <w:noProof/>
        </w:rPr>
        <w:t>predseda</w:t>
      </w:r>
      <w:r>
        <w:rPr>
          <w:noProof/>
        </w:rPr>
        <w:tab/>
        <w:t>predseda</w:t>
      </w:r>
    </w:p>
    <w:p w:rsidR="00927BC9" w:rsidRDefault="000664B9">
      <w:pPr>
        <w:pStyle w:val="Fichefinanciretitre"/>
        <w:pageBreakBefore/>
        <w:rPr>
          <w:noProof/>
        </w:rPr>
      </w:pPr>
      <w:r>
        <w:rPr>
          <w:noProof/>
        </w:rPr>
        <w:t>LEGISLATÍVNY FINANČNÝ VÝKAZ</w:t>
      </w:r>
    </w:p>
    <w:p w:rsidR="00927BC9" w:rsidRDefault="000664B9">
      <w:pPr>
        <w:pStyle w:val="ManualHeading1"/>
        <w:rPr>
          <w:noProof/>
        </w:rPr>
      </w:pPr>
      <w:r>
        <w:rPr>
          <w:noProof/>
        </w:rPr>
        <w:t>1.</w:t>
      </w:r>
      <w:r>
        <w:rPr>
          <w:noProof/>
        </w:rPr>
        <w:tab/>
        <w:t>RÁMEC NÁVRHU/INICIATÍVY</w:t>
      </w:r>
    </w:p>
    <w:p w:rsidR="00927BC9" w:rsidRDefault="000664B9">
      <w:pPr>
        <w:pStyle w:val="ManualHeading2"/>
        <w:rPr>
          <w:noProof/>
        </w:rPr>
      </w:pPr>
      <w:r>
        <w:rPr>
          <w:noProof/>
        </w:rPr>
        <w:t>1.1.</w:t>
      </w:r>
      <w:r>
        <w:rPr>
          <w:noProof/>
        </w:rPr>
        <w:tab/>
        <w:t>Názov návrhu/iniciatívy</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Návrh nariadenia Európskeho</w:t>
      </w:r>
      <w:r>
        <w:rPr>
          <w:noProof/>
        </w:rPr>
        <w:t xml:space="preserve"> parlamentu a Rady, ktorým sa mení nariadenie Rady (ES) č. 2012/2002 s cieľom poskytnúť finančnú pomoc členským štátom na pokrytie vážnej finančnej záťaže, ktorá im vznikla v dôsledku vystúpenia Spojeného kráľovstva z Únie bez dohody</w:t>
      </w:r>
    </w:p>
    <w:p w:rsidR="00927BC9" w:rsidRDefault="000664B9">
      <w:pPr>
        <w:pStyle w:val="ManualHeading2"/>
        <w:rPr>
          <w:i/>
          <w:noProof/>
        </w:rPr>
      </w:pPr>
      <w:r>
        <w:rPr>
          <w:noProof/>
        </w:rPr>
        <w:t>1.2.</w:t>
      </w:r>
      <w:r>
        <w:rPr>
          <w:noProof/>
        </w:rPr>
        <w:tab/>
        <w:t>Príslušné oblasti</w:t>
      </w:r>
      <w:r>
        <w:rPr>
          <w:noProof/>
        </w:rPr>
        <w:t xml:space="preserve"> politiky</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13. Regionálna politika; 13 06 01. Pomoc členským štátom v prípade veľkej prírodnej katastrofy so závažnými dôsledkami na životné podmienky, prírodné prostredie alebo hospodárstvo</w:t>
      </w:r>
    </w:p>
    <w:p w:rsidR="00927BC9" w:rsidRDefault="000664B9">
      <w:pPr>
        <w:pStyle w:val="ManualHeading2"/>
        <w:rPr>
          <w:noProof/>
        </w:rPr>
      </w:pPr>
      <w:r>
        <w:rPr>
          <w:noProof/>
        </w:rPr>
        <w:t>1.3.</w:t>
      </w:r>
      <w:r>
        <w:rPr>
          <w:noProof/>
        </w:rPr>
        <w:tab/>
        <w:t>Dôvody návrhu/iniciatívy</w:t>
      </w:r>
    </w:p>
    <w:p w:rsidR="00927BC9" w:rsidRDefault="000664B9">
      <w:pPr>
        <w:pStyle w:val="ManualHeading3"/>
        <w:rPr>
          <w:noProof/>
        </w:rPr>
      </w:pPr>
      <w:r>
        <w:rPr>
          <w:noProof/>
        </w:rPr>
        <w:t>1.3.1.</w:t>
      </w:r>
      <w:r>
        <w:rPr>
          <w:noProof/>
        </w:rPr>
        <w:tab/>
        <w:t>Potreby, ktoré sa majú uspoko</w:t>
      </w:r>
      <w:r>
        <w:rPr>
          <w:noProof/>
        </w:rPr>
        <w:t>jiť v krátkodobom alebo dlhodobom horizonte vrátane podrobného harmonogramu prvotnej fázy vykonávania iniciatívy</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 xml:space="preserve">Toto nariadenie nadobúda účinnosť […] dňom po jeho uverejnení v </w:t>
      </w:r>
      <w:r>
        <w:rPr>
          <w:i/>
          <w:noProof/>
        </w:rPr>
        <w:t>Úradnom vestníku Európskej únie</w:t>
      </w:r>
      <w:r>
        <w:rPr>
          <w:noProof/>
        </w:rPr>
        <w:t>.</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Uplatňuje sa odo dňa nasledujúceho po dni, kto</w:t>
      </w:r>
      <w:r>
        <w:rPr>
          <w:noProof/>
        </w:rPr>
        <w:t>rým sa zmluvy prestanú uplatňovať na Spojené kráľovstvo podľa článku 50 ods. 3 Zmluvy o EÚ.</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 xml:space="preserve">Toto nariadenie sa neuplatňuje, ak do uvedeného dátumu nadobudla platnosť dohoda o vystúpení uzavretá so Spojeným kráľovstvom v súlade s článkom 50 ods. 2 Zmluvy o </w:t>
      </w:r>
      <w:r>
        <w:rPr>
          <w:noProof/>
        </w:rPr>
        <w:t>Európskej únii.</w:t>
      </w:r>
    </w:p>
    <w:p w:rsidR="00927BC9" w:rsidRDefault="000664B9">
      <w:pPr>
        <w:pStyle w:val="ManualHeading3"/>
        <w:rPr>
          <w:bCs/>
          <w:noProof/>
          <w:szCs w:val="24"/>
        </w:rPr>
      </w:pPr>
      <w:r>
        <w:rPr>
          <w:noProof/>
        </w:rPr>
        <w:t>1.3.2.</w:t>
      </w:r>
      <w:r>
        <w:rPr>
          <w:noProof/>
        </w:rPr>
        <w:tab/>
        <w:t>Prínos zapojenia Únie (môže byť výsledkom rôznych faktorov, napr. lepšej koordinácie, právnej istoty, väčšej účinnosti alebo komplementárnosti). Na účely tohto bodu je „prínos zapojenia Únie“ hodnota vyplývajúca zo zásahu Únie, ktorá</w:t>
      </w:r>
      <w:r>
        <w:rPr>
          <w:noProof/>
        </w:rPr>
        <w:t xml:space="preserve"> dopĺňa hodnotu, ktorú by inak vytvorili len samotné členské štáty.</w:t>
      </w:r>
    </w:p>
    <w:p w:rsidR="00927BC9" w:rsidRDefault="000664B9">
      <w:pPr>
        <w:pStyle w:val="Text1"/>
        <w:pBdr>
          <w:top w:val="single" w:sz="4" w:space="1" w:color="auto"/>
          <w:left w:val="single" w:sz="4" w:space="0" w:color="auto"/>
          <w:bottom w:val="single" w:sz="4" w:space="1" w:color="auto"/>
          <w:right w:val="single" w:sz="4" w:space="4" w:color="auto"/>
        </w:pBdr>
        <w:rPr>
          <w:noProof/>
        </w:rPr>
      </w:pPr>
      <w:r>
        <w:rPr>
          <w:noProof/>
        </w:rPr>
        <w:t>Dôvodom, pre ktorý sa zriadil Fond solidarity EÚ (FSEÚ), je prejaviť solidaritu s členskými štátmi zasiahnutými vážnou krízou, ktorá vznikla v dôsledku závažnej prírodnej katastrofy a v pr</w:t>
      </w:r>
      <w:r>
        <w:rPr>
          <w:noProof/>
        </w:rPr>
        <w:t>ípade ktorej sa dospelo k záveru, že preťažuje kapacitu členských štátov v oblasti rozpočtovej reakcieschopnosti. Týmto návrhom sa uvedená logika rozširuje na finančnú záťaž vyplývajúcu z vystúpenia Spojeného kráľovstva z Únie bez dohody o vystúpení.</w:t>
      </w:r>
    </w:p>
    <w:p w:rsidR="00927BC9" w:rsidRDefault="000664B9">
      <w:pPr>
        <w:pStyle w:val="ManualHeading3"/>
        <w:rPr>
          <w:noProof/>
        </w:rPr>
      </w:pPr>
      <w:r>
        <w:rPr>
          <w:noProof/>
        </w:rPr>
        <w:t>1.3.3</w:t>
      </w:r>
      <w:r>
        <w:rPr>
          <w:noProof/>
        </w:rPr>
        <w:t>.</w:t>
      </w:r>
      <w:r>
        <w:rPr>
          <w:noProof/>
        </w:rPr>
        <w:tab/>
        <w:t>Poznatky získané z podobných skúseností v minulosti</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Ukázalo sa, že FSEÚ je veľmi účinným nástrojom pri poskytovaní pomoci členským štátom po prírodných katastrofách, ako sa uvádza v základnom hodnotení fondu</w:t>
      </w:r>
      <w:r>
        <w:rPr>
          <w:rStyle w:val="FootnoteReference"/>
          <w:noProof/>
        </w:rPr>
        <w:footnoteReference w:id="14"/>
      </w:r>
      <w:r>
        <w:rPr>
          <w:noProof/>
        </w:rPr>
        <w:t>.</w:t>
      </w:r>
    </w:p>
    <w:p w:rsidR="00927BC9" w:rsidRDefault="000664B9">
      <w:pPr>
        <w:pStyle w:val="ManualHeading3"/>
        <w:rPr>
          <w:noProof/>
        </w:rPr>
      </w:pPr>
      <w:r>
        <w:rPr>
          <w:noProof/>
        </w:rPr>
        <w:t>1.3.4.</w:t>
      </w:r>
      <w:r>
        <w:rPr>
          <w:noProof/>
        </w:rPr>
        <w:tab/>
        <w:t xml:space="preserve">Zlučiteľnosť s viacročným finančným </w:t>
      </w:r>
      <w:r>
        <w:rPr>
          <w:noProof/>
        </w:rPr>
        <w:t>rámcom a možná synergia s inými vhodnými nástrojmi</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Osobitné ustanovenia tohto nariadenia týkajúce sa vystúpenia Spojeného kráľovstva bez dohody sú časovo obmedzené a vzťahujú sa len na rozpočtové roky 2019 a 2020. Nariadenie zostáva v rámci maximálnej výšk</w:t>
      </w:r>
      <w:r>
        <w:rPr>
          <w:noProof/>
        </w:rPr>
        <w:t>y pridelených rozpočtových prostriedkov stanovenej v prípade FSEÚ na uvedené roky, a preto je v súlade s VFR.</w:t>
      </w:r>
    </w:p>
    <w:p w:rsidR="00927BC9" w:rsidRDefault="000664B9">
      <w:pPr>
        <w:pStyle w:val="ManualHeading3"/>
        <w:rPr>
          <w:noProof/>
        </w:rPr>
      </w:pPr>
      <w:r>
        <w:rPr>
          <w:noProof/>
        </w:rPr>
        <w:t>1.3.5.</w:t>
      </w:r>
      <w:r>
        <w:rPr>
          <w:noProof/>
        </w:rPr>
        <w:tab/>
        <w:t>Posúdenie rôznych disponibilných možností financovania vrátane možnosti prerozdelenia</w:t>
      </w:r>
    </w:p>
    <w:p w:rsidR="00927BC9" w:rsidRDefault="000664B9">
      <w:pPr>
        <w:pStyle w:val="Text1"/>
        <w:pBdr>
          <w:top w:val="single" w:sz="4" w:space="1" w:color="auto"/>
          <w:left w:val="single" w:sz="4" w:space="4" w:color="auto"/>
          <w:bottom w:val="single" w:sz="4" w:space="0" w:color="auto"/>
          <w:right w:val="single" w:sz="4" w:space="4" w:color="auto"/>
        </w:pBdr>
        <w:rPr>
          <w:noProof/>
        </w:rPr>
      </w:pPr>
      <w:r>
        <w:rPr>
          <w:noProof/>
        </w:rPr>
        <w:t xml:space="preserve">Týmto nariadením sa nezvýši maximálna suma </w:t>
      </w:r>
      <w:r>
        <w:rPr>
          <w:noProof/>
        </w:rPr>
        <w:t>prostriedkov pridelených do FSEÚ. Príspevok Únie na intervencie sa bude financovať zo všeobecného rozpočtu Únie.</w:t>
      </w:r>
    </w:p>
    <w:p w:rsidR="00927BC9" w:rsidRDefault="00927BC9">
      <w:pPr>
        <w:pStyle w:val="Text1"/>
        <w:rPr>
          <w:noProof/>
        </w:rPr>
      </w:pPr>
    </w:p>
    <w:p w:rsidR="00927BC9" w:rsidRDefault="000664B9">
      <w:pPr>
        <w:pStyle w:val="ManualHeading2"/>
        <w:rPr>
          <w:bCs/>
          <w:noProof/>
          <w:szCs w:val="24"/>
        </w:rPr>
      </w:pPr>
      <w:r>
        <w:rPr>
          <w:noProof/>
        </w:rPr>
        <w:t>1.4.</w:t>
      </w:r>
      <w:r>
        <w:rPr>
          <w:noProof/>
        </w:rPr>
        <w:tab/>
        <w:t>Trvanie a finančný vplyv návrhu/iniciatívy</w:t>
      </w:r>
    </w:p>
    <w:p w:rsidR="00927BC9" w:rsidRDefault="000664B9">
      <w:pPr>
        <w:pStyle w:val="ListDash1"/>
        <w:rPr>
          <w:noProof/>
        </w:rPr>
      </w:pPr>
      <w:r>
        <w:rPr>
          <w:noProof/>
        </w:rPr>
        <w:t>Návrh s obmedzeným trvaním. Návrh sa vzťahuje na roky 2019 a 2020. Žiadosti sa budú prijímať o</w:t>
      </w:r>
      <w:r>
        <w:rPr>
          <w:noProof/>
        </w:rPr>
        <w:t>d 1. novembra 2019 do 30. apríla 2020.</w:t>
      </w:r>
    </w:p>
    <w:p w:rsidR="00927BC9" w:rsidRDefault="000664B9">
      <w:pPr>
        <w:pStyle w:val="ListDash1"/>
        <w:rPr>
          <w:noProof/>
        </w:rPr>
      </w:pPr>
      <w:r>
        <w:rPr>
          <w:noProof/>
        </w:rPr>
        <w:t>Strop bude predstavovať 50 % maximálnej sumy rozpočtových prostriedkov pridelených z FSEÚ na roky 2019 a 2020, čo je spolu 591,65 mil. EUR (292,9 mil. EUR na rok 2019 plus 298,75 mil. EUR na rok 2020).</w:t>
      </w:r>
    </w:p>
    <w:p w:rsidR="00927BC9" w:rsidRDefault="000664B9">
      <w:pPr>
        <w:pStyle w:val="ManualHeading2"/>
        <w:rPr>
          <w:rStyle w:val="FootnoteReference"/>
          <w:noProof/>
        </w:rPr>
      </w:pPr>
      <w:r>
        <w:rPr>
          <w:noProof/>
        </w:rPr>
        <w:t>1.5.</w:t>
      </w:r>
      <w:r>
        <w:rPr>
          <w:noProof/>
        </w:rPr>
        <w:tab/>
        <w:t xml:space="preserve">Plánovaný </w:t>
      </w:r>
      <w:r>
        <w:rPr>
          <w:noProof/>
        </w:rPr>
        <w:t>spôsob riadenia</w:t>
      </w:r>
      <w:r>
        <w:rPr>
          <w:rStyle w:val="FootnoteReference"/>
          <w:noProof/>
        </w:rPr>
        <w:footnoteReference w:id="15"/>
      </w:r>
    </w:p>
    <w:p w:rsidR="00927BC9" w:rsidRDefault="000664B9">
      <w:pPr>
        <w:pStyle w:val="Text1"/>
        <w:rPr>
          <w:noProof/>
        </w:rPr>
      </w:pPr>
      <w:r>
        <w:rPr>
          <w:noProof/>
        </w:rPr>
        <w:sym w:font="Wingdings" w:char="F0A8"/>
      </w:r>
      <w:r>
        <w:rPr>
          <w:i/>
          <w:noProof/>
        </w:rPr>
        <w:t xml:space="preserve"> </w:t>
      </w:r>
      <w:r>
        <w:rPr>
          <w:b/>
          <w:noProof/>
        </w:rPr>
        <w:t>Priame riadenie</w:t>
      </w:r>
      <w:r>
        <w:rPr>
          <w:noProof/>
        </w:rPr>
        <w:t xml:space="preserve"> na úrovni Komisie</w:t>
      </w:r>
    </w:p>
    <w:p w:rsidR="00927BC9" w:rsidRDefault="000664B9">
      <w:pPr>
        <w:pStyle w:val="ListDash2"/>
        <w:rPr>
          <w:noProof/>
        </w:rPr>
      </w:pPr>
      <w:r>
        <w:rPr>
          <w:noProof/>
        </w:rPr>
        <w:sym w:font="Wingdings" w:char="F0A8"/>
      </w:r>
      <w:r>
        <w:rPr>
          <w:noProof/>
        </w:rPr>
        <w:t xml:space="preserve"> prostredníctvom jej útvarov vrátane zamestnancov v delegáciách Únie</w:t>
      </w:r>
    </w:p>
    <w:p w:rsidR="00927BC9" w:rsidRDefault="000664B9">
      <w:pPr>
        <w:pStyle w:val="ListDash2"/>
        <w:rPr>
          <w:noProof/>
        </w:rPr>
      </w:pPr>
      <w:r>
        <w:rPr>
          <w:noProof/>
        </w:rPr>
        <w:sym w:font="Wingdings" w:char="F0A8"/>
      </w:r>
      <w:r>
        <w:rPr>
          <w:noProof/>
        </w:rPr>
        <w:tab/>
        <w:t>prostredníctvom výkonných agentúr</w:t>
      </w:r>
    </w:p>
    <w:p w:rsidR="00927BC9" w:rsidRDefault="000664B9">
      <w:pPr>
        <w:pStyle w:val="Text1"/>
        <w:rPr>
          <w:noProof/>
        </w:rPr>
      </w:pPr>
      <w:r>
        <w:rPr>
          <w:b/>
          <w:noProof/>
        </w:rPr>
        <w:t>X</w:t>
      </w:r>
      <w:r>
        <w:rPr>
          <w:b/>
          <w:i/>
          <w:noProof/>
        </w:rPr>
        <w:t xml:space="preserve"> </w:t>
      </w:r>
      <w:r>
        <w:rPr>
          <w:b/>
          <w:noProof/>
        </w:rPr>
        <w:t>Zdieľané riadenie</w:t>
      </w:r>
      <w:r>
        <w:rPr>
          <w:noProof/>
        </w:rPr>
        <w:t xml:space="preserve"> s členskými štátmi</w:t>
      </w:r>
    </w:p>
    <w:p w:rsidR="00927BC9" w:rsidRDefault="000664B9">
      <w:pPr>
        <w:pStyle w:val="Text1"/>
        <w:rPr>
          <w:noProof/>
        </w:rPr>
      </w:pPr>
      <w:r>
        <w:rPr>
          <w:noProof/>
        </w:rPr>
        <w:sym w:font="Wingdings" w:char="F0A8"/>
      </w:r>
      <w:r>
        <w:rPr>
          <w:i/>
          <w:noProof/>
        </w:rPr>
        <w:t xml:space="preserve"> </w:t>
      </w:r>
      <w:r>
        <w:rPr>
          <w:b/>
          <w:noProof/>
        </w:rPr>
        <w:t>Nepriame riadenie</w:t>
      </w:r>
      <w:r>
        <w:rPr>
          <w:noProof/>
        </w:rPr>
        <w:t>, pri ktorom sa plnením rozpočtu poveri</w:t>
      </w:r>
      <w:r>
        <w:rPr>
          <w:noProof/>
        </w:rPr>
        <w:t>a:</w:t>
      </w:r>
    </w:p>
    <w:p w:rsidR="00927BC9" w:rsidRDefault="000664B9">
      <w:pPr>
        <w:pStyle w:val="ListDash2"/>
        <w:rPr>
          <w:noProof/>
        </w:rPr>
      </w:pPr>
      <w:r>
        <w:rPr>
          <w:noProof/>
        </w:rPr>
        <w:sym w:font="Wingdings" w:char="F0A8"/>
      </w:r>
      <w:r>
        <w:rPr>
          <w:noProof/>
        </w:rPr>
        <w:t xml:space="preserve"> tretie krajiny alebo subjekty, ktoré tieto krajiny určili,</w:t>
      </w:r>
    </w:p>
    <w:p w:rsidR="00927BC9" w:rsidRDefault="000664B9">
      <w:pPr>
        <w:pStyle w:val="ListDash2"/>
        <w:rPr>
          <w:noProof/>
        </w:rPr>
      </w:pPr>
      <w:r>
        <w:rPr>
          <w:noProof/>
        </w:rPr>
        <w:sym w:font="Wingdings" w:char="F0A8"/>
      </w:r>
      <w:r>
        <w:rPr>
          <w:noProof/>
        </w:rPr>
        <w:t xml:space="preserve"> medzinárodné organizácie a ich agentúry (uveďte),</w:t>
      </w:r>
    </w:p>
    <w:p w:rsidR="00927BC9" w:rsidRDefault="000664B9">
      <w:pPr>
        <w:pStyle w:val="ListDash2"/>
        <w:rPr>
          <w:noProof/>
        </w:rPr>
      </w:pPr>
      <w:r>
        <w:rPr>
          <w:noProof/>
        </w:rPr>
        <w:sym w:font="Wingdings" w:char="F0A8"/>
      </w:r>
      <w:r>
        <w:rPr>
          <w:noProof/>
        </w:rPr>
        <w:t xml:space="preserve"> Európska investičná banka (EIB) a Európsky investičný fond,</w:t>
      </w:r>
    </w:p>
    <w:p w:rsidR="00927BC9" w:rsidRDefault="000664B9">
      <w:pPr>
        <w:pStyle w:val="ListDash2"/>
        <w:rPr>
          <w:noProof/>
        </w:rPr>
      </w:pPr>
      <w:r>
        <w:rPr>
          <w:noProof/>
        </w:rPr>
        <w:sym w:font="Wingdings" w:char="F0A8"/>
      </w:r>
      <w:r>
        <w:rPr>
          <w:noProof/>
        </w:rPr>
        <w:t xml:space="preserve"> subjekty uvedené v článkoch 70 a 71 nariadenia o rozpočtových pravidlách,</w:t>
      </w:r>
    </w:p>
    <w:p w:rsidR="00927BC9" w:rsidRDefault="000664B9">
      <w:pPr>
        <w:pStyle w:val="ListDash2"/>
        <w:rPr>
          <w:noProof/>
        </w:rPr>
      </w:pPr>
      <w:r>
        <w:rPr>
          <w:noProof/>
        </w:rPr>
        <w:sym w:font="Wingdings" w:char="F0A8"/>
      </w:r>
      <w:r>
        <w:rPr>
          <w:noProof/>
        </w:rPr>
        <w:t xml:space="preserve"> </w:t>
      </w:r>
      <w:r>
        <w:rPr>
          <w:noProof/>
        </w:rPr>
        <w:t>verejnoprávne subjekty,</w:t>
      </w:r>
    </w:p>
    <w:p w:rsidR="00927BC9" w:rsidRDefault="000664B9">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rsidR="00927BC9" w:rsidRDefault="000664B9">
      <w:pPr>
        <w:pStyle w:val="ListDash2"/>
        <w:rPr>
          <w:noProof/>
        </w:rPr>
      </w:pPr>
      <w:r>
        <w:rPr>
          <w:noProof/>
        </w:rPr>
        <w:sym w:font="Wingdings" w:char="F0A8"/>
      </w:r>
      <w:r>
        <w:rPr>
          <w:noProof/>
        </w:rPr>
        <w:t xml:space="preserve"> súkromnoprávne subjekty spravované právom členského štátu, ktoré sú poverené vykonávaním verejno-súkromnéh</w:t>
      </w:r>
      <w:r>
        <w:rPr>
          <w:noProof/>
        </w:rPr>
        <w:t>o partnerstva a ktoré poskytujú dostatočné finančné záruky,</w:t>
      </w:r>
    </w:p>
    <w:p w:rsidR="00927BC9" w:rsidRDefault="000664B9">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rsidR="00927BC9" w:rsidRDefault="000664B9">
      <w:pPr>
        <w:pStyle w:val="ListDash2"/>
        <w:rPr>
          <w:i/>
          <w:noProof/>
          <w:sz w:val="18"/>
          <w:u w:val="single"/>
        </w:rPr>
      </w:pPr>
      <w:r>
        <w:rPr>
          <w:i/>
          <w:noProof/>
          <w:sz w:val="18"/>
        </w:rPr>
        <w:t>V prípade viacerých spôsobov riadenia uveďte v oddiele „</w:t>
      </w:r>
      <w:r>
        <w:rPr>
          <w:i/>
          <w:noProof/>
          <w:sz w:val="18"/>
        </w:rPr>
        <w:t>Poznámky“ presnejšie vysvetlenie.</w:t>
      </w:r>
    </w:p>
    <w:p w:rsidR="00927BC9" w:rsidRDefault="000664B9">
      <w:pPr>
        <w:rPr>
          <w:noProof/>
        </w:rPr>
      </w:pPr>
      <w:r>
        <w:rPr>
          <w:noProof/>
        </w:rPr>
        <w:t>Poznámky:</w:t>
      </w:r>
    </w:p>
    <w:p w:rsidR="00927BC9" w:rsidRDefault="000664B9">
      <w:pPr>
        <w:pBdr>
          <w:top w:val="single" w:sz="4" w:space="1" w:color="auto"/>
          <w:left w:val="single" w:sz="4" w:space="4" w:color="auto"/>
          <w:bottom w:val="single" w:sz="4" w:space="1" w:color="auto"/>
          <w:right w:val="single" w:sz="4" w:space="4" w:color="auto"/>
        </w:pBdr>
        <w:jc w:val="left"/>
        <w:rPr>
          <w:noProof/>
        </w:rPr>
        <w:sectPr w:rsidR="00927BC9">
          <w:pgSz w:w="11907" w:h="16840" w:code="9"/>
          <w:pgMar w:top="1134" w:right="1418" w:bottom="1134" w:left="1418" w:header="709" w:footer="709" w:gutter="0"/>
          <w:cols w:space="708"/>
          <w:docGrid w:linePitch="360"/>
        </w:sectPr>
      </w:pPr>
      <w:r>
        <w:rPr>
          <w:noProof/>
        </w:rPr>
        <w:t>neuvádza sa</w:t>
      </w:r>
    </w:p>
    <w:p w:rsidR="00927BC9" w:rsidRDefault="000664B9">
      <w:pPr>
        <w:pStyle w:val="ManualHeading1"/>
        <w:rPr>
          <w:noProof/>
        </w:rPr>
      </w:pPr>
      <w:r>
        <w:rPr>
          <w:noProof/>
        </w:rPr>
        <w:t>2.</w:t>
      </w:r>
      <w:r>
        <w:rPr>
          <w:noProof/>
        </w:rPr>
        <w:tab/>
        <w:t>OPATRENIA V OBLASTI RIADENIA</w:t>
      </w:r>
    </w:p>
    <w:p w:rsidR="00927BC9" w:rsidRDefault="000664B9">
      <w:pPr>
        <w:pStyle w:val="ManualHeading2"/>
        <w:rPr>
          <w:noProof/>
        </w:rPr>
      </w:pPr>
      <w:r>
        <w:rPr>
          <w:noProof/>
        </w:rPr>
        <w:t>2.1.</w:t>
      </w:r>
      <w:r>
        <w:rPr>
          <w:noProof/>
        </w:rPr>
        <w:tab/>
        <w:t>Opatrenia týkajúce sa monitorovania a predkladania správ</w:t>
      </w:r>
    </w:p>
    <w:p w:rsidR="00927BC9" w:rsidRDefault="000664B9">
      <w:pPr>
        <w:pStyle w:val="Text1"/>
        <w:rPr>
          <w:i/>
          <w:noProof/>
          <w:sz w:val="20"/>
        </w:rPr>
      </w:pPr>
      <w:r>
        <w:rPr>
          <w:i/>
          <w:noProof/>
          <w:sz w:val="20"/>
        </w:rPr>
        <w:t>Uveďte časový interval a podmienky, ktoré sa vzťahujú na tieto opatrenia.</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 xml:space="preserve">Rovnaké </w:t>
      </w:r>
      <w:r>
        <w:rPr>
          <w:noProof/>
        </w:rPr>
        <w:t>ako v nariadení Rady (ES) č. 2012/2002 (v prípade prírodných katastrof)</w:t>
      </w:r>
    </w:p>
    <w:p w:rsidR="00927BC9" w:rsidRDefault="000664B9">
      <w:pPr>
        <w:pStyle w:val="ManualHeading2"/>
        <w:rPr>
          <w:noProof/>
        </w:rPr>
      </w:pPr>
      <w:r>
        <w:rPr>
          <w:noProof/>
        </w:rPr>
        <w:t>2.2.</w:t>
      </w:r>
      <w:r>
        <w:rPr>
          <w:noProof/>
        </w:rPr>
        <w:tab/>
        <w:t>Systémy riadenia a kontroly</w:t>
      </w:r>
    </w:p>
    <w:p w:rsidR="00927BC9" w:rsidRDefault="000664B9">
      <w:pPr>
        <w:pStyle w:val="ManualHeading3"/>
        <w:rPr>
          <w:noProof/>
        </w:rPr>
      </w:pPr>
      <w:r>
        <w:rPr>
          <w:noProof/>
        </w:rPr>
        <w:t>2.2.1.</w:t>
      </w:r>
      <w:r>
        <w:rPr>
          <w:noProof/>
        </w:rPr>
        <w:tab/>
        <w:t>Opodstatnenie navrhovaných spôsobov riadenia, mechanizmov vykonávania financovania, spôsobov platby a stratégie kontroly</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Rovnaké ako v nariadení</w:t>
      </w:r>
      <w:r>
        <w:rPr>
          <w:noProof/>
        </w:rPr>
        <w:t xml:space="preserve"> Rady (ES) č. 2012/2002</w:t>
      </w:r>
    </w:p>
    <w:p w:rsidR="00927BC9" w:rsidRDefault="000664B9">
      <w:pPr>
        <w:pStyle w:val="ManualHeading3"/>
        <w:rPr>
          <w:bCs/>
          <w:noProof/>
          <w:szCs w:val="24"/>
        </w:rPr>
      </w:pPr>
      <w:r>
        <w:rPr>
          <w:noProof/>
        </w:rPr>
        <w:t>2.2.2.</w:t>
      </w:r>
      <w:r>
        <w:rPr>
          <w:noProof/>
        </w:rPr>
        <w:tab/>
        <w:t>Informácie o zistených rizikách a systémoch vnútornej kontroly zavedených na ich zmierňovanie</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Rovnaké ako v nariadení Rady (ES) č. 2012/2002</w:t>
      </w:r>
    </w:p>
    <w:p w:rsidR="00927BC9" w:rsidRDefault="000664B9">
      <w:pPr>
        <w:pStyle w:val="ManualHeading3"/>
        <w:rPr>
          <w:noProof/>
        </w:rPr>
      </w:pPr>
      <w:r>
        <w:rPr>
          <w:noProof/>
        </w:rPr>
        <w:t>2.2.3.</w:t>
      </w:r>
      <w:r>
        <w:rPr>
          <w:noProof/>
        </w:rPr>
        <w:tab/>
        <w:t>Odhad a opodstatnenie nákladovej účinnosti kontrol (pomer medzi nákladmi na k</w:t>
      </w:r>
      <w:r>
        <w:rPr>
          <w:noProof/>
        </w:rPr>
        <w:t>ontroly a hodnotou súvisiacich riadených finančných prostriedkov) a posúdenie očakávaných úrovní rizika chyby (pri platbe a uzavretí)</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Rovnaké ako v nariadení Rady (ES) č. 2012/2002</w:t>
      </w:r>
    </w:p>
    <w:p w:rsidR="00927BC9" w:rsidRDefault="000664B9">
      <w:pPr>
        <w:pStyle w:val="ManualHeading2"/>
        <w:rPr>
          <w:noProof/>
        </w:rPr>
      </w:pPr>
      <w:r>
        <w:rPr>
          <w:noProof/>
        </w:rPr>
        <w:t>2.3.</w:t>
      </w:r>
      <w:r>
        <w:rPr>
          <w:noProof/>
        </w:rPr>
        <w:tab/>
        <w:t>Opatrenia na predchádzanie podvodom a nezrovnalostiam</w:t>
      </w:r>
    </w:p>
    <w:p w:rsidR="00927BC9" w:rsidRDefault="000664B9">
      <w:pPr>
        <w:pStyle w:val="Text1"/>
        <w:rPr>
          <w:i/>
          <w:noProof/>
          <w:sz w:val="20"/>
        </w:rPr>
      </w:pPr>
      <w:r>
        <w:rPr>
          <w:i/>
          <w:noProof/>
          <w:sz w:val="20"/>
        </w:rPr>
        <w:t>Uveďte existujúc</w:t>
      </w:r>
      <w:r>
        <w:rPr>
          <w:i/>
          <w:noProof/>
          <w:sz w:val="20"/>
        </w:rPr>
        <w:t>e a plánované preventívne a ochranné opatrenia, napr. zo stratégie na boj proti podvodom.</w:t>
      </w:r>
    </w:p>
    <w:p w:rsidR="00927BC9" w:rsidRDefault="000664B9">
      <w:pPr>
        <w:pStyle w:val="Text1"/>
        <w:pBdr>
          <w:top w:val="single" w:sz="4" w:space="1" w:color="auto"/>
          <w:left w:val="single" w:sz="4" w:space="4" w:color="auto"/>
          <w:bottom w:val="single" w:sz="4" w:space="1" w:color="auto"/>
          <w:right w:val="single" w:sz="4" w:space="4" w:color="auto"/>
        </w:pBdr>
        <w:jc w:val="left"/>
        <w:rPr>
          <w:noProof/>
        </w:rPr>
        <w:sectPr w:rsidR="00927BC9">
          <w:pgSz w:w="11907" w:h="16840" w:code="9"/>
          <w:pgMar w:top="1134" w:right="1418" w:bottom="1134" w:left="1418" w:header="709" w:footer="709" w:gutter="0"/>
          <w:cols w:space="708"/>
          <w:docGrid w:linePitch="360"/>
        </w:sectPr>
      </w:pPr>
      <w:r>
        <w:rPr>
          <w:noProof/>
        </w:rPr>
        <w:t>Rovnaké ako v nariadení Rady (ES) č. 2012/2002</w:t>
      </w:r>
    </w:p>
    <w:p w:rsidR="00927BC9" w:rsidRDefault="000664B9">
      <w:pPr>
        <w:pStyle w:val="ManualHeading1"/>
        <w:rPr>
          <w:noProof/>
        </w:rPr>
      </w:pPr>
      <w:r>
        <w:rPr>
          <w:noProof/>
        </w:rPr>
        <w:t>3.</w:t>
      </w:r>
      <w:r>
        <w:rPr>
          <w:noProof/>
        </w:rPr>
        <w:tab/>
        <w:t>ODHADOVANÝ FINANČNÝ VPLYV NÁVRHU/INICIATÍVY</w:t>
      </w:r>
    </w:p>
    <w:p w:rsidR="00927BC9" w:rsidRDefault="000664B9">
      <w:pPr>
        <w:pStyle w:val="ManualHeading2"/>
        <w:rPr>
          <w:noProof/>
        </w:rPr>
      </w:pPr>
      <w:r>
        <w:rPr>
          <w:noProof/>
        </w:rPr>
        <w:t>3.1.</w:t>
      </w:r>
      <w:r>
        <w:rPr>
          <w:noProof/>
        </w:rPr>
        <w:tab/>
        <w:t xml:space="preserve">Príslušné okruhy viacročného finančného </w:t>
      </w:r>
      <w:r>
        <w:rPr>
          <w:noProof/>
        </w:rPr>
        <w:t>rámca a rozpočtové riadky výdavkov</w:t>
      </w:r>
    </w:p>
    <w:p w:rsidR="00927BC9" w:rsidRDefault="000664B9">
      <w:pPr>
        <w:pStyle w:val="ListBullet1"/>
        <w:rPr>
          <w:noProof/>
        </w:rPr>
      </w:pPr>
      <w:r>
        <w:rPr>
          <w:noProof/>
        </w:rPr>
        <w:t>Existujúce rozpočtové riadky</w:t>
      </w:r>
    </w:p>
    <w:p w:rsidR="00927BC9" w:rsidRDefault="000664B9">
      <w:pPr>
        <w:pStyle w:val="Text1"/>
        <w:rPr>
          <w:i/>
          <w:noProof/>
        </w:rPr>
      </w:pPr>
      <w:r>
        <w:rPr>
          <w:i/>
          <w:noProof/>
          <w:u w:val="single"/>
        </w:rPr>
        <w:t>V poradí</w:t>
      </w:r>
      <w:r>
        <w:rPr>
          <w:i/>
          <w:noProof/>
        </w:rPr>
        <w:t>, v akom za sebou nasledujú okruhy viacročného finančného rámca a rozpočtové riadky.</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260"/>
        <w:gridCol w:w="1649"/>
        <w:gridCol w:w="956"/>
        <w:gridCol w:w="1364"/>
        <w:gridCol w:w="992"/>
        <w:gridCol w:w="1560"/>
      </w:tblGrid>
      <w:tr w:rsidR="00927BC9">
        <w:tc>
          <w:tcPr>
            <w:tcW w:w="1211" w:type="dxa"/>
            <w:vMerge w:val="restart"/>
            <w:vAlign w:val="center"/>
          </w:tcPr>
          <w:p w:rsidR="00927BC9" w:rsidRDefault="000664B9">
            <w:pPr>
              <w:spacing w:before="60" w:after="60"/>
              <w:jc w:val="center"/>
              <w:rPr>
                <w:noProof/>
              </w:rPr>
            </w:pPr>
            <w:r>
              <w:rPr>
                <w:noProof/>
                <w:sz w:val="18"/>
              </w:rPr>
              <w:t>Okruh viacročného finančného rámca</w:t>
            </w:r>
          </w:p>
        </w:tc>
        <w:tc>
          <w:tcPr>
            <w:tcW w:w="3260" w:type="dxa"/>
            <w:vAlign w:val="center"/>
          </w:tcPr>
          <w:p w:rsidR="00927BC9" w:rsidRDefault="000664B9">
            <w:pPr>
              <w:spacing w:before="60" w:after="60"/>
              <w:jc w:val="center"/>
              <w:rPr>
                <w:noProof/>
              </w:rPr>
            </w:pPr>
            <w:r>
              <w:rPr>
                <w:noProof/>
                <w:sz w:val="20"/>
              </w:rPr>
              <w:t>Rozpočtový riadok</w:t>
            </w:r>
          </w:p>
        </w:tc>
        <w:tc>
          <w:tcPr>
            <w:tcW w:w="1649" w:type="dxa"/>
            <w:vAlign w:val="center"/>
          </w:tcPr>
          <w:p w:rsidR="00927BC9" w:rsidRDefault="000664B9">
            <w:pPr>
              <w:spacing w:before="60" w:after="60"/>
              <w:jc w:val="center"/>
              <w:rPr>
                <w:noProof/>
              </w:rPr>
            </w:pPr>
            <w:r>
              <w:rPr>
                <w:noProof/>
                <w:sz w:val="18"/>
                <w:szCs w:val="18"/>
              </w:rPr>
              <w:t>Druh</w:t>
            </w:r>
            <w:r>
              <w:rPr>
                <w:noProof/>
                <w:sz w:val="18"/>
              </w:rPr>
              <w:t xml:space="preserve"> </w:t>
            </w:r>
            <w:r>
              <w:rPr>
                <w:noProof/>
                <w:sz w:val="22"/>
              </w:rPr>
              <w:br/>
            </w:r>
            <w:r>
              <w:rPr>
                <w:noProof/>
                <w:sz w:val="18"/>
              </w:rPr>
              <w:t>výdavkov</w:t>
            </w:r>
          </w:p>
        </w:tc>
        <w:tc>
          <w:tcPr>
            <w:tcW w:w="4872" w:type="dxa"/>
            <w:gridSpan w:val="4"/>
            <w:vAlign w:val="center"/>
          </w:tcPr>
          <w:p w:rsidR="00927BC9" w:rsidRDefault="000664B9">
            <w:pPr>
              <w:spacing w:before="60" w:after="60"/>
              <w:jc w:val="center"/>
              <w:rPr>
                <w:noProof/>
              </w:rPr>
            </w:pPr>
            <w:r>
              <w:rPr>
                <w:noProof/>
                <w:sz w:val="20"/>
              </w:rPr>
              <w:t xml:space="preserve">Príspevky </w:t>
            </w:r>
          </w:p>
        </w:tc>
      </w:tr>
      <w:tr w:rsidR="00927BC9">
        <w:tc>
          <w:tcPr>
            <w:tcW w:w="1211" w:type="dxa"/>
            <w:vMerge/>
            <w:vAlign w:val="center"/>
          </w:tcPr>
          <w:p w:rsidR="00927BC9" w:rsidRDefault="00927BC9">
            <w:pPr>
              <w:jc w:val="center"/>
              <w:rPr>
                <w:noProof/>
              </w:rPr>
            </w:pPr>
          </w:p>
        </w:tc>
        <w:tc>
          <w:tcPr>
            <w:tcW w:w="3260" w:type="dxa"/>
            <w:vAlign w:val="center"/>
          </w:tcPr>
          <w:p w:rsidR="00927BC9" w:rsidRDefault="000664B9">
            <w:pPr>
              <w:rPr>
                <w:noProof/>
              </w:rPr>
            </w:pPr>
            <w:r>
              <w:rPr>
                <w:noProof/>
                <w:sz w:val="20"/>
              </w:rPr>
              <w:t xml:space="preserve">Číslo </w:t>
            </w:r>
            <w:r>
              <w:rPr>
                <w:noProof/>
                <w:sz w:val="22"/>
              </w:rPr>
              <w:br/>
            </w:r>
          </w:p>
        </w:tc>
        <w:tc>
          <w:tcPr>
            <w:tcW w:w="1649" w:type="dxa"/>
            <w:vAlign w:val="center"/>
          </w:tcPr>
          <w:p w:rsidR="00927BC9" w:rsidRDefault="000664B9">
            <w:pPr>
              <w:jc w:val="center"/>
              <w:rPr>
                <w:noProof/>
              </w:rPr>
            </w:pPr>
            <w:r>
              <w:rPr>
                <w:noProof/>
                <w:sz w:val="18"/>
                <w:szCs w:val="18"/>
              </w:rPr>
              <w:t>DRP/NRP</w:t>
            </w:r>
            <w:r>
              <w:rPr>
                <w:rStyle w:val="FootnoteReference"/>
                <w:noProof/>
                <w:sz w:val="18"/>
              </w:rPr>
              <w:footnoteReference w:id="16"/>
            </w:r>
          </w:p>
        </w:tc>
        <w:tc>
          <w:tcPr>
            <w:tcW w:w="956" w:type="dxa"/>
            <w:vAlign w:val="center"/>
          </w:tcPr>
          <w:p w:rsidR="00927BC9" w:rsidRDefault="000664B9">
            <w:pPr>
              <w:jc w:val="center"/>
              <w:rPr>
                <w:noProof/>
              </w:rPr>
            </w:pPr>
            <w:r>
              <w:rPr>
                <w:noProof/>
                <w:sz w:val="18"/>
              </w:rPr>
              <w:t>k</w:t>
            </w:r>
            <w:r>
              <w:rPr>
                <w:noProof/>
                <w:sz w:val="18"/>
              </w:rPr>
              <w:t>rajín EZVO</w:t>
            </w:r>
            <w:r>
              <w:rPr>
                <w:rStyle w:val="FootnoteReference"/>
                <w:noProof/>
                <w:sz w:val="18"/>
              </w:rPr>
              <w:footnoteReference w:id="17"/>
            </w:r>
          </w:p>
          <w:p w:rsidR="00927BC9" w:rsidRDefault="00927BC9">
            <w:pPr>
              <w:spacing w:before="0" w:after="0"/>
              <w:jc w:val="center"/>
              <w:rPr>
                <w:b/>
                <w:noProof/>
                <w:sz w:val="18"/>
              </w:rPr>
            </w:pPr>
          </w:p>
        </w:tc>
        <w:tc>
          <w:tcPr>
            <w:tcW w:w="1364" w:type="dxa"/>
            <w:vAlign w:val="center"/>
          </w:tcPr>
          <w:p w:rsidR="00927BC9" w:rsidRDefault="000664B9">
            <w:pPr>
              <w:jc w:val="center"/>
              <w:rPr>
                <w:noProof/>
              </w:rPr>
            </w:pPr>
            <w:r>
              <w:rPr>
                <w:noProof/>
                <w:sz w:val="18"/>
              </w:rPr>
              <w:t>kandidátskych krajín</w:t>
            </w:r>
            <w:r>
              <w:rPr>
                <w:rStyle w:val="FootnoteReference"/>
                <w:noProof/>
                <w:sz w:val="18"/>
              </w:rPr>
              <w:footnoteReference w:id="18"/>
            </w:r>
          </w:p>
          <w:p w:rsidR="00927BC9" w:rsidRDefault="00927BC9">
            <w:pPr>
              <w:spacing w:before="0" w:after="0"/>
              <w:jc w:val="center"/>
              <w:rPr>
                <w:noProof/>
                <w:sz w:val="18"/>
              </w:rPr>
            </w:pPr>
          </w:p>
        </w:tc>
        <w:tc>
          <w:tcPr>
            <w:tcW w:w="992" w:type="dxa"/>
            <w:vAlign w:val="center"/>
          </w:tcPr>
          <w:p w:rsidR="00927BC9" w:rsidRDefault="000664B9">
            <w:pPr>
              <w:jc w:val="center"/>
              <w:rPr>
                <w:noProof/>
                <w:sz w:val="18"/>
              </w:rPr>
            </w:pPr>
            <w:r>
              <w:rPr>
                <w:noProof/>
                <w:sz w:val="18"/>
              </w:rPr>
              <w:t>tretích krajín</w:t>
            </w:r>
          </w:p>
        </w:tc>
        <w:tc>
          <w:tcPr>
            <w:tcW w:w="1560" w:type="dxa"/>
            <w:vAlign w:val="center"/>
          </w:tcPr>
          <w:p w:rsidR="00927BC9" w:rsidRDefault="000664B9">
            <w:pPr>
              <w:jc w:val="center"/>
              <w:rPr>
                <w:noProof/>
              </w:rPr>
            </w:pPr>
            <w:r>
              <w:rPr>
                <w:noProof/>
                <w:sz w:val="16"/>
              </w:rPr>
              <w:t xml:space="preserve">v zmysle článku 21 ods. 2 písm. b) nariadenia o rozpočtových pravidlách </w:t>
            </w:r>
          </w:p>
        </w:tc>
      </w:tr>
      <w:tr w:rsidR="00927BC9">
        <w:tc>
          <w:tcPr>
            <w:tcW w:w="1211" w:type="dxa"/>
            <w:shd w:val="clear" w:color="auto" w:fill="auto"/>
            <w:vAlign w:val="center"/>
          </w:tcPr>
          <w:p w:rsidR="00927BC9" w:rsidRDefault="000664B9">
            <w:pPr>
              <w:pStyle w:val="Default"/>
              <w:jc w:val="both"/>
              <w:rPr>
                <w:noProof/>
                <w:color w:val="0000FF"/>
                <w:lang w:val="sk-SK"/>
              </w:rPr>
            </w:pPr>
            <w:r>
              <w:rPr>
                <w:noProof/>
                <w:sz w:val="22"/>
                <w:lang w:val="sk-SK"/>
              </w:rPr>
              <w:t>Okruh 9: Osobitné nástroje</w:t>
            </w:r>
          </w:p>
        </w:tc>
        <w:tc>
          <w:tcPr>
            <w:tcW w:w="3260" w:type="dxa"/>
            <w:vAlign w:val="center"/>
          </w:tcPr>
          <w:p w:rsidR="00927BC9" w:rsidRDefault="00927BC9">
            <w:pPr>
              <w:spacing w:before="60"/>
              <w:rPr>
                <w:noProof/>
                <w:sz w:val="22"/>
              </w:rPr>
            </w:pPr>
          </w:p>
          <w:p w:rsidR="00927BC9" w:rsidRDefault="000664B9">
            <w:pPr>
              <w:pStyle w:val="Default"/>
              <w:jc w:val="both"/>
              <w:rPr>
                <w:noProof/>
                <w:sz w:val="22"/>
                <w:szCs w:val="22"/>
                <w:lang w:val="sk-SK"/>
              </w:rPr>
            </w:pPr>
            <w:r>
              <w:rPr>
                <w:noProof/>
                <w:sz w:val="22"/>
                <w:szCs w:val="22"/>
                <w:lang w:val="sk-SK"/>
              </w:rPr>
              <w:t xml:space="preserve">13 06 01 </w:t>
            </w:r>
            <w:r>
              <w:rPr>
                <w:noProof/>
                <w:sz w:val="22"/>
                <w:lang w:val="sk-SK"/>
              </w:rPr>
              <w:t xml:space="preserve">– </w:t>
            </w:r>
            <w:r>
              <w:rPr>
                <w:noProof/>
                <w:sz w:val="22"/>
                <w:szCs w:val="22"/>
                <w:lang w:val="sk-SK"/>
              </w:rPr>
              <w:t xml:space="preserve">Pomoc členským štátom v prípade veľkej prírodnej katastrofy so závažnými dôsledkami na </w:t>
            </w:r>
            <w:r>
              <w:rPr>
                <w:noProof/>
                <w:sz w:val="22"/>
                <w:szCs w:val="22"/>
                <w:lang w:val="sk-SK"/>
              </w:rPr>
              <w:t>životné podmienky, prírodné prostredie alebo hospodárstvo</w:t>
            </w:r>
          </w:p>
          <w:p w:rsidR="00927BC9" w:rsidRDefault="00927BC9">
            <w:pPr>
              <w:spacing w:after="60"/>
              <w:rPr>
                <w:noProof/>
              </w:rPr>
            </w:pPr>
          </w:p>
        </w:tc>
        <w:tc>
          <w:tcPr>
            <w:tcW w:w="1649" w:type="dxa"/>
            <w:vAlign w:val="center"/>
          </w:tcPr>
          <w:p w:rsidR="00927BC9" w:rsidRDefault="000664B9">
            <w:pPr>
              <w:pStyle w:val="Default"/>
              <w:jc w:val="center"/>
              <w:rPr>
                <w:noProof/>
                <w:color w:val="0000FF"/>
                <w:lang w:val="sk-SK"/>
              </w:rPr>
            </w:pPr>
            <w:r>
              <w:rPr>
                <w:noProof/>
                <w:sz w:val="22"/>
                <w:szCs w:val="22"/>
                <w:lang w:val="sk-SK"/>
              </w:rPr>
              <w:t>diferencované</w:t>
            </w:r>
          </w:p>
        </w:tc>
        <w:tc>
          <w:tcPr>
            <w:tcW w:w="956" w:type="dxa"/>
            <w:vAlign w:val="center"/>
          </w:tcPr>
          <w:p w:rsidR="00927BC9" w:rsidRDefault="000664B9">
            <w:pPr>
              <w:jc w:val="center"/>
              <w:rPr>
                <w:noProof/>
                <w:sz w:val="20"/>
                <w:szCs w:val="20"/>
              </w:rPr>
            </w:pPr>
            <w:r>
              <w:rPr>
                <w:noProof/>
                <w:sz w:val="20"/>
                <w:szCs w:val="20"/>
              </w:rPr>
              <w:t>NIE</w:t>
            </w:r>
          </w:p>
        </w:tc>
        <w:tc>
          <w:tcPr>
            <w:tcW w:w="1364" w:type="dxa"/>
            <w:vAlign w:val="center"/>
          </w:tcPr>
          <w:p w:rsidR="00927BC9" w:rsidRDefault="000664B9">
            <w:pPr>
              <w:jc w:val="center"/>
              <w:rPr>
                <w:noProof/>
                <w:sz w:val="20"/>
                <w:szCs w:val="20"/>
              </w:rPr>
            </w:pPr>
            <w:r>
              <w:rPr>
                <w:noProof/>
                <w:sz w:val="20"/>
                <w:szCs w:val="20"/>
              </w:rPr>
              <w:t>NIE</w:t>
            </w:r>
          </w:p>
        </w:tc>
        <w:tc>
          <w:tcPr>
            <w:tcW w:w="992" w:type="dxa"/>
            <w:vAlign w:val="center"/>
          </w:tcPr>
          <w:p w:rsidR="00927BC9" w:rsidRDefault="000664B9">
            <w:pPr>
              <w:jc w:val="center"/>
              <w:rPr>
                <w:noProof/>
                <w:sz w:val="20"/>
                <w:szCs w:val="20"/>
              </w:rPr>
            </w:pPr>
            <w:r>
              <w:rPr>
                <w:noProof/>
                <w:sz w:val="20"/>
                <w:szCs w:val="20"/>
              </w:rPr>
              <w:t>NIE</w:t>
            </w:r>
          </w:p>
        </w:tc>
        <w:tc>
          <w:tcPr>
            <w:tcW w:w="1560" w:type="dxa"/>
            <w:vAlign w:val="center"/>
          </w:tcPr>
          <w:p w:rsidR="00927BC9" w:rsidRDefault="000664B9">
            <w:pPr>
              <w:rPr>
                <w:noProof/>
                <w:sz w:val="20"/>
                <w:szCs w:val="20"/>
              </w:rPr>
            </w:pPr>
            <w:r>
              <w:rPr>
                <w:noProof/>
                <w:sz w:val="20"/>
                <w:szCs w:val="20"/>
              </w:rPr>
              <w:t xml:space="preserve">   NIE</w:t>
            </w:r>
          </w:p>
        </w:tc>
      </w:tr>
    </w:tbl>
    <w:p w:rsidR="00927BC9" w:rsidRDefault="000664B9">
      <w:pPr>
        <w:pStyle w:val="ManualHeading2"/>
        <w:rPr>
          <w:noProof/>
        </w:rPr>
      </w:pPr>
      <w:r>
        <w:rPr>
          <w:noProof/>
        </w:rPr>
        <w:t>3.2.</w:t>
      </w:r>
      <w:r>
        <w:rPr>
          <w:noProof/>
        </w:rPr>
        <w:tab/>
        <w:t>Odhadovaný finančný vplyv návrhu na rozpočtové prostriedky</w:t>
      </w:r>
    </w:p>
    <w:p w:rsidR="00927BC9" w:rsidRDefault="000664B9">
      <w:pPr>
        <w:pStyle w:val="ManualHeading3"/>
        <w:rPr>
          <w:noProof/>
        </w:rPr>
      </w:pPr>
      <w:r>
        <w:rPr>
          <w:noProof/>
        </w:rPr>
        <w:t>3.2.1.</w:t>
      </w:r>
      <w:r>
        <w:rPr>
          <w:noProof/>
        </w:rPr>
        <w:tab/>
        <w:t>Zhrnutie odhadovaného vplyvu na operačné rozpočtové prostriedky</w:t>
      </w:r>
    </w:p>
    <w:p w:rsidR="00927BC9" w:rsidRDefault="000664B9">
      <w:pPr>
        <w:pStyle w:val="ListDash1"/>
        <w:rPr>
          <w:noProof/>
        </w:rPr>
      </w:pPr>
      <w:r>
        <w:rPr>
          <w:noProof/>
        </w:rPr>
        <w:sym w:font="Wingdings" w:char="F0A8"/>
      </w:r>
      <w:r>
        <w:rPr>
          <w:noProof/>
        </w:rPr>
        <w:tab/>
        <w:t xml:space="preserve">Toto nariadenie nemá </w:t>
      </w:r>
      <w:r>
        <w:rPr>
          <w:noProof/>
        </w:rPr>
        <w:t>žiadny finančný vplyv.</w:t>
      </w:r>
    </w:p>
    <w:p w:rsidR="00927BC9" w:rsidRDefault="000664B9">
      <w:pPr>
        <w:pStyle w:val="Text1"/>
        <w:rPr>
          <w:noProof/>
        </w:rPr>
      </w:pPr>
      <w:r>
        <w:rPr>
          <w:noProof/>
        </w:rPr>
        <w:t>X</w:t>
      </w:r>
      <w:r>
        <w:rPr>
          <w:noProof/>
        </w:rPr>
        <w:tab/>
        <w:t>Návrh/iniciatíva si vyžaduje použitie operačných rozpočtových prostriedkov, ako je uvedené v nasledujúcej tabuľke:</w:t>
      </w:r>
    </w:p>
    <w:p w:rsidR="00927BC9" w:rsidRDefault="00927BC9">
      <w:pPr>
        <w:pStyle w:val="Text1"/>
        <w:rPr>
          <w:noProof/>
        </w:rPr>
      </w:pPr>
    </w:p>
    <w:p w:rsidR="00927BC9" w:rsidRDefault="000664B9">
      <w:pPr>
        <w:pStyle w:val="Text1"/>
        <w:rPr>
          <w:noProof/>
        </w:rPr>
      </w:pPr>
      <w:r>
        <w:rPr>
          <w:noProof/>
        </w:rPr>
        <w:t xml:space="preserve">Osobitné ustanovenia tohto nariadenia týkajúce sa vystúpenia Spojeného kráľovstva bez dohody sú časovo obmedzené a </w:t>
      </w:r>
      <w:r>
        <w:rPr>
          <w:noProof/>
        </w:rPr>
        <w:t>vzťahujú sa len na rozpočtové roky 2019 a 2020.</w:t>
      </w:r>
    </w:p>
    <w:p w:rsidR="00927BC9" w:rsidRDefault="000664B9">
      <w:pPr>
        <w:pStyle w:val="Text1"/>
        <w:rPr>
          <w:noProof/>
        </w:rPr>
      </w:pPr>
      <w:r>
        <w:rPr>
          <w:noProof/>
        </w:rPr>
        <w:t>Uplatňuje sa odo dňa nasledujúceho po dni, ktorým sa zmluvy prestanú uplatňovať na Spojené kráľovstvo podľa článku 50 ods. 3 Zmluvy o EÚ.</w:t>
      </w:r>
    </w:p>
    <w:p w:rsidR="00927BC9" w:rsidRDefault="000664B9">
      <w:pPr>
        <w:pStyle w:val="Text1"/>
        <w:rPr>
          <w:noProof/>
        </w:rPr>
      </w:pPr>
      <w:r>
        <w:rPr>
          <w:noProof/>
        </w:rPr>
        <w:t>Žiadosti sa budú prijímať od 1. novembra 2019 do 30. apríla 2020.</w:t>
      </w:r>
    </w:p>
    <w:p w:rsidR="00927BC9" w:rsidRDefault="000664B9">
      <w:pPr>
        <w:pStyle w:val="Text1"/>
        <w:rPr>
          <w:noProof/>
        </w:rPr>
      </w:pPr>
      <w:r>
        <w:rPr>
          <w:noProof/>
        </w:rPr>
        <w:t>Stro</w:t>
      </w:r>
      <w:r>
        <w:rPr>
          <w:noProof/>
        </w:rPr>
        <w:t>p bude predstavovať 50 % maximálnej sumy rozpočtových prostriedkov pridelených z FSEÚ na roky 2019 a 2020, čo je spolu 591,65 mil. EUR (292,9 mil. EUR na rok 2019 plus 298,75 mil. EUR na rok 2020).</w:t>
      </w:r>
    </w:p>
    <w:p w:rsidR="00927BC9" w:rsidRDefault="000664B9">
      <w:pPr>
        <w:pStyle w:val="Text1"/>
        <w:rPr>
          <w:noProof/>
        </w:rPr>
      </w:pPr>
      <w:r>
        <w:rPr>
          <w:noProof/>
        </w:rPr>
        <w:t>Toto nariadenie sa neuplatňuje, ak do uvedeného dátumu nad</w:t>
      </w:r>
      <w:r>
        <w:rPr>
          <w:noProof/>
        </w:rPr>
        <w:t>obudla platnosť dohoda o vystúpení uzavretá so Spojeným kráľovstvom v súlade s článkom 50 ods. 2 Zmluvy o Európskej únii.</w:t>
      </w:r>
    </w:p>
    <w:p w:rsidR="00927BC9" w:rsidRDefault="000664B9">
      <w:pPr>
        <w:pStyle w:val="Text1"/>
        <w:rPr>
          <w:noProof/>
        </w:rPr>
      </w:pPr>
      <w:r>
        <w:rPr>
          <w:noProof/>
        </w:rPr>
        <w:t>Okrem toho je na dodatočné zálohy od roku 2020 potrebných 50 mil. EUR vo viazaných a platobných rozpočtových prostriedkoch.</w:t>
      </w:r>
    </w:p>
    <w:p w:rsidR="00927BC9" w:rsidRDefault="000664B9">
      <w:pPr>
        <w:pStyle w:val="Text1"/>
        <w:rPr>
          <w:noProof/>
        </w:rPr>
      </w:pPr>
      <w:r>
        <w:rPr>
          <w:noProof/>
        </w:rPr>
        <w:t xml:space="preserve">Celkový </w:t>
      </w:r>
      <w:r>
        <w:rPr>
          <w:noProof/>
        </w:rPr>
        <w:t>návrh zostáva v rámci maximálnej výšky pridelených rozpočtových prostriedkov stanovenej v prípade FSEÚ, a preto je v súlade s VFR.</w:t>
      </w:r>
    </w:p>
    <w:p w:rsidR="00927BC9" w:rsidRDefault="00927BC9">
      <w:pPr>
        <w:pStyle w:val="Text1"/>
        <w:rPr>
          <w:noProof/>
        </w:rPr>
      </w:pPr>
    </w:p>
    <w:p w:rsidR="00927BC9" w:rsidRDefault="000664B9">
      <w:pPr>
        <w:spacing w:before="0" w:after="200" w:line="276" w:lineRule="auto"/>
        <w:jc w:val="left"/>
        <w:rPr>
          <w:noProof/>
        </w:rPr>
      </w:pPr>
      <w:r>
        <w:rPr>
          <w:noProof/>
        </w:rPr>
        <w:br w:type="page"/>
      </w:r>
    </w:p>
    <w:p w:rsidR="00927BC9" w:rsidRDefault="000664B9">
      <w:pPr>
        <w:keepNext/>
        <w:jc w:val="right"/>
        <w:rPr>
          <w:noProof/>
          <w:sz w:val="18"/>
          <w:szCs w:val="18"/>
        </w:rPr>
      </w:pPr>
      <w:r>
        <w:rPr>
          <w:noProof/>
          <w:sz w:val="18"/>
          <w:szCs w:val="18"/>
        </w:rPr>
        <w:t>EUR</w:t>
      </w:r>
    </w:p>
    <w:p w:rsidR="00927BC9" w:rsidRDefault="00927BC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7BC9">
        <w:trPr>
          <w:jc w:val="center"/>
        </w:trPr>
        <w:tc>
          <w:tcPr>
            <w:tcW w:w="4744" w:type="dxa"/>
            <w:shd w:val="thinDiagStripe" w:color="C0C0C0" w:fill="auto"/>
            <w:vAlign w:val="center"/>
          </w:tcPr>
          <w:p w:rsidR="00927BC9" w:rsidRDefault="000664B9">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927BC9" w:rsidRDefault="000664B9">
            <w:pPr>
              <w:spacing w:before="60" w:after="60"/>
              <w:jc w:val="center"/>
              <w:rPr>
                <w:noProof/>
              </w:rPr>
            </w:pPr>
            <w:r>
              <w:rPr>
                <w:noProof/>
                <w:sz w:val="22"/>
              </w:rPr>
              <w:t>9</w:t>
            </w:r>
          </w:p>
        </w:tc>
        <w:tc>
          <w:tcPr>
            <w:tcW w:w="7817" w:type="dxa"/>
            <w:vAlign w:val="center"/>
          </w:tcPr>
          <w:p w:rsidR="00927BC9" w:rsidRDefault="000664B9">
            <w:pPr>
              <w:spacing w:before="60" w:after="60"/>
              <w:rPr>
                <w:noProof/>
              </w:rPr>
            </w:pPr>
            <w:r>
              <w:rPr>
                <w:noProof/>
              </w:rPr>
              <w:t>Osobitné nástroje</w:t>
            </w:r>
          </w:p>
        </w:tc>
      </w:tr>
    </w:tbl>
    <w:p w:rsidR="00927BC9" w:rsidRDefault="00927BC9">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651"/>
        <w:gridCol w:w="1135"/>
        <w:gridCol w:w="1116"/>
        <w:gridCol w:w="1010"/>
        <w:gridCol w:w="1134"/>
        <w:gridCol w:w="1418"/>
        <w:gridCol w:w="1559"/>
        <w:gridCol w:w="2409"/>
      </w:tblGrid>
      <w:tr w:rsidR="00927BC9">
        <w:trPr>
          <w:trHeight w:val="1068"/>
        </w:trPr>
        <w:tc>
          <w:tcPr>
            <w:tcW w:w="3960" w:type="dxa"/>
            <w:vAlign w:val="center"/>
          </w:tcPr>
          <w:p w:rsidR="00927BC9" w:rsidRDefault="00927BC9">
            <w:pPr>
              <w:rPr>
                <w:noProof/>
              </w:rPr>
            </w:pPr>
          </w:p>
        </w:tc>
        <w:tc>
          <w:tcPr>
            <w:tcW w:w="1560" w:type="dxa"/>
            <w:gridSpan w:val="2"/>
          </w:tcPr>
          <w:p w:rsidR="00927BC9" w:rsidRDefault="00927BC9">
            <w:pPr>
              <w:rPr>
                <w:noProof/>
                <w:sz w:val="20"/>
              </w:rPr>
            </w:pPr>
          </w:p>
        </w:tc>
        <w:tc>
          <w:tcPr>
            <w:tcW w:w="651" w:type="dxa"/>
          </w:tcPr>
          <w:p w:rsidR="00927BC9" w:rsidRDefault="00927BC9">
            <w:pPr>
              <w:rPr>
                <w:noProof/>
                <w:sz w:val="20"/>
              </w:rPr>
            </w:pPr>
          </w:p>
        </w:tc>
        <w:tc>
          <w:tcPr>
            <w:tcW w:w="1135" w:type="dxa"/>
            <w:vAlign w:val="center"/>
          </w:tcPr>
          <w:p w:rsidR="00927BC9" w:rsidRDefault="000664B9">
            <w:pPr>
              <w:jc w:val="center"/>
              <w:rPr>
                <w:noProof/>
                <w:sz w:val="20"/>
              </w:rPr>
            </w:pPr>
            <w:r>
              <w:rPr>
                <w:noProof/>
                <w:sz w:val="20"/>
              </w:rPr>
              <w:t>2019</w:t>
            </w:r>
          </w:p>
        </w:tc>
        <w:tc>
          <w:tcPr>
            <w:tcW w:w="1116" w:type="dxa"/>
            <w:vAlign w:val="center"/>
          </w:tcPr>
          <w:p w:rsidR="00927BC9" w:rsidRDefault="000664B9">
            <w:pPr>
              <w:jc w:val="center"/>
              <w:rPr>
                <w:noProof/>
                <w:sz w:val="20"/>
              </w:rPr>
            </w:pPr>
            <w:r>
              <w:rPr>
                <w:noProof/>
                <w:sz w:val="20"/>
              </w:rPr>
              <w:t>2020</w:t>
            </w:r>
          </w:p>
        </w:tc>
        <w:tc>
          <w:tcPr>
            <w:tcW w:w="1010" w:type="dxa"/>
            <w:vAlign w:val="center"/>
          </w:tcPr>
          <w:p w:rsidR="00927BC9" w:rsidRDefault="000664B9">
            <w:pPr>
              <w:jc w:val="center"/>
              <w:rPr>
                <w:noProof/>
                <w:sz w:val="20"/>
              </w:rPr>
            </w:pPr>
            <w:r>
              <w:rPr>
                <w:noProof/>
                <w:sz w:val="20"/>
              </w:rPr>
              <w:t>2021</w:t>
            </w:r>
          </w:p>
        </w:tc>
        <w:tc>
          <w:tcPr>
            <w:tcW w:w="1134" w:type="dxa"/>
            <w:vAlign w:val="center"/>
          </w:tcPr>
          <w:p w:rsidR="00927BC9" w:rsidRDefault="000664B9">
            <w:pPr>
              <w:jc w:val="center"/>
              <w:rPr>
                <w:noProof/>
                <w:sz w:val="20"/>
              </w:rPr>
            </w:pPr>
            <w:r>
              <w:rPr>
                <w:noProof/>
                <w:sz w:val="20"/>
              </w:rPr>
              <w:t>2022</w:t>
            </w:r>
          </w:p>
        </w:tc>
        <w:tc>
          <w:tcPr>
            <w:tcW w:w="1418" w:type="dxa"/>
            <w:vAlign w:val="center"/>
          </w:tcPr>
          <w:p w:rsidR="00927BC9" w:rsidRDefault="000664B9">
            <w:pPr>
              <w:jc w:val="center"/>
              <w:rPr>
                <w:noProof/>
                <w:sz w:val="20"/>
              </w:rPr>
            </w:pPr>
            <w:r>
              <w:rPr>
                <w:noProof/>
                <w:sz w:val="20"/>
              </w:rPr>
              <w:t>2023</w:t>
            </w:r>
          </w:p>
        </w:tc>
        <w:tc>
          <w:tcPr>
            <w:tcW w:w="1559" w:type="dxa"/>
            <w:vAlign w:val="center"/>
          </w:tcPr>
          <w:p w:rsidR="00927BC9" w:rsidRDefault="000664B9">
            <w:pPr>
              <w:jc w:val="center"/>
              <w:rPr>
                <w:noProof/>
                <w:sz w:val="20"/>
              </w:rPr>
            </w:pPr>
            <w:r>
              <w:rPr>
                <w:noProof/>
                <w:sz w:val="20"/>
              </w:rPr>
              <w:t>Nasledujúce roky</w:t>
            </w:r>
          </w:p>
        </w:tc>
        <w:tc>
          <w:tcPr>
            <w:tcW w:w="2409" w:type="dxa"/>
            <w:vAlign w:val="center"/>
          </w:tcPr>
          <w:p w:rsidR="00927BC9" w:rsidRDefault="000664B9">
            <w:pPr>
              <w:jc w:val="center"/>
              <w:rPr>
                <w:b/>
                <w:noProof/>
                <w:sz w:val="20"/>
              </w:rPr>
            </w:pPr>
            <w:r>
              <w:rPr>
                <w:b/>
                <w:noProof/>
                <w:sz w:val="20"/>
              </w:rPr>
              <w:t>SPOLU</w:t>
            </w:r>
          </w:p>
        </w:tc>
      </w:tr>
      <w:tr w:rsidR="00927BC9">
        <w:trPr>
          <w:trHeight w:val="213"/>
        </w:trPr>
        <w:tc>
          <w:tcPr>
            <w:tcW w:w="6171" w:type="dxa"/>
            <w:gridSpan w:val="4"/>
            <w:vAlign w:val="center"/>
          </w:tcPr>
          <w:p w:rsidR="00927BC9" w:rsidRDefault="000664B9">
            <w:pPr>
              <w:spacing w:before="20" w:after="20"/>
              <w:rPr>
                <w:b/>
                <w:noProof/>
                <w:szCs w:val="24"/>
              </w:rPr>
            </w:pPr>
            <w:r>
              <w:rPr>
                <w:noProof/>
                <w:sz w:val="21"/>
              </w:rPr>
              <w:sym w:font="Wingdings" w:char="F09F"/>
            </w:r>
            <w:r>
              <w:rPr>
                <w:noProof/>
                <w:sz w:val="21"/>
              </w:rPr>
              <w:t xml:space="preserve"> </w:t>
            </w:r>
            <w:r>
              <w:rPr>
                <w:b/>
                <w:noProof/>
              </w:rPr>
              <w:t>Operačné rozpočtové prostriedky</w:t>
            </w:r>
          </w:p>
        </w:tc>
        <w:tc>
          <w:tcPr>
            <w:tcW w:w="1135" w:type="dxa"/>
            <w:vAlign w:val="center"/>
          </w:tcPr>
          <w:p w:rsidR="00927BC9" w:rsidRDefault="00927BC9">
            <w:pPr>
              <w:rPr>
                <w:noProof/>
                <w:sz w:val="20"/>
              </w:rPr>
            </w:pPr>
          </w:p>
        </w:tc>
        <w:tc>
          <w:tcPr>
            <w:tcW w:w="1116" w:type="dxa"/>
            <w:vAlign w:val="center"/>
          </w:tcPr>
          <w:p w:rsidR="00927BC9" w:rsidRDefault="00927BC9">
            <w:pPr>
              <w:rPr>
                <w:noProof/>
                <w:sz w:val="20"/>
              </w:rPr>
            </w:pPr>
          </w:p>
        </w:tc>
        <w:tc>
          <w:tcPr>
            <w:tcW w:w="1010" w:type="dxa"/>
            <w:vAlign w:val="center"/>
          </w:tcPr>
          <w:p w:rsidR="00927BC9" w:rsidRDefault="00927BC9">
            <w:pPr>
              <w:rPr>
                <w:noProof/>
                <w:sz w:val="20"/>
              </w:rPr>
            </w:pPr>
          </w:p>
        </w:tc>
        <w:tc>
          <w:tcPr>
            <w:tcW w:w="1134" w:type="dxa"/>
            <w:vAlign w:val="center"/>
          </w:tcPr>
          <w:p w:rsidR="00927BC9" w:rsidRDefault="00927BC9">
            <w:pPr>
              <w:rPr>
                <w:noProof/>
                <w:sz w:val="20"/>
              </w:rPr>
            </w:pPr>
          </w:p>
        </w:tc>
        <w:tc>
          <w:tcPr>
            <w:tcW w:w="1418" w:type="dxa"/>
          </w:tcPr>
          <w:p w:rsidR="00927BC9" w:rsidRDefault="00927BC9">
            <w:pPr>
              <w:rPr>
                <w:b/>
                <w:noProof/>
                <w:sz w:val="20"/>
              </w:rPr>
            </w:pPr>
          </w:p>
        </w:tc>
        <w:tc>
          <w:tcPr>
            <w:tcW w:w="1559" w:type="dxa"/>
          </w:tcPr>
          <w:p w:rsidR="00927BC9" w:rsidRDefault="00927BC9">
            <w:pPr>
              <w:rPr>
                <w:b/>
                <w:noProof/>
                <w:sz w:val="20"/>
              </w:rPr>
            </w:pPr>
          </w:p>
        </w:tc>
        <w:tc>
          <w:tcPr>
            <w:tcW w:w="2409" w:type="dxa"/>
            <w:vAlign w:val="center"/>
          </w:tcPr>
          <w:p w:rsidR="00927BC9" w:rsidRDefault="00927BC9">
            <w:pPr>
              <w:rPr>
                <w:b/>
                <w:noProof/>
                <w:sz w:val="20"/>
              </w:rPr>
            </w:pPr>
          </w:p>
        </w:tc>
      </w:tr>
      <w:tr w:rsidR="00927BC9">
        <w:trPr>
          <w:trHeight w:val="509"/>
        </w:trPr>
        <w:tc>
          <w:tcPr>
            <w:tcW w:w="3960" w:type="dxa"/>
            <w:vMerge w:val="restart"/>
            <w:vAlign w:val="center"/>
          </w:tcPr>
          <w:p w:rsidR="00927BC9" w:rsidRDefault="000664B9">
            <w:pPr>
              <w:rPr>
                <w:noProof/>
                <w:sz w:val="20"/>
              </w:rPr>
            </w:pPr>
            <w:r>
              <w:rPr>
                <w:noProof/>
                <w:sz w:val="20"/>
              </w:rPr>
              <w:t>13 06 01 – Pomoc členským štátom v prípade veľkej prírodnej katastrofy so závažnými dôsledkami na životné podmienky, prírodné prostredie alebo hospodárstvo</w:t>
            </w:r>
          </w:p>
        </w:tc>
        <w:tc>
          <w:tcPr>
            <w:tcW w:w="1440" w:type="dxa"/>
            <w:vAlign w:val="center"/>
          </w:tcPr>
          <w:p w:rsidR="00927BC9" w:rsidRDefault="000664B9">
            <w:pPr>
              <w:spacing w:before="20" w:after="20"/>
              <w:rPr>
                <w:noProof/>
                <w:sz w:val="18"/>
              </w:rPr>
            </w:pPr>
            <w:r>
              <w:rPr>
                <w:noProof/>
                <w:sz w:val="18"/>
              </w:rPr>
              <w:t>Záväzky</w:t>
            </w:r>
          </w:p>
        </w:tc>
        <w:tc>
          <w:tcPr>
            <w:tcW w:w="771" w:type="dxa"/>
            <w:gridSpan w:val="2"/>
            <w:vAlign w:val="center"/>
          </w:tcPr>
          <w:p w:rsidR="00927BC9" w:rsidRDefault="000664B9">
            <w:pPr>
              <w:spacing w:before="20" w:after="20"/>
              <w:jc w:val="center"/>
              <w:rPr>
                <w:noProof/>
                <w:sz w:val="14"/>
              </w:rPr>
            </w:pPr>
            <w:r>
              <w:rPr>
                <w:noProof/>
                <w:sz w:val="14"/>
              </w:rPr>
              <w:t>(1a)</w:t>
            </w:r>
          </w:p>
        </w:tc>
        <w:tc>
          <w:tcPr>
            <w:tcW w:w="1135" w:type="dxa"/>
            <w:shd w:val="clear" w:color="auto" w:fill="FFFFFF" w:themeFill="background1"/>
            <w:vAlign w:val="center"/>
          </w:tcPr>
          <w:p w:rsidR="00927BC9" w:rsidRDefault="000664B9">
            <w:pPr>
              <w:spacing w:before="20" w:after="20"/>
              <w:jc w:val="right"/>
              <w:rPr>
                <w:noProof/>
                <w:sz w:val="18"/>
                <w:szCs w:val="18"/>
                <w:highlight w:val="yellow"/>
              </w:rPr>
            </w:pPr>
            <w:r>
              <w:rPr>
                <w:noProof/>
                <w:sz w:val="18"/>
                <w:szCs w:val="18"/>
                <w:highlight w:val="yellow"/>
              </w:rPr>
              <w:t xml:space="preserve">  </w:t>
            </w:r>
          </w:p>
        </w:tc>
        <w:tc>
          <w:tcPr>
            <w:tcW w:w="1116" w:type="dxa"/>
            <w:shd w:val="clear" w:color="auto" w:fill="FFFFFF" w:themeFill="background1"/>
            <w:vAlign w:val="center"/>
          </w:tcPr>
          <w:p w:rsidR="00927BC9" w:rsidRDefault="00927BC9">
            <w:pPr>
              <w:spacing w:before="20" w:after="20"/>
              <w:jc w:val="right"/>
              <w:rPr>
                <w:noProof/>
                <w:sz w:val="18"/>
                <w:szCs w:val="18"/>
                <w:highlight w:val="yellow"/>
              </w:rPr>
            </w:pPr>
          </w:p>
        </w:tc>
        <w:tc>
          <w:tcPr>
            <w:tcW w:w="1010" w:type="dxa"/>
            <w:shd w:val="clear" w:color="auto" w:fill="FFFFFF" w:themeFill="background1"/>
            <w:vAlign w:val="center"/>
          </w:tcPr>
          <w:p w:rsidR="00927BC9" w:rsidRDefault="00927BC9">
            <w:pPr>
              <w:spacing w:before="20" w:after="20"/>
              <w:jc w:val="right"/>
              <w:rPr>
                <w:noProof/>
                <w:sz w:val="18"/>
                <w:szCs w:val="18"/>
                <w:highlight w:val="yellow"/>
              </w:rPr>
            </w:pPr>
          </w:p>
        </w:tc>
        <w:tc>
          <w:tcPr>
            <w:tcW w:w="1134" w:type="dxa"/>
            <w:shd w:val="clear" w:color="auto" w:fill="FFFFFF" w:themeFill="background1"/>
            <w:vAlign w:val="center"/>
          </w:tcPr>
          <w:p w:rsidR="00927BC9" w:rsidRDefault="00927BC9">
            <w:pPr>
              <w:spacing w:before="20" w:after="20"/>
              <w:jc w:val="right"/>
              <w:rPr>
                <w:noProof/>
                <w:sz w:val="18"/>
                <w:szCs w:val="18"/>
                <w:highlight w:val="yellow"/>
              </w:rPr>
            </w:pPr>
          </w:p>
        </w:tc>
        <w:tc>
          <w:tcPr>
            <w:tcW w:w="1418" w:type="dxa"/>
            <w:shd w:val="clear" w:color="auto" w:fill="FFFFFF" w:themeFill="background1"/>
          </w:tcPr>
          <w:p w:rsidR="00927BC9" w:rsidRDefault="00927BC9">
            <w:pPr>
              <w:spacing w:before="20" w:after="20"/>
              <w:jc w:val="right"/>
              <w:rPr>
                <w:noProof/>
                <w:sz w:val="18"/>
                <w:szCs w:val="18"/>
                <w:highlight w:val="yellow"/>
              </w:rPr>
            </w:pPr>
          </w:p>
        </w:tc>
        <w:tc>
          <w:tcPr>
            <w:tcW w:w="1559" w:type="dxa"/>
            <w:shd w:val="clear" w:color="auto" w:fill="FFFFFF" w:themeFill="background1"/>
          </w:tcPr>
          <w:p w:rsidR="00927BC9" w:rsidRDefault="00927BC9">
            <w:pPr>
              <w:spacing w:before="20" w:after="20"/>
              <w:jc w:val="right"/>
              <w:rPr>
                <w:noProof/>
                <w:sz w:val="18"/>
                <w:szCs w:val="18"/>
                <w:highlight w:val="yellow"/>
              </w:rPr>
            </w:pPr>
          </w:p>
        </w:tc>
        <w:tc>
          <w:tcPr>
            <w:tcW w:w="2409" w:type="dxa"/>
            <w:shd w:val="clear" w:color="auto" w:fill="FFFFFF" w:themeFill="background1"/>
            <w:vAlign w:val="center"/>
          </w:tcPr>
          <w:p w:rsidR="00927BC9" w:rsidRDefault="00927BC9">
            <w:pPr>
              <w:spacing w:before="20" w:after="20"/>
              <w:jc w:val="right"/>
              <w:rPr>
                <w:noProof/>
                <w:sz w:val="18"/>
                <w:szCs w:val="18"/>
                <w:highlight w:val="yellow"/>
              </w:rPr>
            </w:pPr>
          </w:p>
        </w:tc>
      </w:tr>
      <w:tr w:rsidR="00927BC9">
        <w:tc>
          <w:tcPr>
            <w:tcW w:w="3960" w:type="dxa"/>
            <w:vMerge/>
          </w:tcPr>
          <w:p w:rsidR="00927BC9" w:rsidRDefault="00927BC9">
            <w:pPr>
              <w:jc w:val="center"/>
              <w:rPr>
                <w:noProof/>
                <w:sz w:val="20"/>
              </w:rPr>
            </w:pPr>
          </w:p>
        </w:tc>
        <w:tc>
          <w:tcPr>
            <w:tcW w:w="1440" w:type="dxa"/>
            <w:vAlign w:val="center"/>
          </w:tcPr>
          <w:p w:rsidR="00927BC9" w:rsidRDefault="000664B9">
            <w:pPr>
              <w:spacing w:before="20" w:after="20"/>
              <w:rPr>
                <w:noProof/>
                <w:sz w:val="18"/>
              </w:rPr>
            </w:pPr>
            <w:r>
              <w:rPr>
                <w:noProof/>
                <w:sz w:val="18"/>
              </w:rPr>
              <w:t>Platby</w:t>
            </w:r>
          </w:p>
        </w:tc>
        <w:tc>
          <w:tcPr>
            <w:tcW w:w="771" w:type="dxa"/>
            <w:gridSpan w:val="2"/>
            <w:vAlign w:val="center"/>
          </w:tcPr>
          <w:p w:rsidR="00927BC9" w:rsidRDefault="000664B9">
            <w:pPr>
              <w:spacing w:before="20" w:after="20"/>
              <w:jc w:val="center"/>
              <w:rPr>
                <w:noProof/>
                <w:sz w:val="14"/>
              </w:rPr>
            </w:pPr>
            <w:r>
              <w:rPr>
                <w:noProof/>
                <w:sz w:val="14"/>
              </w:rPr>
              <w:t>(2a)</w:t>
            </w:r>
          </w:p>
        </w:tc>
        <w:tc>
          <w:tcPr>
            <w:tcW w:w="1135" w:type="dxa"/>
            <w:shd w:val="clear" w:color="auto" w:fill="FFFFFF" w:themeFill="background1"/>
            <w:vAlign w:val="center"/>
          </w:tcPr>
          <w:p w:rsidR="00927BC9" w:rsidRDefault="00927BC9">
            <w:pPr>
              <w:spacing w:before="20" w:after="20"/>
              <w:jc w:val="right"/>
              <w:rPr>
                <w:noProof/>
                <w:sz w:val="18"/>
                <w:szCs w:val="18"/>
                <w:highlight w:val="yellow"/>
              </w:rPr>
            </w:pPr>
          </w:p>
        </w:tc>
        <w:tc>
          <w:tcPr>
            <w:tcW w:w="1116" w:type="dxa"/>
            <w:shd w:val="clear" w:color="auto" w:fill="FFFFFF" w:themeFill="background1"/>
            <w:vAlign w:val="center"/>
          </w:tcPr>
          <w:p w:rsidR="00927BC9" w:rsidRDefault="00927BC9">
            <w:pPr>
              <w:spacing w:before="20" w:after="20"/>
              <w:jc w:val="right"/>
              <w:rPr>
                <w:noProof/>
                <w:sz w:val="18"/>
                <w:szCs w:val="18"/>
                <w:highlight w:val="yellow"/>
              </w:rPr>
            </w:pPr>
          </w:p>
        </w:tc>
        <w:tc>
          <w:tcPr>
            <w:tcW w:w="1010" w:type="dxa"/>
            <w:shd w:val="clear" w:color="auto" w:fill="FFFFFF" w:themeFill="background1"/>
            <w:vAlign w:val="center"/>
          </w:tcPr>
          <w:p w:rsidR="00927BC9" w:rsidRDefault="00927BC9">
            <w:pPr>
              <w:spacing w:before="20" w:after="20"/>
              <w:jc w:val="right"/>
              <w:rPr>
                <w:noProof/>
                <w:sz w:val="18"/>
                <w:szCs w:val="18"/>
                <w:highlight w:val="yellow"/>
              </w:rPr>
            </w:pPr>
          </w:p>
        </w:tc>
        <w:tc>
          <w:tcPr>
            <w:tcW w:w="1134" w:type="dxa"/>
            <w:shd w:val="clear" w:color="auto" w:fill="FFFFFF" w:themeFill="background1"/>
            <w:vAlign w:val="center"/>
          </w:tcPr>
          <w:p w:rsidR="00927BC9" w:rsidRDefault="00927BC9">
            <w:pPr>
              <w:spacing w:before="20" w:after="20"/>
              <w:jc w:val="right"/>
              <w:rPr>
                <w:noProof/>
                <w:sz w:val="18"/>
                <w:szCs w:val="18"/>
                <w:highlight w:val="yellow"/>
              </w:rPr>
            </w:pPr>
          </w:p>
        </w:tc>
        <w:tc>
          <w:tcPr>
            <w:tcW w:w="1418" w:type="dxa"/>
            <w:shd w:val="clear" w:color="auto" w:fill="FFFFFF" w:themeFill="background1"/>
          </w:tcPr>
          <w:p w:rsidR="00927BC9" w:rsidRDefault="00927BC9">
            <w:pPr>
              <w:spacing w:before="20" w:after="20"/>
              <w:jc w:val="right"/>
              <w:rPr>
                <w:noProof/>
                <w:sz w:val="18"/>
                <w:szCs w:val="18"/>
                <w:highlight w:val="yellow"/>
              </w:rPr>
            </w:pPr>
          </w:p>
        </w:tc>
        <w:tc>
          <w:tcPr>
            <w:tcW w:w="1559" w:type="dxa"/>
            <w:shd w:val="clear" w:color="auto" w:fill="FFFFFF" w:themeFill="background1"/>
          </w:tcPr>
          <w:p w:rsidR="00927BC9" w:rsidRDefault="00927BC9">
            <w:pPr>
              <w:spacing w:before="20" w:after="20"/>
              <w:jc w:val="right"/>
              <w:rPr>
                <w:noProof/>
                <w:sz w:val="18"/>
                <w:szCs w:val="18"/>
                <w:highlight w:val="yellow"/>
              </w:rPr>
            </w:pPr>
          </w:p>
        </w:tc>
        <w:tc>
          <w:tcPr>
            <w:tcW w:w="2409" w:type="dxa"/>
            <w:shd w:val="clear" w:color="auto" w:fill="FFFFFF" w:themeFill="background1"/>
            <w:vAlign w:val="center"/>
          </w:tcPr>
          <w:p w:rsidR="00927BC9" w:rsidRDefault="00927BC9">
            <w:pPr>
              <w:spacing w:before="20" w:after="20"/>
              <w:jc w:val="right"/>
              <w:rPr>
                <w:noProof/>
                <w:sz w:val="18"/>
                <w:szCs w:val="18"/>
                <w:highlight w:val="yellow"/>
              </w:rPr>
            </w:pPr>
          </w:p>
        </w:tc>
      </w:tr>
      <w:tr w:rsidR="00927BC9">
        <w:tc>
          <w:tcPr>
            <w:tcW w:w="3960" w:type="dxa"/>
            <w:vMerge w:val="restart"/>
            <w:vAlign w:val="center"/>
          </w:tcPr>
          <w:p w:rsidR="00927BC9" w:rsidRDefault="000664B9">
            <w:pPr>
              <w:jc w:val="center"/>
              <w:rPr>
                <w:b/>
                <w:noProof/>
              </w:rPr>
            </w:pPr>
            <w:r>
              <w:rPr>
                <w:b/>
                <w:noProof/>
                <w:sz w:val="22"/>
              </w:rPr>
              <w:t xml:space="preserve">Rozpočtové </w:t>
            </w:r>
            <w:r>
              <w:rPr>
                <w:b/>
                <w:noProof/>
                <w:sz w:val="22"/>
              </w:rPr>
              <w:t>prostriedky SPOLU</w:t>
            </w:r>
            <w:r>
              <w:rPr>
                <w:noProof/>
                <w:sz w:val="22"/>
              </w:rPr>
              <w:br/>
            </w:r>
          </w:p>
        </w:tc>
        <w:tc>
          <w:tcPr>
            <w:tcW w:w="1440" w:type="dxa"/>
            <w:vAlign w:val="center"/>
          </w:tcPr>
          <w:p w:rsidR="00927BC9" w:rsidRDefault="000664B9">
            <w:pPr>
              <w:rPr>
                <w:noProof/>
                <w:sz w:val="18"/>
              </w:rPr>
            </w:pPr>
            <w:r>
              <w:rPr>
                <w:noProof/>
                <w:sz w:val="18"/>
              </w:rPr>
              <w:t>Záväzky</w:t>
            </w:r>
          </w:p>
        </w:tc>
        <w:tc>
          <w:tcPr>
            <w:tcW w:w="771" w:type="dxa"/>
            <w:gridSpan w:val="2"/>
            <w:vAlign w:val="center"/>
          </w:tcPr>
          <w:p w:rsidR="00927BC9" w:rsidRDefault="000664B9">
            <w:pPr>
              <w:jc w:val="center"/>
              <w:rPr>
                <w:noProof/>
                <w:sz w:val="14"/>
              </w:rPr>
            </w:pPr>
            <w:r>
              <w:rPr>
                <w:noProof/>
                <w:sz w:val="14"/>
              </w:rPr>
              <w:t>= 1a + 1b + 3</w:t>
            </w:r>
          </w:p>
        </w:tc>
        <w:tc>
          <w:tcPr>
            <w:tcW w:w="1135" w:type="dxa"/>
            <w:shd w:val="clear" w:color="auto" w:fill="FFFFFF" w:themeFill="background1"/>
            <w:vAlign w:val="center"/>
          </w:tcPr>
          <w:p w:rsidR="00927BC9" w:rsidRDefault="000664B9">
            <w:pPr>
              <w:spacing w:before="20" w:after="20"/>
              <w:jc w:val="right"/>
              <w:rPr>
                <w:noProof/>
                <w:sz w:val="18"/>
                <w:szCs w:val="18"/>
                <w:highlight w:val="yellow"/>
              </w:rPr>
            </w:pPr>
            <w:r>
              <w:rPr>
                <w:noProof/>
                <w:sz w:val="18"/>
                <w:szCs w:val="18"/>
                <w:highlight w:val="yellow"/>
              </w:rPr>
              <w:t xml:space="preserve">  </w:t>
            </w:r>
          </w:p>
        </w:tc>
        <w:tc>
          <w:tcPr>
            <w:tcW w:w="1116" w:type="dxa"/>
            <w:shd w:val="clear" w:color="auto" w:fill="FFFFFF" w:themeFill="background1"/>
            <w:vAlign w:val="center"/>
          </w:tcPr>
          <w:p w:rsidR="00927BC9" w:rsidRDefault="00927BC9">
            <w:pPr>
              <w:spacing w:before="20" w:after="20"/>
              <w:jc w:val="right"/>
              <w:rPr>
                <w:noProof/>
                <w:sz w:val="18"/>
                <w:szCs w:val="18"/>
                <w:highlight w:val="yellow"/>
              </w:rPr>
            </w:pPr>
          </w:p>
        </w:tc>
        <w:tc>
          <w:tcPr>
            <w:tcW w:w="1010" w:type="dxa"/>
            <w:shd w:val="clear" w:color="auto" w:fill="FFFFFF" w:themeFill="background1"/>
            <w:vAlign w:val="center"/>
          </w:tcPr>
          <w:p w:rsidR="00927BC9" w:rsidRDefault="00927BC9">
            <w:pPr>
              <w:spacing w:before="20" w:after="20"/>
              <w:jc w:val="right"/>
              <w:rPr>
                <w:noProof/>
                <w:sz w:val="18"/>
                <w:szCs w:val="18"/>
                <w:highlight w:val="yellow"/>
              </w:rPr>
            </w:pPr>
          </w:p>
        </w:tc>
        <w:tc>
          <w:tcPr>
            <w:tcW w:w="1134" w:type="dxa"/>
            <w:shd w:val="clear" w:color="auto" w:fill="FFFFFF" w:themeFill="background1"/>
            <w:vAlign w:val="center"/>
          </w:tcPr>
          <w:p w:rsidR="00927BC9" w:rsidRDefault="00927BC9">
            <w:pPr>
              <w:spacing w:before="20" w:after="20"/>
              <w:jc w:val="right"/>
              <w:rPr>
                <w:noProof/>
                <w:sz w:val="18"/>
                <w:szCs w:val="18"/>
                <w:highlight w:val="yellow"/>
              </w:rPr>
            </w:pPr>
          </w:p>
        </w:tc>
        <w:tc>
          <w:tcPr>
            <w:tcW w:w="1418" w:type="dxa"/>
            <w:shd w:val="clear" w:color="auto" w:fill="FFFFFF" w:themeFill="background1"/>
          </w:tcPr>
          <w:p w:rsidR="00927BC9" w:rsidRDefault="00927BC9">
            <w:pPr>
              <w:spacing w:before="20" w:after="20"/>
              <w:jc w:val="right"/>
              <w:rPr>
                <w:noProof/>
                <w:sz w:val="18"/>
                <w:szCs w:val="18"/>
                <w:highlight w:val="yellow"/>
              </w:rPr>
            </w:pPr>
          </w:p>
        </w:tc>
        <w:tc>
          <w:tcPr>
            <w:tcW w:w="1559" w:type="dxa"/>
            <w:shd w:val="clear" w:color="auto" w:fill="FFFFFF" w:themeFill="background1"/>
          </w:tcPr>
          <w:p w:rsidR="00927BC9" w:rsidRDefault="00927BC9">
            <w:pPr>
              <w:spacing w:before="20" w:after="20"/>
              <w:jc w:val="right"/>
              <w:rPr>
                <w:noProof/>
                <w:sz w:val="18"/>
                <w:szCs w:val="18"/>
                <w:highlight w:val="yellow"/>
              </w:rPr>
            </w:pPr>
          </w:p>
        </w:tc>
        <w:tc>
          <w:tcPr>
            <w:tcW w:w="2409" w:type="dxa"/>
            <w:shd w:val="clear" w:color="auto" w:fill="FFFFFF" w:themeFill="background1"/>
            <w:vAlign w:val="center"/>
          </w:tcPr>
          <w:p w:rsidR="00927BC9" w:rsidRDefault="00927BC9">
            <w:pPr>
              <w:spacing w:before="20" w:after="20"/>
              <w:jc w:val="right"/>
              <w:rPr>
                <w:noProof/>
                <w:sz w:val="18"/>
                <w:szCs w:val="18"/>
                <w:highlight w:val="yellow"/>
              </w:rPr>
            </w:pPr>
          </w:p>
        </w:tc>
      </w:tr>
      <w:tr w:rsidR="00927BC9">
        <w:tc>
          <w:tcPr>
            <w:tcW w:w="3960" w:type="dxa"/>
            <w:vMerge/>
          </w:tcPr>
          <w:p w:rsidR="00927BC9" w:rsidRDefault="00927BC9">
            <w:pPr>
              <w:rPr>
                <w:noProof/>
                <w:sz w:val="20"/>
              </w:rPr>
            </w:pPr>
          </w:p>
        </w:tc>
        <w:tc>
          <w:tcPr>
            <w:tcW w:w="1440" w:type="dxa"/>
            <w:vAlign w:val="center"/>
          </w:tcPr>
          <w:p w:rsidR="00927BC9" w:rsidRDefault="000664B9">
            <w:pPr>
              <w:rPr>
                <w:noProof/>
                <w:sz w:val="18"/>
              </w:rPr>
            </w:pPr>
            <w:r>
              <w:rPr>
                <w:noProof/>
                <w:sz w:val="18"/>
              </w:rPr>
              <w:t>Platby</w:t>
            </w:r>
          </w:p>
        </w:tc>
        <w:tc>
          <w:tcPr>
            <w:tcW w:w="771" w:type="dxa"/>
            <w:gridSpan w:val="2"/>
            <w:vAlign w:val="center"/>
          </w:tcPr>
          <w:p w:rsidR="00927BC9" w:rsidRDefault="000664B9">
            <w:pPr>
              <w:jc w:val="center"/>
              <w:rPr>
                <w:noProof/>
                <w:sz w:val="14"/>
              </w:rPr>
            </w:pPr>
            <w:r>
              <w:rPr>
                <w:noProof/>
                <w:sz w:val="14"/>
              </w:rPr>
              <w:t>= 2a + 2b + 3</w:t>
            </w:r>
          </w:p>
        </w:tc>
        <w:tc>
          <w:tcPr>
            <w:tcW w:w="1135" w:type="dxa"/>
            <w:shd w:val="clear" w:color="auto" w:fill="FFFFFF" w:themeFill="background1"/>
            <w:vAlign w:val="center"/>
          </w:tcPr>
          <w:p w:rsidR="00927BC9" w:rsidRDefault="00927BC9">
            <w:pPr>
              <w:spacing w:before="20" w:after="20"/>
              <w:jc w:val="right"/>
              <w:rPr>
                <w:noProof/>
                <w:sz w:val="18"/>
                <w:szCs w:val="18"/>
                <w:highlight w:val="yellow"/>
              </w:rPr>
            </w:pPr>
          </w:p>
        </w:tc>
        <w:tc>
          <w:tcPr>
            <w:tcW w:w="1116" w:type="dxa"/>
            <w:shd w:val="clear" w:color="auto" w:fill="FFFFFF" w:themeFill="background1"/>
            <w:vAlign w:val="center"/>
          </w:tcPr>
          <w:p w:rsidR="00927BC9" w:rsidRDefault="00927BC9">
            <w:pPr>
              <w:spacing w:before="20" w:after="20"/>
              <w:jc w:val="right"/>
              <w:rPr>
                <w:noProof/>
                <w:sz w:val="18"/>
                <w:szCs w:val="18"/>
                <w:highlight w:val="yellow"/>
              </w:rPr>
            </w:pPr>
          </w:p>
        </w:tc>
        <w:tc>
          <w:tcPr>
            <w:tcW w:w="1010" w:type="dxa"/>
            <w:shd w:val="clear" w:color="auto" w:fill="FFFFFF" w:themeFill="background1"/>
            <w:vAlign w:val="center"/>
          </w:tcPr>
          <w:p w:rsidR="00927BC9" w:rsidRDefault="00927BC9">
            <w:pPr>
              <w:spacing w:before="20" w:after="20"/>
              <w:jc w:val="right"/>
              <w:rPr>
                <w:noProof/>
                <w:sz w:val="18"/>
                <w:szCs w:val="18"/>
                <w:highlight w:val="yellow"/>
              </w:rPr>
            </w:pPr>
          </w:p>
        </w:tc>
        <w:tc>
          <w:tcPr>
            <w:tcW w:w="1134" w:type="dxa"/>
            <w:shd w:val="clear" w:color="auto" w:fill="FFFFFF" w:themeFill="background1"/>
            <w:vAlign w:val="center"/>
          </w:tcPr>
          <w:p w:rsidR="00927BC9" w:rsidRDefault="00927BC9">
            <w:pPr>
              <w:spacing w:before="20" w:after="20"/>
              <w:jc w:val="right"/>
              <w:rPr>
                <w:noProof/>
                <w:sz w:val="18"/>
                <w:szCs w:val="18"/>
                <w:highlight w:val="yellow"/>
              </w:rPr>
            </w:pPr>
          </w:p>
        </w:tc>
        <w:tc>
          <w:tcPr>
            <w:tcW w:w="1418" w:type="dxa"/>
            <w:shd w:val="clear" w:color="auto" w:fill="FFFFFF" w:themeFill="background1"/>
          </w:tcPr>
          <w:p w:rsidR="00927BC9" w:rsidRDefault="00927BC9">
            <w:pPr>
              <w:spacing w:before="20" w:after="20"/>
              <w:jc w:val="right"/>
              <w:rPr>
                <w:noProof/>
                <w:sz w:val="18"/>
                <w:szCs w:val="18"/>
                <w:highlight w:val="yellow"/>
              </w:rPr>
            </w:pPr>
          </w:p>
        </w:tc>
        <w:tc>
          <w:tcPr>
            <w:tcW w:w="1559" w:type="dxa"/>
            <w:shd w:val="clear" w:color="auto" w:fill="FFFFFF" w:themeFill="background1"/>
          </w:tcPr>
          <w:p w:rsidR="00927BC9" w:rsidRDefault="00927BC9">
            <w:pPr>
              <w:spacing w:before="20" w:after="20"/>
              <w:jc w:val="right"/>
              <w:rPr>
                <w:noProof/>
                <w:sz w:val="18"/>
                <w:szCs w:val="18"/>
                <w:highlight w:val="yellow"/>
              </w:rPr>
            </w:pPr>
          </w:p>
        </w:tc>
        <w:tc>
          <w:tcPr>
            <w:tcW w:w="2409" w:type="dxa"/>
            <w:shd w:val="clear" w:color="auto" w:fill="FFFFFF" w:themeFill="background1"/>
            <w:vAlign w:val="center"/>
          </w:tcPr>
          <w:p w:rsidR="00927BC9" w:rsidRDefault="00927BC9">
            <w:pPr>
              <w:spacing w:before="20" w:after="20"/>
              <w:jc w:val="right"/>
              <w:rPr>
                <w:noProof/>
                <w:sz w:val="18"/>
                <w:szCs w:val="18"/>
                <w:highlight w:val="yellow"/>
              </w:rPr>
            </w:pPr>
          </w:p>
        </w:tc>
      </w:tr>
    </w:tbl>
    <w:p w:rsidR="00927BC9" w:rsidRDefault="000664B9">
      <w:pPr>
        <w:rPr>
          <w:noProof/>
        </w:rPr>
      </w:pPr>
      <w:r>
        <w:rPr>
          <w:noProof/>
        </w:rPr>
        <w:br/>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1440"/>
        <w:gridCol w:w="654"/>
        <w:gridCol w:w="1252"/>
        <w:gridCol w:w="1116"/>
        <w:gridCol w:w="1152"/>
        <w:gridCol w:w="1134"/>
        <w:gridCol w:w="1134"/>
        <w:gridCol w:w="1134"/>
        <w:gridCol w:w="2268"/>
      </w:tblGrid>
      <w:tr w:rsidR="00927BC9">
        <w:trPr>
          <w:trHeight w:val="277"/>
        </w:trPr>
        <w:tc>
          <w:tcPr>
            <w:tcW w:w="4593" w:type="dxa"/>
            <w:vMerge w:val="restart"/>
            <w:vAlign w:val="center"/>
          </w:tcPr>
          <w:p w:rsidR="00927BC9" w:rsidRDefault="000664B9">
            <w:pPr>
              <w:spacing w:before="20" w:after="20"/>
              <w:rPr>
                <w:noProof/>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rsidR="00927BC9" w:rsidRDefault="000664B9">
            <w:pPr>
              <w:spacing w:beforeLines="20" w:before="48" w:afterLines="20" w:after="48"/>
              <w:rPr>
                <w:noProof/>
                <w:sz w:val="18"/>
              </w:rPr>
            </w:pPr>
            <w:r>
              <w:rPr>
                <w:noProof/>
                <w:sz w:val="18"/>
              </w:rPr>
              <w:t>Záväzky</w:t>
            </w:r>
          </w:p>
        </w:tc>
        <w:tc>
          <w:tcPr>
            <w:tcW w:w="654" w:type="dxa"/>
            <w:vAlign w:val="center"/>
          </w:tcPr>
          <w:p w:rsidR="00927BC9" w:rsidRDefault="000664B9">
            <w:pPr>
              <w:spacing w:beforeLines="20" w:before="48" w:afterLines="20" w:after="48"/>
              <w:jc w:val="center"/>
              <w:rPr>
                <w:noProof/>
                <w:sz w:val="14"/>
              </w:rPr>
            </w:pPr>
            <w:r>
              <w:rPr>
                <w:noProof/>
                <w:sz w:val="14"/>
              </w:rPr>
              <w:t>(4)</w:t>
            </w:r>
          </w:p>
        </w:tc>
        <w:tc>
          <w:tcPr>
            <w:tcW w:w="1252" w:type="dxa"/>
            <w:shd w:val="clear" w:color="auto" w:fill="FFFFFF" w:themeFill="background1"/>
            <w:vAlign w:val="center"/>
          </w:tcPr>
          <w:p w:rsidR="00927BC9" w:rsidRDefault="00927BC9">
            <w:pPr>
              <w:spacing w:before="20" w:after="20"/>
              <w:rPr>
                <w:noProof/>
                <w:sz w:val="18"/>
                <w:szCs w:val="18"/>
              </w:rPr>
            </w:pPr>
          </w:p>
        </w:tc>
        <w:tc>
          <w:tcPr>
            <w:tcW w:w="1116" w:type="dxa"/>
            <w:shd w:val="clear" w:color="auto" w:fill="FFFFFF" w:themeFill="background1"/>
            <w:vAlign w:val="center"/>
          </w:tcPr>
          <w:p w:rsidR="00927BC9" w:rsidRDefault="00927BC9">
            <w:pPr>
              <w:spacing w:before="20" w:after="20"/>
              <w:jc w:val="right"/>
              <w:rPr>
                <w:noProof/>
                <w:sz w:val="18"/>
                <w:szCs w:val="18"/>
              </w:rPr>
            </w:pPr>
          </w:p>
        </w:tc>
        <w:tc>
          <w:tcPr>
            <w:tcW w:w="1152"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2268" w:type="dxa"/>
            <w:shd w:val="clear" w:color="auto" w:fill="FFFFFF" w:themeFill="background1"/>
            <w:vAlign w:val="center"/>
          </w:tcPr>
          <w:p w:rsidR="00927BC9" w:rsidRDefault="00927BC9">
            <w:pPr>
              <w:spacing w:before="20" w:after="20"/>
              <w:jc w:val="right"/>
              <w:rPr>
                <w:noProof/>
                <w:sz w:val="18"/>
                <w:szCs w:val="18"/>
              </w:rPr>
            </w:pPr>
          </w:p>
        </w:tc>
      </w:tr>
      <w:tr w:rsidR="00927BC9">
        <w:tc>
          <w:tcPr>
            <w:tcW w:w="4593" w:type="dxa"/>
            <w:vMerge/>
          </w:tcPr>
          <w:p w:rsidR="00927BC9" w:rsidRDefault="00927BC9">
            <w:pPr>
              <w:jc w:val="center"/>
              <w:rPr>
                <w:noProof/>
                <w:sz w:val="20"/>
              </w:rPr>
            </w:pPr>
          </w:p>
        </w:tc>
        <w:tc>
          <w:tcPr>
            <w:tcW w:w="1440" w:type="dxa"/>
            <w:vAlign w:val="center"/>
          </w:tcPr>
          <w:p w:rsidR="00927BC9" w:rsidRDefault="000664B9">
            <w:pPr>
              <w:spacing w:beforeLines="20" w:before="48" w:afterLines="20" w:after="48"/>
              <w:rPr>
                <w:noProof/>
                <w:sz w:val="18"/>
              </w:rPr>
            </w:pPr>
            <w:r>
              <w:rPr>
                <w:noProof/>
                <w:sz w:val="18"/>
              </w:rPr>
              <w:t>Platby</w:t>
            </w:r>
          </w:p>
        </w:tc>
        <w:tc>
          <w:tcPr>
            <w:tcW w:w="654" w:type="dxa"/>
            <w:vAlign w:val="center"/>
          </w:tcPr>
          <w:p w:rsidR="00927BC9" w:rsidRDefault="000664B9">
            <w:pPr>
              <w:spacing w:beforeLines="20" w:before="48" w:afterLines="20" w:after="48"/>
              <w:jc w:val="center"/>
              <w:rPr>
                <w:noProof/>
                <w:sz w:val="14"/>
              </w:rPr>
            </w:pPr>
            <w:r>
              <w:rPr>
                <w:noProof/>
                <w:sz w:val="14"/>
              </w:rPr>
              <w:t>(5)</w:t>
            </w:r>
          </w:p>
        </w:tc>
        <w:tc>
          <w:tcPr>
            <w:tcW w:w="1252" w:type="dxa"/>
            <w:shd w:val="clear" w:color="auto" w:fill="FFFFFF" w:themeFill="background1"/>
            <w:vAlign w:val="center"/>
          </w:tcPr>
          <w:p w:rsidR="00927BC9" w:rsidRDefault="00927BC9">
            <w:pPr>
              <w:spacing w:before="20" w:after="20"/>
              <w:jc w:val="center"/>
              <w:rPr>
                <w:noProof/>
                <w:sz w:val="18"/>
                <w:szCs w:val="18"/>
              </w:rPr>
            </w:pPr>
          </w:p>
        </w:tc>
        <w:tc>
          <w:tcPr>
            <w:tcW w:w="1116" w:type="dxa"/>
            <w:shd w:val="clear" w:color="auto" w:fill="FFFFFF" w:themeFill="background1"/>
            <w:vAlign w:val="center"/>
          </w:tcPr>
          <w:p w:rsidR="00927BC9" w:rsidRDefault="00927BC9">
            <w:pPr>
              <w:spacing w:before="20" w:after="20"/>
              <w:jc w:val="right"/>
              <w:rPr>
                <w:noProof/>
                <w:sz w:val="18"/>
                <w:szCs w:val="18"/>
              </w:rPr>
            </w:pPr>
          </w:p>
        </w:tc>
        <w:tc>
          <w:tcPr>
            <w:tcW w:w="1152"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1134" w:type="dxa"/>
            <w:shd w:val="clear" w:color="auto" w:fill="FFFFFF" w:themeFill="background1"/>
            <w:vAlign w:val="center"/>
          </w:tcPr>
          <w:p w:rsidR="00927BC9" w:rsidRDefault="00927BC9">
            <w:pPr>
              <w:spacing w:before="20" w:after="20"/>
              <w:jc w:val="right"/>
              <w:rPr>
                <w:noProof/>
                <w:sz w:val="20"/>
              </w:rPr>
            </w:pPr>
          </w:p>
        </w:tc>
        <w:tc>
          <w:tcPr>
            <w:tcW w:w="2268" w:type="dxa"/>
            <w:shd w:val="clear" w:color="auto" w:fill="FFFFFF" w:themeFill="background1"/>
            <w:vAlign w:val="center"/>
          </w:tcPr>
          <w:p w:rsidR="00927BC9" w:rsidRDefault="00927BC9">
            <w:pPr>
              <w:spacing w:before="20" w:after="20"/>
              <w:jc w:val="right"/>
              <w:rPr>
                <w:noProof/>
                <w:sz w:val="18"/>
                <w:szCs w:val="18"/>
              </w:rPr>
            </w:pPr>
          </w:p>
        </w:tc>
      </w:tr>
      <w:tr w:rsidR="00927BC9">
        <w:trPr>
          <w:trHeight w:val="533"/>
        </w:trPr>
        <w:tc>
          <w:tcPr>
            <w:tcW w:w="6033" w:type="dxa"/>
            <w:gridSpan w:val="2"/>
            <w:vAlign w:val="center"/>
          </w:tcPr>
          <w:p w:rsidR="00927BC9" w:rsidRDefault="000664B9">
            <w:pPr>
              <w:spacing w:beforeLines="20" w:before="48" w:afterLines="20" w:after="48"/>
              <w:rPr>
                <w:noProof/>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654" w:type="dxa"/>
            <w:vAlign w:val="center"/>
          </w:tcPr>
          <w:p w:rsidR="00927BC9" w:rsidRDefault="000664B9">
            <w:pPr>
              <w:spacing w:beforeLines="20" w:before="48" w:afterLines="20" w:after="48"/>
              <w:jc w:val="center"/>
              <w:rPr>
                <w:noProof/>
                <w:sz w:val="14"/>
              </w:rPr>
            </w:pPr>
            <w:r>
              <w:rPr>
                <w:noProof/>
                <w:sz w:val="14"/>
              </w:rPr>
              <w:t>(6)</w:t>
            </w:r>
          </w:p>
        </w:tc>
        <w:tc>
          <w:tcPr>
            <w:tcW w:w="1252" w:type="dxa"/>
            <w:shd w:val="clear" w:color="auto" w:fill="FFFFFF" w:themeFill="background1"/>
            <w:vAlign w:val="center"/>
          </w:tcPr>
          <w:p w:rsidR="00927BC9" w:rsidRDefault="00927BC9">
            <w:pPr>
              <w:spacing w:before="20" w:after="20"/>
              <w:jc w:val="right"/>
              <w:rPr>
                <w:b/>
                <w:noProof/>
                <w:sz w:val="20"/>
              </w:rPr>
            </w:pPr>
          </w:p>
        </w:tc>
        <w:tc>
          <w:tcPr>
            <w:tcW w:w="1116" w:type="dxa"/>
            <w:shd w:val="clear" w:color="auto" w:fill="FFFFFF" w:themeFill="background1"/>
            <w:vAlign w:val="center"/>
          </w:tcPr>
          <w:p w:rsidR="00927BC9" w:rsidRDefault="00927BC9">
            <w:pPr>
              <w:spacing w:before="20" w:after="20"/>
              <w:jc w:val="right"/>
              <w:rPr>
                <w:b/>
                <w:noProof/>
                <w:sz w:val="20"/>
              </w:rPr>
            </w:pPr>
          </w:p>
        </w:tc>
        <w:tc>
          <w:tcPr>
            <w:tcW w:w="1152" w:type="dxa"/>
            <w:shd w:val="clear" w:color="auto" w:fill="FFFFFF" w:themeFill="background1"/>
            <w:vAlign w:val="center"/>
          </w:tcPr>
          <w:p w:rsidR="00927BC9" w:rsidRDefault="00927BC9">
            <w:pPr>
              <w:spacing w:before="20" w:after="20"/>
              <w:jc w:val="right"/>
              <w:rPr>
                <w:b/>
                <w:noProof/>
                <w:sz w:val="20"/>
              </w:rPr>
            </w:pPr>
          </w:p>
        </w:tc>
        <w:tc>
          <w:tcPr>
            <w:tcW w:w="1134" w:type="dxa"/>
            <w:shd w:val="clear" w:color="auto" w:fill="FFFFFF" w:themeFill="background1"/>
            <w:vAlign w:val="center"/>
          </w:tcPr>
          <w:p w:rsidR="00927BC9" w:rsidRDefault="00927BC9">
            <w:pPr>
              <w:spacing w:before="20" w:after="20"/>
              <w:jc w:val="right"/>
              <w:rPr>
                <w:b/>
                <w:noProof/>
                <w:sz w:val="20"/>
              </w:rPr>
            </w:pPr>
          </w:p>
        </w:tc>
        <w:tc>
          <w:tcPr>
            <w:tcW w:w="1134" w:type="dxa"/>
            <w:shd w:val="clear" w:color="auto" w:fill="FFFFFF" w:themeFill="background1"/>
            <w:vAlign w:val="center"/>
          </w:tcPr>
          <w:p w:rsidR="00927BC9" w:rsidRDefault="00927BC9">
            <w:pPr>
              <w:spacing w:before="20" w:after="20"/>
              <w:jc w:val="right"/>
              <w:rPr>
                <w:b/>
                <w:noProof/>
                <w:sz w:val="20"/>
              </w:rPr>
            </w:pPr>
          </w:p>
        </w:tc>
        <w:tc>
          <w:tcPr>
            <w:tcW w:w="1134" w:type="dxa"/>
            <w:shd w:val="clear" w:color="auto" w:fill="FFFFFF" w:themeFill="background1"/>
            <w:vAlign w:val="center"/>
          </w:tcPr>
          <w:p w:rsidR="00927BC9" w:rsidRDefault="00927BC9">
            <w:pPr>
              <w:spacing w:before="20" w:after="20"/>
              <w:jc w:val="right"/>
              <w:rPr>
                <w:b/>
                <w:noProof/>
                <w:sz w:val="20"/>
              </w:rPr>
            </w:pPr>
          </w:p>
        </w:tc>
        <w:tc>
          <w:tcPr>
            <w:tcW w:w="2268" w:type="dxa"/>
            <w:shd w:val="clear" w:color="auto" w:fill="FFFFFF" w:themeFill="background1"/>
            <w:vAlign w:val="center"/>
          </w:tcPr>
          <w:p w:rsidR="00927BC9" w:rsidRDefault="00927BC9">
            <w:pPr>
              <w:spacing w:before="20" w:after="20"/>
              <w:jc w:val="right"/>
              <w:rPr>
                <w:b/>
                <w:noProof/>
                <w:sz w:val="20"/>
              </w:rPr>
            </w:pPr>
          </w:p>
        </w:tc>
      </w:tr>
      <w:tr w:rsidR="00927BC9">
        <w:tc>
          <w:tcPr>
            <w:tcW w:w="4593" w:type="dxa"/>
            <w:vMerge w:val="restart"/>
            <w:shd w:val="thinDiagStripe" w:color="C0C0C0" w:fill="auto"/>
            <w:vAlign w:val="center"/>
          </w:tcPr>
          <w:p w:rsidR="00927BC9" w:rsidRDefault="000664B9">
            <w:pPr>
              <w:jc w:val="center"/>
              <w:rPr>
                <w:b/>
                <w:noProof/>
              </w:rPr>
            </w:pPr>
            <w:r>
              <w:rPr>
                <w:b/>
                <w:noProof/>
                <w:sz w:val="22"/>
              </w:rPr>
              <w:t>Rozpočtové prostriedky OKRUHU 9</w:t>
            </w:r>
            <w:r>
              <w:rPr>
                <w:noProof/>
                <w:sz w:val="22"/>
              </w:rPr>
              <w:br/>
              <w:t>viacročného finančného rámca</w:t>
            </w:r>
            <w:r>
              <w:rPr>
                <w:noProof/>
                <w:sz w:val="22"/>
              </w:rPr>
              <w:br/>
            </w:r>
            <w:r>
              <w:rPr>
                <w:b/>
                <w:noProof/>
                <w:sz w:val="22"/>
              </w:rPr>
              <w:t>SPOLU</w:t>
            </w:r>
          </w:p>
        </w:tc>
        <w:tc>
          <w:tcPr>
            <w:tcW w:w="1440" w:type="dxa"/>
            <w:vAlign w:val="center"/>
          </w:tcPr>
          <w:p w:rsidR="00927BC9" w:rsidRDefault="000664B9">
            <w:pPr>
              <w:rPr>
                <w:noProof/>
                <w:sz w:val="18"/>
              </w:rPr>
            </w:pPr>
            <w:r>
              <w:rPr>
                <w:noProof/>
                <w:sz w:val="18"/>
              </w:rPr>
              <w:t>Záväzky</w:t>
            </w:r>
          </w:p>
        </w:tc>
        <w:tc>
          <w:tcPr>
            <w:tcW w:w="654" w:type="dxa"/>
            <w:vAlign w:val="center"/>
          </w:tcPr>
          <w:p w:rsidR="00927BC9" w:rsidRDefault="000664B9">
            <w:pPr>
              <w:jc w:val="center"/>
              <w:rPr>
                <w:noProof/>
                <w:sz w:val="14"/>
              </w:rPr>
            </w:pPr>
            <w:r>
              <w:rPr>
                <w:noProof/>
                <w:sz w:val="14"/>
              </w:rPr>
              <w:t>= 4 + 6</w:t>
            </w:r>
          </w:p>
        </w:tc>
        <w:tc>
          <w:tcPr>
            <w:tcW w:w="1252" w:type="dxa"/>
            <w:shd w:val="clear" w:color="auto" w:fill="FFFFFF" w:themeFill="background1"/>
            <w:vAlign w:val="center"/>
          </w:tcPr>
          <w:p w:rsidR="00927BC9" w:rsidRDefault="000664B9">
            <w:pPr>
              <w:spacing w:before="20" w:after="20"/>
              <w:rPr>
                <w:noProof/>
                <w:sz w:val="18"/>
                <w:szCs w:val="18"/>
              </w:rPr>
            </w:pPr>
            <w:r>
              <w:rPr>
                <w:noProof/>
                <w:sz w:val="18"/>
                <w:szCs w:val="18"/>
              </w:rPr>
              <w:t xml:space="preserve">  </w:t>
            </w:r>
          </w:p>
        </w:tc>
        <w:tc>
          <w:tcPr>
            <w:tcW w:w="1116" w:type="dxa"/>
            <w:shd w:val="clear" w:color="auto" w:fill="FFFFFF" w:themeFill="background1"/>
            <w:vAlign w:val="center"/>
          </w:tcPr>
          <w:p w:rsidR="00927BC9" w:rsidRDefault="00927BC9">
            <w:pPr>
              <w:spacing w:before="20" w:after="20"/>
              <w:jc w:val="right"/>
              <w:rPr>
                <w:noProof/>
                <w:sz w:val="18"/>
                <w:szCs w:val="18"/>
              </w:rPr>
            </w:pPr>
          </w:p>
        </w:tc>
        <w:tc>
          <w:tcPr>
            <w:tcW w:w="1152" w:type="dxa"/>
            <w:shd w:val="clear" w:color="auto" w:fill="FFFFFF" w:themeFill="background1"/>
            <w:vAlign w:val="center"/>
          </w:tcPr>
          <w:p w:rsidR="00927BC9" w:rsidRDefault="00927BC9">
            <w:pPr>
              <w:spacing w:before="20" w:after="20"/>
              <w:jc w:val="right"/>
              <w:rPr>
                <w:noProof/>
                <w:sz w:val="18"/>
                <w:szCs w:val="18"/>
              </w:rPr>
            </w:pPr>
          </w:p>
        </w:tc>
        <w:tc>
          <w:tcPr>
            <w:tcW w:w="1134" w:type="dxa"/>
            <w:shd w:val="clear" w:color="auto" w:fill="FFFFFF" w:themeFill="background1"/>
            <w:vAlign w:val="center"/>
          </w:tcPr>
          <w:p w:rsidR="00927BC9" w:rsidRDefault="00927BC9">
            <w:pPr>
              <w:spacing w:before="20" w:after="20"/>
              <w:jc w:val="right"/>
              <w:rPr>
                <w:noProof/>
                <w:sz w:val="18"/>
                <w:szCs w:val="18"/>
              </w:rPr>
            </w:pPr>
          </w:p>
        </w:tc>
        <w:tc>
          <w:tcPr>
            <w:tcW w:w="1134" w:type="dxa"/>
            <w:shd w:val="clear" w:color="auto" w:fill="FFFFFF" w:themeFill="background1"/>
          </w:tcPr>
          <w:p w:rsidR="00927BC9" w:rsidRDefault="00927BC9">
            <w:pPr>
              <w:spacing w:before="20" w:after="20"/>
              <w:jc w:val="right"/>
              <w:rPr>
                <w:noProof/>
                <w:sz w:val="18"/>
                <w:szCs w:val="18"/>
              </w:rPr>
            </w:pPr>
          </w:p>
        </w:tc>
        <w:tc>
          <w:tcPr>
            <w:tcW w:w="1134" w:type="dxa"/>
            <w:shd w:val="clear" w:color="auto" w:fill="FFFFFF" w:themeFill="background1"/>
          </w:tcPr>
          <w:p w:rsidR="00927BC9" w:rsidRDefault="00927BC9">
            <w:pPr>
              <w:spacing w:before="20" w:after="20"/>
              <w:jc w:val="right"/>
              <w:rPr>
                <w:noProof/>
                <w:sz w:val="18"/>
                <w:szCs w:val="18"/>
              </w:rPr>
            </w:pPr>
          </w:p>
        </w:tc>
        <w:tc>
          <w:tcPr>
            <w:tcW w:w="2268" w:type="dxa"/>
            <w:shd w:val="clear" w:color="auto" w:fill="FFFFFF" w:themeFill="background1"/>
            <w:vAlign w:val="center"/>
          </w:tcPr>
          <w:p w:rsidR="00927BC9" w:rsidRDefault="00927BC9">
            <w:pPr>
              <w:spacing w:before="20" w:after="20"/>
              <w:jc w:val="right"/>
              <w:rPr>
                <w:noProof/>
                <w:sz w:val="18"/>
                <w:szCs w:val="18"/>
              </w:rPr>
            </w:pPr>
          </w:p>
        </w:tc>
      </w:tr>
      <w:tr w:rsidR="00927BC9">
        <w:tc>
          <w:tcPr>
            <w:tcW w:w="4593" w:type="dxa"/>
            <w:vMerge/>
            <w:shd w:val="thinDiagStripe" w:color="C0C0C0" w:fill="auto"/>
          </w:tcPr>
          <w:p w:rsidR="00927BC9" w:rsidRDefault="00927BC9">
            <w:pPr>
              <w:rPr>
                <w:noProof/>
                <w:sz w:val="20"/>
              </w:rPr>
            </w:pPr>
          </w:p>
        </w:tc>
        <w:tc>
          <w:tcPr>
            <w:tcW w:w="1440" w:type="dxa"/>
            <w:vAlign w:val="center"/>
          </w:tcPr>
          <w:p w:rsidR="00927BC9" w:rsidRDefault="000664B9">
            <w:pPr>
              <w:rPr>
                <w:noProof/>
                <w:sz w:val="18"/>
              </w:rPr>
            </w:pPr>
            <w:r>
              <w:rPr>
                <w:noProof/>
                <w:sz w:val="18"/>
              </w:rPr>
              <w:t>Platby</w:t>
            </w:r>
          </w:p>
        </w:tc>
        <w:tc>
          <w:tcPr>
            <w:tcW w:w="654" w:type="dxa"/>
            <w:vAlign w:val="center"/>
          </w:tcPr>
          <w:p w:rsidR="00927BC9" w:rsidRDefault="000664B9">
            <w:pPr>
              <w:jc w:val="center"/>
              <w:rPr>
                <w:noProof/>
                <w:sz w:val="14"/>
              </w:rPr>
            </w:pPr>
            <w:r>
              <w:rPr>
                <w:noProof/>
                <w:sz w:val="14"/>
              </w:rPr>
              <w:t>= 5 + 6</w:t>
            </w:r>
          </w:p>
        </w:tc>
        <w:tc>
          <w:tcPr>
            <w:tcW w:w="1252" w:type="dxa"/>
            <w:shd w:val="clear" w:color="auto" w:fill="FFFFFF" w:themeFill="background1"/>
            <w:vAlign w:val="center"/>
          </w:tcPr>
          <w:p w:rsidR="00927BC9" w:rsidRDefault="00927BC9">
            <w:pPr>
              <w:spacing w:before="20" w:after="20"/>
              <w:jc w:val="center"/>
              <w:rPr>
                <w:noProof/>
                <w:sz w:val="18"/>
                <w:szCs w:val="18"/>
              </w:rPr>
            </w:pPr>
          </w:p>
        </w:tc>
        <w:tc>
          <w:tcPr>
            <w:tcW w:w="1116" w:type="dxa"/>
            <w:shd w:val="clear" w:color="auto" w:fill="FFFFFF" w:themeFill="background1"/>
            <w:vAlign w:val="center"/>
          </w:tcPr>
          <w:p w:rsidR="00927BC9" w:rsidRDefault="00927BC9">
            <w:pPr>
              <w:spacing w:before="20" w:after="20"/>
              <w:jc w:val="right"/>
              <w:rPr>
                <w:noProof/>
                <w:sz w:val="18"/>
                <w:szCs w:val="18"/>
              </w:rPr>
            </w:pPr>
          </w:p>
        </w:tc>
        <w:tc>
          <w:tcPr>
            <w:tcW w:w="1152" w:type="dxa"/>
            <w:shd w:val="clear" w:color="auto" w:fill="FFFFFF" w:themeFill="background1"/>
            <w:vAlign w:val="center"/>
          </w:tcPr>
          <w:p w:rsidR="00927BC9" w:rsidRDefault="00927BC9">
            <w:pPr>
              <w:spacing w:before="20" w:after="20"/>
              <w:jc w:val="right"/>
              <w:rPr>
                <w:noProof/>
                <w:sz w:val="18"/>
                <w:szCs w:val="18"/>
              </w:rPr>
            </w:pPr>
          </w:p>
        </w:tc>
        <w:tc>
          <w:tcPr>
            <w:tcW w:w="1134" w:type="dxa"/>
            <w:shd w:val="clear" w:color="auto" w:fill="FFFFFF" w:themeFill="background1"/>
            <w:vAlign w:val="center"/>
          </w:tcPr>
          <w:p w:rsidR="00927BC9" w:rsidRDefault="00927BC9">
            <w:pPr>
              <w:spacing w:before="20" w:after="20"/>
              <w:jc w:val="right"/>
              <w:rPr>
                <w:noProof/>
                <w:sz w:val="18"/>
                <w:szCs w:val="18"/>
              </w:rPr>
            </w:pPr>
          </w:p>
        </w:tc>
        <w:tc>
          <w:tcPr>
            <w:tcW w:w="1134" w:type="dxa"/>
            <w:shd w:val="clear" w:color="auto" w:fill="FFFFFF" w:themeFill="background1"/>
          </w:tcPr>
          <w:p w:rsidR="00927BC9" w:rsidRDefault="00927BC9">
            <w:pPr>
              <w:spacing w:before="20" w:after="20"/>
              <w:jc w:val="right"/>
              <w:rPr>
                <w:noProof/>
                <w:sz w:val="18"/>
                <w:szCs w:val="18"/>
              </w:rPr>
            </w:pPr>
          </w:p>
        </w:tc>
        <w:tc>
          <w:tcPr>
            <w:tcW w:w="1134" w:type="dxa"/>
            <w:shd w:val="clear" w:color="auto" w:fill="FFFFFF" w:themeFill="background1"/>
          </w:tcPr>
          <w:p w:rsidR="00927BC9" w:rsidRDefault="00927BC9">
            <w:pPr>
              <w:spacing w:before="20" w:after="20"/>
              <w:jc w:val="right"/>
              <w:rPr>
                <w:noProof/>
                <w:sz w:val="18"/>
                <w:szCs w:val="18"/>
              </w:rPr>
            </w:pPr>
          </w:p>
        </w:tc>
        <w:tc>
          <w:tcPr>
            <w:tcW w:w="2268" w:type="dxa"/>
            <w:shd w:val="clear" w:color="auto" w:fill="FFFFFF" w:themeFill="background1"/>
            <w:vAlign w:val="center"/>
          </w:tcPr>
          <w:p w:rsidR="00927BC9" w:rsidRDefault="00927BC9">
            <w:pPr>
              <w:spacing w:before="20" w:after="20"/>
              <w:jc w:val="right"/>
              <w:rPr>
                <w:noProof/>
                <w:sz w:val="18"/>
                <w:szCs w:val="18"/>
              </w:rPr>
            </w:pPr>
          </w:p>
        </w:tc>
      </w:tr>
    </w:tbl>
    <w:p w:rsidR="00927BC9" w:rsidRDefault="00927BC9">
      <w:pPr>
        <w:spacing w:after="40"/>
        <w:rPr>
          <w:b/>
          <w:noProof/>
          <w:sz w:val="22"/>
          <w:u w:val="single"/>
        </w:rPr>
      </w:pPr>
    </w:p>
    <w:p w:rsidR="00927BC9" w:rsidRDefault="000664B9">
      <w:pPr>
        <w:spacing w:after="40"/>
        <w:rPr>
          <w:b/>
          <w:noProof/>
          <w:sz w:val="22"/>
          <w:u w:val="single"/>
        </w:rPr>
      </w:pPr>
      <w:r>
        <w:rPr>
          <w:b/>
          <w:noProof/>
          <w:sz w:val="22"/>
          <w:u w:val="single"/>
        </w:rPr>
        <w:t xml:space="preserve">Ak má </w:t>
      </w:r>
      <w:r>
        <w:rPr>
          <w:b/>
          <w:noProof/>
          <w:sz w:val="22"/>
          <w:u w:val="single"/>
        </w:rPr>
        <w:t>návrh/iniciatíva vplyv na viaceré operačné okruhy, zopakujte oddiel uvedený vyššie:</w:t>
      </w:r>
    </w:p>
    <w:p w:rsidR="00927BC9" w:rsidRDefault="00927BC9">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7BC9">
        <w:trPr>
          <w:jc w:val="center"/>
        </w:trPr>
        <w:tc>
          <w:tcPr>
            <w:tcW w:w="4744" w:type="dxa"/>
            <w:shd w:val="thinDiagStripe" w:color="C0C0C0" w:fill="auto"/>
            <w:vAlign w:val="center"/>
          </w:tcPr>
          <w:p w:rsidR="00927BC9" w:rsidRDefault="000664B9">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clear" w:color="auto" w:fill="FFFFFF" w:themeFill="background1"/>
            <w:vAlign w:val="center"/>
          </w:tcPr>
          <w:p w:rsidR="00927BC9" w:rsidRDefault="00927BC9">
            <w:pPr>
              <w:spacing w:before="60" w:after="60"/>
              <w:jc w:val="center"/>
              <w:rPr>
                <w:noProof/>
              </w:rPr>
            </w:pPr>
          </w:p>
        </w:tc>
        <w:tc>
          <w:tcPr>
            <w:tcW w:w="7817" w:type="dxa"/>
            <w:vAlign w:val="center"/>
          </w:tcPr>
          <w:p w:rsidR="00927BC9" w:rsidRDefault="00927BC9">
            <w:pPr>
              <w:spacing w:before="60" w:after="60"/>
              <w:rPr>
                <w:noProof/>
              </w:rPr>
            </w:pPr>
          </w:p>
        </w:tc>
      </w:tr>
    </w:tbl>
    <w:p w:rsidR="00927BC9" w:rsidRDefault="000664B9">
      <w:pPr>
        <w:jc w:val="left"/>
        <w:rPr>
          <w:noProof/>
          <w:sz w:val="20"/>
        </w:rPr>
      </w:pPr>
      <w:r>
        <w:rPr>
          <w:noProof/>
        </w:rPr>
        <w:t xml:space="preserve">Tento oddiel sa vyplní s použitím rozpočtových údajov administratívnej povahy, ktoré budú po prvýkrát uvedené v </w:t>
      </w:r>
      <w:hyperlink r:id="rId12" w:history="1">
        <w:r>
          <w:rPr>
            <w:rStyle w:val="Hyperlink"/>
            <w:noProof/>
          </w:rPr>
          <w:t>prílohe k legislatívnemu finančnému výkazu</w:t>
        </w:r>
      </w:hyperlink>
      <w:r>
        <w:rPr>
          <w:noProof/>
        </w:rPr>
        <w:t xml:space="preserve"> (príloha V k interným predpisom), ktorá je nahraná do DECIDE na účely medziútvaro</w:t>
      </w:r>
      <w:r>
        <w:rPr>
          <w:noProof/>
        </w:rPr>
        <w:t>vej konzultácie.</w:t>
      </w:r>
    </w:p>
    <w:p w:rsidR="00927BC9" w:rsidRDefault="000664B9">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1005"/>
        <w:gridCol w:w="1640"/>
      </w:tblGrid>
      <w:tr w:rsidR="00927BC9">
        <w:tc>
          <w:tcPr>
            <w:tcW w:w="3960" w:type="dxa"/>
            <w:tcBorders>
              <w:top w:val="nil"/>
              <w:left w:val="nil"/>
              <w:right w:val="nil"/>
            </w:tcBorders>
            <w:vAlign w:val="center"/>
          </w:tcPr>
          <w:p w:rsidR="00927BC9" w:rsidRDefault="00927BC9">
            <w:pPr>
              <w:jc w:val="center"/>
              <w:rPr>
                <w:noProof/>
              </w:rPr>
            </w:pPr>
          </w:p>
        </w:tc>
        <w:tc>
          <w:tcPr>
            <w:tcW w:w="1560" w:type="dxa"/>
            <w:tcBorders>
              <w:top w:val="nil"/>
              <w:left w:val="nil"/>
              <w:right w:val="nil"/>
            </w:tcBorders>
          </w:tcPr>
          <w:p w:rsidR="00927BC9" w:rsidRDefault="00927BC9">
            <w:pPr>
              <w:rPr>
                <w:noProof/>
                <w:sz w:val="20"/>
              </w:rPr>
            </w:pPr>
          </w:p>
        </w:tc>
        <w:tc>
          <w:tcPr>
            <w:tcW w:w="534" w:type="dxa"/>
            <w:tcBorders>
              <w:top w:val="nil"/>
              <w:left w:val="nil"/>
            </w:tcBorders>
          </w:tcPr>
          <w:p w:rsidR="00927BC9" w:rsidRDefault="00927BC9">
            <w:pPr>
              <w:jc w:val="center"/>
              <w:rPr>
                <w:noProof/>
                <w:sz w:val="20"/>
              </w:rPr>
            </w:pP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w:t>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+ 1</w:t>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+ 2</w:t>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+ 3</w:t>
            </w:r>
          </w:p>
        </w:tc>
        <w:tc>
          <w:tcPr>
            <w:tcW w:w="2741" w:type="dxa"/>
            <w:gridSpan w:val="3"/>
            <w:vAlign w:val="center"/>
          </w:tcPr>
          <w:p w:rsidR="00927BC9" w:rsidRDefault="000664B9">
            <w:pPr>
              <w:jc w:val="center"/>
              <w:rPr>
                <w:b/>
                <w:noProof/>
                <w:sz w:val="18"/>
              </w:rPr>
            </w:pPr>
            <w:r>
              <w:rPr>
                <w:noProof/>
                <w:sz w:val="18"/>
              </w:rPr>
              <w:t xml:space="preserve">Uveďte všetky roky, počas ktorých vplyv trvá (pozri bod 1.6) </w:t>
            </w:r>
          </w:p>
        </w:tc>
        <w:tc>
          <w:tcPr>
            <w:tcW w:w="1640" w:type="dxa"/>
            <w:vAlign w:val="center"/>
          </w:tcPr>
          <w:p w:rsidR="00927BC9" w:rsidRDefault="000664B9">
            <w:pPr>
              <w:jc w:val="center"/>
              <w:rPr>
                <w:b/>
                <w:noProof/>
                <w:sz w:val="20"/>
              </w:rPr>
            </w:pPr>
            <w:r>
              <w:rPr>
                <w:b/>
                <w:noProof/>
                <w:sz w:val="20"/>
              </w:rPr>
              <w:t>SPOLU</w:t>
            </w:r>
          </w:p>
        </w:tc>
      </w:tr>
      <w:tr w:rsidR="00927BC9">
        <w:trPr>
          <w:gridAfter w:val="10"/>
          <w:wAfter w:w="9947" w:type="dxa"/>
        </w:trPr>
        <w:tc>
          <w:tcPr>
            <w:tcW w:w="3960" w:type="dxa"/>
            <w:vAlign w:val="center"/>
          </w:tcPr>
          <w:p w:rsidR="00927BC9" w:rsidRDefault="000664B9">
            <w:pPr>
              <w:spacing w:before="60" w:after="60"/>
              <w:jc w:val="center"/>
              <w:rPr>
                <w:noProof/>
              </w:rPr>
            </w:pPr>
            <w:r>
              <w:rPr>
                <w:noProof/>
                <w:sz w:val="22"/>
              </w:rPr>
              <w:t>GR: &lt;…….&gt;</w:t>
            </w:r>
          </w:p>
        </w:tc>
      </w:tr>
      <w:tr w:rsidR="00927BC9">
        <w:trPr>
          <w:trHeight w:val="313"/>
        </w:trPr>
        <w:tc>
          <w:tcPr>
            <w:tcW w:w="6054" w:type="dxa"/>
            <w:gridSpan w:val="3"/>
            <w:vAlign w:val="center"/>
          </w:tcPr>
          <w:p w:rsidR="00927BC9" w:rsidRDefault="000664B9">
            <w:pPr>
              <w:spacing w:before="20" w:after="20"/>
              <w:rPr>
                <w:noProof/>
              </w:rPr>
            </w:pPr>
            <w:r>
              <w:rPr>
                <w:noProof/>
                <w:sz w:val="22"/>
              </w:rPr>
              <w:sym w:font="Wingdings" w:char="F09F"/>
            </w:r>
            <w:r>
              <w:rPr>
                <w:noProof/>
                <w:sz w:val="22"/>
              </w:rPr>
              <w:t xml:space="preserve"> Ľudské zdroje </w:t>
            </w: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1005" w:type="dxa"/>
            <w:vAlign w:val="center"/>
          </w:tcPr>
          <w:p w:rsidR="00927BC9" w:rsidRDefault="00927BC9">
            <w:pPr>
              <w:spacing w:before="20" w:after="20"/>
              <w:jc w:val="right"/>
              <w:rPr>
                <w:b/>
                <w:noProof/>
                <w:sz w:val="20"/>
              </w:rPr>
            </w:pPr>
          </w:p>
        </w:tc>
        <w:tc>
          <w:tcPr>
            <w:tcW w:w="1640" w:type="dxa"/>
            <w:vAlign w:val="center"/>
          </w:tcPr>
          <w:p w:rsidR="00927BC9" w:rsidRDefault="00927BC9">
            <w:pPr>
              <w:spacing w:before="20" w:after="20"/>
              <w:jc w:val="right"/>
              <w:rPr>
                <w:b/>
                <w:noProof/>
                <w:sz w:val="20"/>
              </w:rPr>
            </w:pPr>
          </w:p>
        </w:tc>
      </w:tr>
      <w:tr w:rsidR="00927BC9">
        <w:trPr>
          <w:trHeight w:val="351"/>
        </w:trPr>
        <w:tc>
          <w:tcPr>
            <w:tcW w:w="6054" w:type="dxa"/>
            <w:gridSpan w:val="3"/>
            <w:vAlign w:val="center"/>
          </w:tcPr>
          <w:p w:rsidR="00927BC9" w:rsidRDefault="000664B9">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927BC9" w:rsidRDefault="00927BC9">
            <w:pPr>
              <w:spacing w:before="20" w:after="20"/>
              <w:jc w:val="right"/>
              <w:rPr>
                <w:b/>
                <w:noProof/>
                <w:sz w:val="20"/>
              </w:rPr>
            </w:pPr>
          </w:p>
        </w:tc>
        <w:tc>
          <w:tcPr>
            <w:tcW w:w="868" w:type="dxa"/>
            <w:vAlign w:val="center"/>
          </w:tcPr>
          <w:p w:rsidR="00927BC9" w:rsidRDefault="00927BC9">
            <w:pPr>
              <w:spacing w:before="20" w:after="20"/>
              <w:jc w:val="right"/>
              <w:rPr>
                <w:b/>
                <w:noProof/>
                <w:sz w:val="20"/>
              </w:rPr>
            </w:pPr>
          </w:p>
        </w:tc>
        <w:tc>
          <w:tcPr>
            <w:tcW w:w="868" w:type="dxa"/>
            <w:vAlign w:val="center"/>
          </w:tcPr>
          <w:p w:rsidR="00927BC9" w:rsidRDefault="00927BC9">
            <w:pPr>
              <w:spacing w:before="20" w:after="20"/>
              <w:jc w:val="right"/>
              <w:rPr>
                <w:b/>
                <w:noProof/>
                <w:sz w:val="20"/>
              </w:rPr>
            </w:pPr>
          </w:p>
        </w:tc>
        <w:tc>
          <w:tcPr>
            <w:tcW w:w="868" w:type="dxa"/>
            <w:vAlign w:val="center"/>
          </w:tcPr>
          <w:p w:rsidR="00927BC9" w:rsidRDefault="00927BC9">
            <w:pPr>
              <w:spacing w:before="20" w:after="20"/>
              <w:jc w:val="right"/>
              <w:rPr>
                <w:b/>
                <w:noProof/>
                <w:sz w:val="20"/>
              </w:rPr>
            </w:pPr>
          </w:p>
        </w:tc>
        <w:tc>
          <w:tcPr>
            <w:tcW w:w="868" w:type="dxa"/>
            <w:vAlign w:val="center"/>
          </w:tcPr>
          <w:p w:rsidR="00927BC9" w:rsidRDefault="00927BC9">
            <w:pPr>
              <w:spacing w:before="20" w:after="20"/>
              <w:jc w:val="right"/>
              <w:rPr>
                <w:b/>
                <w:noProof/>
                <w:sz w:val="20"/>
              </w:rPr>
            </w:pPr>
          </w:p>
        </w:tc>
        <w:tc>
          <w:tcPr>
            <w:tcW w:w="868" w:type="dxa"/>
            <w:vAlign w:val="center"/>
          </w:tcPr>
          <w:p w:rsidR="00927BC9" w:rsidRDefault="00927BC9">
            <w:pPr>
              <w:spacing w:before="20" w:after="20"/>
              <w:jc w:val="right"/>
              <w:rPr>
                <w:b/>
                <w:noProof/>
                <w:sz w:val="20"/>
              </w:rPr>
            </w:pPr>
          </w:p>
        </w:tc>
        <w:tc>
          <w:tcPr>
            <w:tcW w:w="1005" w:type="dxa"/>
            <w:vAlign w:val="center"/>
          </w:tcPr>
          <w:p w:rsidR="00927BC9" w:rsidRDefault="00927BC9">
            <w:pPr>
              <w:spacing w:before="20" w:after="20"/>
              <w:jc w:val="right"/>
              <w:rPr>
                <w:b/>
                <w:noProof/>
                <w:sz w:val="20"/>
              </w:rPr>
            </w:pPr>
          </w:p>
        </w:tc>
        <w:tc>
          <w:tcPr>
            <w:tcW w:w="1640" w:type="dxa"/>
            <w:vAlign w:val="center"/>
          </w:tcPr>
          <w:p w:rsidR="00927BC9" w:rsidRDefault="00927BC9">
            <w:pPr>
              <w:spacing w:before="20" w:after="20"/>
              <w:jc w:val="right"/>
              <w:rPr>
                <w:b/>
                <w:noProof/>
                <w:sz w:val="20"/>
              </w:rPr>
            </w:pPr>
          </w:p>
        </w:tc>
      </w:tr>
      <w:tr w:rsidR="00927BC9">
        <w:tc>
          <w:tcPr>
            <w:tcW w:w="3960" w:type="dxa"/>
            <w:vAlign w:val="center"/>
          </w:tcPr>
          <w:p w:rsidR="00927BC9" w:rsidRDefault="000664B9">
            <w:pPr>
              <w:jc w:val="center"/>
              <w:rPr>
                <w:b/>
                <w:noProof/>
              </w:rPr>
            </w:pPr>
            <w:r>
              <w:rPr>
                <w:b/>
                <w:noProof/>
                <w:sz w:val="22"/>
              </w:rPr>
              <w:t>GR</w:t>
            </w:r>
            <w:r>
              <w:rPr>
                <w:noProof/>
                <w:sz w:val="22"/>
              </w:rPr>
              <w:t xml:space="preserve"> &lt;…….&gt; </w:t>
            </w:r>
            <w:r>
              <w:rPr>
                <w:b/>
                <w:noProof/>
                <w:sz w:val="22"/>
              </w:rPr>
              <w:t>SPOLU</w:t>
            </w:r>
          </w:p>
        </w:tc>
        <w:tc>
          <w:tcPr>
            <w:tcW w:w="2094" w:type="dxa"/>
            <w:gridSpan w:val="2"/>
            <w:vAlign w:val="center"/>
          </w:tcPr>
          <w:p w:rsidR="00927BC9" w:rsidRDefault="000664B9">
            <w:pPr>
              <w:rPr>
                <w:noProof/>
                <w:sz w:val="14"/>
              </w:rPr>
            </w:pPr>
            <w:r>
              <w:rPr>
                <w:noProof/>
                <w:sz w:val="18"/>
              </w:rPr>
              <w:t xml:space="preserve">Rozpočtové prostriedky </w:t>
            </w: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1005" w:type="dxa"/>
            <w:vAlign w:val="center"/>
          </w:tcPr>
          <w:p w:rsidR="00927BC9" w:rsidRDefault="00927BC9">
            <w:pPr>
              <w:spacing w:before="20" w:after="20"/>
              <w:jc w:val="right"/>
              <w:rPr>
                <w:b/>
                <w:noProof/>
                <w:sz w:val="20"/>
              </w:rPr>
            </w:pPr>
          </w:p>
        </w:tc>
        <w:tc>
          <w:tcPr>
            <w:tcW w:w="1640" w:type="dxa"/>
            <w:vAlign w:val="center"/>
          </w:tcPr>
          <w:p w:rsidR="00927BC9" w:rsidRDefault="00927BC9">
            <w:pPr>
              <w:spacing w:before="20" w:after="20"/>
              <w:jc w:val="right"/>
              <w:rPr>
                <w:b/>
                <w:noProof/>
                <w:sz w:val="20"/>
              </w:rPr>
            </w:pPr>
          </w:p>
        </w:tc>
      </w:tr>
    </w:tbl>
    <w:p w:rsidR="00927BC9" w:rsidRDefault="00927BC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27BC9">
        <w:tc>
          <w:tcPr>
            <w:tcW w:w="3960" w:type="dxa"/>
            <w:shd w:val="thinDiagStripe" w:color="C0C0C0" w:fill="auto"/>
            <w:vAlign w:val="center"/>
          </w:tcPr>
          <w:p w:rsidR="00927BC9" w:rsidRDefault="000664B9">
            <w:pPr>
              <w:jc w:val="center"/>
              <w:rPr>
                <w:b/>
                <w:noProof/>
              </w:rPr>
            </w:pPr>
            <w:r>
              <w:rPr>
                <w:b/>
                <w:noProof/>
                <w:sz w:val="22"/>
              </w:rPr>
              <w:t>Rozpočtové prostriedky OKRUHU 5</w:t>
            </w:r>
            <w:r>
              <w:rPr>
                <w:noProof/>
                <w:sz w:val="22"/>
              </w:rPr>
              <w:br/>
              <w:t>viacročného finančného rámca</w:t>
            </w:r>
            <w:r>
              <w:rPr>
                <w:noProof/>
                <w:sz w:val="22"/>
              </w:rPr>
              <w:br/>
            </w:r>
            <w:r>
              <w:rPr>
                <w:b/>
                <w:noProof/>
                <w:sz w:val="22"/>
              </w:rPr>
              <w:t xml:space="preserve">SPOLU </w:t>
            </w:r>
          </w:p>
        </w:tc>
        <w:tc>
          <w:tcPr>
            <w:tcW w:w="2094" w:type="dxa"/>
            <w:vAlign w:val="center"/>
          </w:tcPr>
          <w:p w:rsidR="00927BC9" w:rsidRDefault="000664B9">
            <w:pPr>
              <w:spacing w:before="40" w:after="40"/>
              <w:rPr>
                <w:noProof/>
              </w:rPr>
            </w:pPr>
            <w:r>
              <w:rPr>
                <w:noProof/>
                <w:sz w:val="18"/>
              </w:rPr>
              <w:t>(Záväzky spolu = Platby spolu)</w:t>
            </w: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noProof/>
                <w:sz w:val="20"/>
              </w:rPr>
            </w:pPr>
          </w:p>
        </w:tc>
        <w:tc>
          <w:tcPr>
            <w:tcW w:w="868" w:type="dxa"/>
            <w:vAlign w:val="center"/>
          </w:tcPr>
          <w:p w:rsidR="00927BC9" w:rsidRDefault="00927BC9">
            <w:pPr>
              <w:spacing w:before="20" w:after="20"/>
              <w:jc w:val="right"/>
              <w:rPr>
                <w:b/>
                <w:noProof/>
                <w:sz w:val="20"/>
              </w:rPr>
            </w:pPr>
          </w:p>
        </w:tc>
        <w:tc>
          <w:tcPr>
            <w:tcW w:w="1777" w:type="dxa"/>
            <w:vAlign w:val="center"/>
          </w:tcPr>
          <w:p w:rsidR="00927BC9" w:rsidRDefault="00927BC9">
            <w:pPr>
              <w:spacing w:before="20" w:after="20"/>
              <w:jc w:val="right"/>
              <w:rPr>
                <w:b/>
                <w:noProof/>
                <w:sz w:val="20"/>
              </w:rPr>
            </w:pPr>
          </w:p>
        </w:tc>
      </w:tr>
    </w:tbl>
    <w:p w:rsidR="00927BC9" w:rsidRDefault="000664B9">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27BC9">
        <w:tc>
          <w:tcPr>
            <w:tcW w:w="3960" w:type="dxa"/>
            <w:tcBorders>
              <w:top w:val="nil"/>
              <w:left w:val="nil"/>
              <w:right w:val="nil"/>
            </w:tcBorders>
            <w:vAlign w:val="center"/>
          </w:tcPr>
          <w:p w:rsidR="00927BC9" w:rsidRDefault="00927BC9">
            <w:pPr>
              <w:jc w:val="center"/>
              <w:rPr>
                <w:noProof/>
              </w:rPr>
            </w:pPr>
          </w:p>
        </w:tc>
        <w:tc>
          <w:tcPr>
            <w:tcW w:w="1560" w:type="dxa"/>
            <w:tcBorders>
              <w:top w:val="nil"/>
              <w:left w:val="nil"/>
              <w:right w:val="nil"/>
            </w:tcBorders>
          </w:tcPr>
          <w:p w:rsidR="00927BC9" w:rsidRDefault="00927BC9">
            <w:pPr>
              <w:rPr>
                <w:noProof/>
                <w:sz w:val="20"/>
              </w:rPr>
            </w:pPr>
          </w:p>
        </w:tc>
        <w:tc>
          <w:tcPr>
            <w:tcW w:w="534" w:type="dxa"/>
            <w:tcBorders>
              <w:top w:val="nil"/>
              <w:left w:val="nil"/>
            </w:tcBorders>
          </w:tcPr>
          <w:p w:rsidR="00927BC9" w:rsidRDefault="00927BC9">
            <w:pPr>
              <w:jc w:val="center"/>
              <w:rPr>
                <w:noProof/>
                <w:sz w:val="20"/>
              </w:rPr>
            </w:pP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w:t>
            </w:r>
            <w:r>
              <w:rPr>
                <w:rStyle w:val="FootnoteReference"/>
                <w:b/>
                <w:noProof/>
                <w:sz w:val="20"/>
              </w:rPr>
              <w:footnoteReference w:id="19"/>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+ 1</w:t>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+ 2</w:t>
            </w:r>
          </w:p>
        </w:tc>
        <w:tc>
          <w:tcPr>
            <w:tcW w:w="868" w:type="dxa"/>
            <w:vAlign w:val="center"/>
          </w:tcPr>
          <w:p w:rsidR="00927BC9" w:rsidRDefault="000664B9">
            <w:pPr>
              <w:jc w:val="center"/>
              <w:rPr>
                <w:noProof/>
                <w:sz w:val="20"/>
              </w:rPr>
            </w:pPr>
            <w:r>
              <w:rPr>
                <w:noProof/>
                <w:sz w:val="20"/>
              </w:rPr>
              <w:t>Rok</w:t>
            </w:r>
            <w:r>
              <w:rPr>
                <w:noProof/>
                <w:sz w:val="22"/>
              </w:rPr>
              <w:br/>
            </w:r>
            <w:r>
              <w:rPr>
                <w:b/>
                <w:noProof/>
                <w:sz w:val="20"/>
              </w:rPr>
              <w:t>N + 3</w:t>
            </w:r>
          </w:p>
        </w:tc>
        <w:tc>
          <w:tcPr>
            <w:tcW w:w="2604" w:type="dxa"/>
            <w:gridSpan w:val="3"/>
            <w:vAlign w:val="center"/>
          </w:tcPr>
          <w:p w:rsidR="00927BC9" w:rsidRDefault="000664B9">
            <w:pPr>
              <w:jc w:val="center"/>
              <w:rPr>
                <w:b/>
                <w:noProof/>
                <w:sz w:val="18"/>
              </w:rPr>
            </w:pPr>
            <w:r>
              <w:rPr>
                <w:noProof/>
                <w:sz w:val="18"/>
              </w:rPr>
              <w:t xml:space="preserve">Uveďte všetky </w:t>
            </w:r>
            <w:r>
              <w:rPr>
                <w:noProof/>
                <w:sz w:val="18"/>
              </w:rPr>
              <w:t>roky, počas ktorých vplyv trvá (pozri bod 1.6)</w:t>
            </w:r>
          </w:p>
        </w:tc>
        <w:tc>
          <w:tcPr>
            <w:tcW w:w="1777" w:type="dxa"/>
            <w:vAlign w:val="center"/>
          </w:tcPr>
          <w:p w:rsidR="00927BC9" w:rsidRDefault="000664B9">
            <w:pPr>
              <w:jc w:val="center"/>
              <w:rPr>
                <w:b/>
                <w:noProof/>
                <w:sz w:val="20"/>
              </w:rPr>
            </w:pPr>
            <w:r>
              <w:rPr>
                <w:b/>
                <w:noProof/>
                <w:sz w:val="20"/>
              </w:rPr>
              <w:t>SPOLU</w:t>
            </w:r>
          </w:p>
        </w:tc>
      </w:tr>
      <w:tr w:rsidR="00927BC9">
        <w:tc>
          <w:tcPr>
            <w:tcW w:w="3960" w:type="dxa"/>
            <w:vMerge w:val="restart"/>
            <w:shd w:val="clear" w:color="auto" w:fill="C0C0C0"/>
            <w:vAlign w:val="center"/>
          </w:tcPr>
          <w:p w:rsidR="00927BC9" w:rsidRDefault="000664B9">
            <w:pPr>
              <w:jc w:val="center"/>
              <w:rPr>
                <w:b/>
                <w:noProof/>
                <w:sz w:val="22"/>
              </w:rPr>
            </w:pPr>
            <w:r>
              <w:rPr>
                <w:b/>
                <w:noProof/>
                <w:sz w:val="22"/>
              </w:rPr>
              <w:t xml:space="preserve">Rozpočtové prostriedky </w:t>
            </w:r>
            <w:r>
              <w:rPr>
                <w:b/>
                <w:noProof/>
                <w:sz w:val="22"/>
              </w:rPr>
              <w:br/>
              <w:t>OKRUHOV 1 až 5</w:t>
            </w:r>
            <w:r>
              <w:rPr>
                <w:b/>
                <w:noProof/>
                <w:sz w:val="22"/>
              </w:rPr>
              <w:br/>
              <w:t xml:space="preserve">viacročného finančného rámca </w:t>
            </w:r>
          </w:p>
        </w:tc>
        <w:tc>
          <w:tcPr>
            <w:tcW w:w="2094" w:type="dxa"/>
            <w:gridSpan w:val="2"/>
            <w:vAlign w:val="center"/>
          </w:tcPr>
          <w:p w:rsidR="00927BC9" w:rsidRDefault="000664B9">
            <w:pPr>
              <w:rPr>
                <w:noProof/>
                <w:sz w:val="14"/>
              </w:rPr>
            </w:pPr>
            <w:r>
              <w:rPr>
                <w:noProof/>
                <w:sz w:val="18"/>
              </w:rPr>
              <w:t>Záväzky</w:t>
            </w: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b/>
                <w:noProof/>
                <w:sz w:val="20"/>
              </w:rPr>
            </w:pPr>
          </w:p>
        </w:tc>
        <w:tc>
          <w:tcPr>
            <w:tcW w:w="1777" w:type="dxa"/>
            <w:vAlign w:val="center"/>
          </w:tcPr>
          <w:p w:rsidR="00927BC9" w:rsidRDefault="00927BC9">
            <w:pPr>
              <w:spacing w:before="60" w:after="60"/>
              <w:jc w:val="right"/>
              <w:rPr>
                <w:b/>
                <w:noProof/>
                <w:sz w:val="20"/>
              </w:rPr>
            </w:pPr>
          </w:p>
        </w:tc>
      </w:tr>
      <w:tr w:rsidR="00927BC9">
        <w:tc>
          <w:tcPr>
            <w:tcW w:w="3960" w:type="dxa"/>
            <w:vMerge/>
            <w:shd w:val="clear" w:color="auto" w:fill="C0C0C0"/>
          </w:tcPr>
          <w:p w:rsidR="00927BC9" w:rsidRDefault="00927BC9">
            <w:pPr>
              <w:rPr>
                <w:noProof/>
                <w:sz w:val="20"/>
              </w:rPr>
            </w:pPr>
          </w:p>
        </w:tc>
        <w:tc>
          <w:tcPr>
            <w:tcW w:w="2094" w:type="dxa"/>
            <w:gridSpan w:val="2"/>
            <w:vAlign w:val="center"/>
          </w:tcPr>
          <w:p w:rsidR="00927BC9" w:rsidRDefault="000664B9">
            <w:pPr>
              <w:rPr>
                <w:noProof/>
                <w:sz w:val="14"/>
              </w:rPr>
            </w:pPr>
            <w:r>
              <w:rPr>
                <w:noProof/>
                <w:sz w:val="18"/>
              </w:rPr>
              <w:t>Platby</w:t>
            </w: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noProof/>
                <w:sz w:val="20"/>
              </w:rPr>
            </w:pPr>
          </w:p>
        </w:tc>
        <w:tc>
          <w:tcPr>
            <w:tcW w:w="868" w:type="dxa"/>
            <w:vAlign w:val="center"/>
          </w:tcPr>
          <w:p w:rsidR="00927BC9" w:rsidRDefault="00927BC9">
            <w:pPr>
              <w:spacing w:before="60" w:after="60"/>
              <w:jc w:val="right"/>
              <w:rPr>
                <w:b/>
                <w:noProof/>
                <w:sz w:val="20"/>
              </w:rPr>
            </w:pPr>
          </w:p>
        </w:tc>
        <w:tc>
          <w:tcPr>
            <w:tcW w:w="1777" w:type="dxa"/>
            <w:vAlign w:val="center"/>
          </w:tcPr>
          <w:p w:rsidR="00927BC9" w:rsidRDefault="00927BC9">
            <w:pPr>
              <w:spacing w:before="60" w:after="60"/>
              <w:jc w:val="right"/>
              <w:rPr>
                <w:b/>
                <w:noProof/>
                <w:sz w:val="20"/>
              </w:rPr>
            </w:pPr>
          </w:p>
        </w:tc>
      </w:tr>
    </w:tbl>
    <w:p w:rsidR="00927BC9" w:rsidRDefault="00927BC9">
      <w:pPr>
        <w:rPr>
          <w:noProof/>
        </w:rPr>
      </w:pPr>
    </w:p>
    <w:p w:rsidR="00927BC9" w:rsidRDefault="000664B9">
      <w:pPr>
        <w:pStyle w:val="ManualHeading3"/>
        <w:rPr>
          <w:noProof/>
        </w:rPr>
      </w:pPr>
      <w:r>
        <w:rPr>
          <w:noProof/>
        </w:rPr>
        <w:t>3.2.2.</w:t>
      </w:r>
      <w:r>
        <w:rPr>
          <w:noProof/>
        </w:rPr>
        <w:tab/>
        <w:t>Odhadované výsledky financované z operačných rozpočtových prostriedkov</w:t>
      </w:r>
    </w:p>
    <w:p w:rsidR="00927BC9" w:rsidRDefault="000664B9">
      <w:pPr>
        <w:jc w:val="right"/>
        <w:rPr>
          <w:noProof/>
          <w:sz w:val="20"/>
        </w:rPr>
      </w:pPr>
      <w:r>
        <w:rPr>
          <w:noProof/>
          <w:sz w:val="20"/>
        </w:rPr>
        <w:t xml:space="preserve">viazané rozpočtové </w:t>
      </w:r>
      <w:r>
        <w:rPr>
          <w:noProof/>
          <w:sz w:val="20"/>
        </w:rPr>
        <w:t>prostriedky v mil. EUR (zaokrúhlené na 3 desatinné miesta)</w:t>
      </w:r>
    </w:p>
    <w:tbl>
      <w:tblPr>
        <w:tblW w:w="13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915"/>
        <w:gridCol w:w="403"/>
        <w:gridCol w:w="851"/>
        <w:gridCol w:w="425"/>
        <w:gridCol w:w="850"/>
        <w:gridCol w:w="426"/>
        <w:gridCol w:w="850"/>
        <w:gridCol w:w="425"/>
        <w:gridCol w:w="851"/>
        <w:gridCol w:w="30"/>
        <w:gridCol w:w="395"/>
        <w:gridCol w:w="851"/>
        <w:gridCol w:w="425"/>
        <w:gridCol w:w="850"/>
        <w:gridCol w:w="567"/>
        <w:gridCol w:w="709"/>
        <w:gridCol w:w="956"/>
        <w:gridCol w:w="900"/>
      </w:tblGrid>
      <w:tr w:rsidR="00927BC9">
        <w:trPr>
          <w:jc w:val="center"/>
        </w:trPr>
        <w:tc>
          <w:tcPr>
            <w:tcW w:w="1418" w:type="dxa"/>
            <w:vMerge w:val="restart"/>
            <w:vAlign w:val="center"/>
          </w:tcPr>
          <w:p w:rsidR="00927BC9" w:rsidRDefault="000664B9">
            <w:pPr>
              <w:ind w:right="-29"/>
              <w:jc w:val="center"/>
              <w:rPr>
                <w:b/>
                <w:noProof/>
                <w:sz w:val="18"/>
              </w:rPr>
            </w:pPr>
            <w:r>
              <w:rPr>
                <w:b/>
                <w:noProof/>
                <w:sz w:val="18"/>
              </w:rPr>
              <w:t>Uveďte ciele a výstupy</w:t>
            </w:r>
          </w:p>
          <w:p w:rsidR="00927BC9" w:rsidRDefault="00927BC9">
            <w:pPr>
              <w:ind w:right="-29"/>
              <w:jc w:val="center"/>
              <w:rPr>
                <w:b/>
                <w:noProof/>
                <w:sz w:val="18"/>
                <w:szCs w:val="18"/>
              </w:rPr>
            </w:pPr>
          </w:p>
          <w:p w:rsidR="00927BC9" w:rsidRDefault="000664B9">
            <w:pPr>
              <w:ind w:right="-29"/>
              <w:jc w:val="center"/>
              <w:rPr>
                <w:noProof/>
                <w:sz w:val="18"/>
                <w:szCs w:val="18"/>
              </w:rPr>
            </w:pPr>
            <w:r>
              <w:rPr>
                <w:noProof/>
                <w:sz w:val="18"/>
              </w:rPr>
              <w:sym w:font="Wingdings" w:char="F0F2"/>
            </w:r>
          </w:p>
        </w:tc>
        <w:tc>
          <w:tcPr>
            <w:tcW w:w="709" w:type="dxa"/>
            <w:vAlign w:val="center"/>
          </w:tcPr>
          <w:p w:rsidR="00927BC9" w:rsidRDefault="00927BC9">
            <w:pPr>
              <w:ind w:right="-29"/>
              <w:jc w:val="center"/>
              <w:rPr>
                <w:noProof/>
                <w:sz w:val="18"/>
                <w:szCs w:val="18"/>
              </w:rPr>
            </w:pPr>
          </w:p>
        </w:tc>
        <w:tc>
          <w:tcPr>
            <w:tcW w:w="915" w:type="dxa"/>
            <w:vAlign w:val="center"/>
          </w:tcPr>
          <w:p w:rsidR="00927BC9" w:rsidRDefault="00927BC9">
            <w:pPr>
              <w:ind w:right="-29"/>
              <w:jc w:val="center"/>
              <w:rPr>
                <w:noProof/>
                <w:sz w:val="18"/>
                <w:szCs w:val="18"/>
              </w:rPr>
            </w:pPr>
          </w:p>
        </w:tc>
        <w:tc>
          <w:tcPr>
            <w:tcW w:w="1254" w:type="dxa"/>
            <w:gridSpan w:val="2"/>
            <w:tcBorders>
              <w:left w:val="nil"/>
            </w:tcBorders>
            <w:vAlign w:val="center"/>
          </w:tcPr>
          <w:p w:rsidR="00927BC9" w:rsidRDefault="000664B9">
            <w:pPr>
              <w:ind w:right="-29"/>
              <w:jc w:val="center"/>
              <w:rPr>
                <w:noProof/>
                <w:sz w:val="18"/>
                <w:szCs w:val="18"/>
              </w:rPr>
            </w:pPr>
            <w:r>
              <w:rPr>
                <w:noProof/>
                <w:sz w:val="20"/>
              </w:rPr>
              <w:t>Rok</w:t>
            </w:r>
            <w:r>
              <w:rPr>
                <w:noProof/>
                <w:sz w:val="22"/>
              </w:rPr>
              <w:br/>
            </w:r>
            <w:r>
              <w:rPr>
                <w:b/>
                <w:noProof/>
                <w:sz w:val="18"/>
              </w:rPr>
              <w:t>2020</w:t>
            </w:r>
          </w:p>
        </w:tc>
        <w:tc>
          <w:tcPr>
            <w:tcW w:w="1275" w:type="dxa"/>
            <w:gridSpan w:val="2"/>
            <w:vAlign w:val="center"/>
          </w:tcPr>
          <w:p w:rsidR="00927BC9" w:rsidRDefault="00927BC9">
            <w:pPr>
              <w:ind w:right="-29"/>
              <w:jc w:val="center"/>
              <w:rPr>
                <w:noProof/>
                <w:sz w:val="18"/>
                <w:szCs w:val="18"/>
              </w:rPr>
            </w:pPr>
          </w:p>
        </w:tc>
        <w:tc>
          <w:tcPr>
            <w:tcW w:w="1276" w:type="dxa"/>
            <w:gridSpan w:val="2"/>
            <w:vAlign w:val="center"/>
          </w:tcPr>
          <w:p w:rsidR="00927BC9" w:rsidRDefault="000664B9">
            <w:pPr>
              <w:ind w:right="-29"/>
              <w:jc w:val="center"/>
              <w:rPr>
                <w:noProof/>
                <w:sz w:val="18"/>
                <w:szCs w:val="18"/>
              </w:rPr>
            </w:pPr>
            <w:r>
              <w:rPr>
                <w:noProof/>
                <w:sz w:val="18"/>
              </w:rPr>
              <w:t>Rok</w:t>
            </w:r>
            <w:r>
              <w:rPr>
                <w:noProof/>
                <w:sz w:val="22"/>
              </w:rPr>
              <w:br/>
            </w:r>
          </w:p>
        </w:tc>
        <w:tc>
          <w:tcPr>
            <w:tcW w:w="1276" w:type="dxa"/>
            <w:gridSpan w:val="2"/>
            <w:vAlign w:val="center"/>
          </w:tcPr>
          <w:p w:rsidR="00927BC9" w:rsidRDefault="000664B9">
            <w:pPr>
              <w:ind w:right="-29"/>
              <w:jc w:val="center"/>
              <w:rPr>
                <w:noProof/>
                <w:sz w:val="18"/>
                <w:szCs w:val="18"/>
              </w:rPr>
            </w:pPr>
            <w:r>
              <w:rPr>
                <w:noProof/>
                <w:sz w:val="18"/>
              </w:rPr>
              <w:t>Rok</w:t>
            </w:r>
            <w:r>
              <w:rPr>
                <w:noProof/>
                <w:sz w:val="22"/>
              </w:rPr>
              <w:br/>
            </w:r>
          </w:p>
        </w:tc>
        <w:tc>
          <w:tcPr>
            <w:tcW w:w="3827" w:type="dxa"/>
            <w:gridSpan w:val="7"/>
            <w:vAlign w:val="center"/>
          </w:tcPr>
          <w:p w:rsidR="00927BC9" w:rsidRDefault="000664B9">
            <w:pPr>
              <w:jc w:val="center"/>
              <w:rPr>
                <w:noProof/>
                <w:sz w:val="18"/>
                <w:szCs w:val="18"/>
              </w:rPr>
            </w:pPr>
            <w:r>
              <w:rPr>
                <w:noProof/>
                <w:sz w:val="18"/>
              </w:rPr>
              <w:t>Uveďte všetky roky, počas ktorých vplyv trvá (pozri bod 1.6)</w:t>
            </w:r>
          </w:p>
        </w:tc>
        <w:tc>
          <w:tcPr>
            <w:tcW w:w="1856" w:type="dxa"/>
            <w:gridSpan w:val="2"/>
            <w:tcBorders>
              <w:left w:val="nil"/>
              <w:bottom w:val="nil"/>
            </w:tcBorders>
            <w:vAlign w:val="center"/>
          </w:tcPr>
          <w:p w:rsidR="00927BC9" w:rsidRDefault="000664B9">
            <w:pPr>
              <w:ind w:right="-29"/>
              <w:jc w:val="center"/>
              <w:rPr>
                <w:noProof/>
                <w:sz w:val="18"/>
                <w:szCs w:val="18"/>
              </w:rPr>
            </w:pPr>
            <w:r>
              <w:rPr>
                <w:b/>
                <w:noProof/>
                <w:sz w:val="18"/>
              </w:rPr>
              <w:t>SPOLU</w:t>
            </w:r>
          </w:p>
        </w:tc>
      </w:tr>
      <w:tr w:rsidR="00927BC9">
        <w:trPr>
          <w:jc w:val="center"/>
        </w:trPr>
        <w:tc>
          <w:tcPr>
            <w:tcW w:w="1418" w:type="dxa"/>
            <w:vMerge/>
            <w:vAlign w:val="center"/>
          </w:tcPr>
          <w:p w:rsidR="00927BC9" w:rsidRDefault="00927BC9">
            <w:pPr>
              <w:ind w:right="-29"/>
              <w:jc w:val="center"/>
              <w:rPr>
                <w:noProof/>
                <w:sz w:val="18"/>
                <w:szCs w:val="18"/>
              </w:rPr>
            </w:pPr>
          </w:p>
        </w:tc>
        <w:tc>
          <w:tcPr>
            <w:tcW w:w="12388" w:type="dxa"/>
            <w:gridSpan w:val="19"/>
            <w:vAlign w:val="center"/>
          </w:tcPr>
          <w:p w:rsidR="00927BC9" w:rsidRDefault="000664B9">
            <w:pPr>
              <w:spacing w:before="60" w:after="60"/>
              <w:ind w:right="-29"/>
              <w:jc w:val="center"/>
              <w:rPr>
                <w:noProof/>
                <w:sz w:val="18"/>
                <w:szCs w:val="18"/>
              </w:rPr>
            </w:pPr>
            <w:r>
              <w:rPr>
                <w:b/>
                <w:noProof/>
                <w:sz w:val="18"/>
              </w:rPr>
              <w:t>VÝSTUPY</w:t>
            </w:r>
          </w:p>
        </w:tc>
      </w:tr>
      <w:tr w:rsidR="00927BC9">
        <w:trPr>
          <w:cantSplit/>
          <w:trHeight w:val="1134"/>
          <w:jc w:val="center"/>
        </w:trPr>
        <w:tc>
          <w:tcPr>
            <w:tcW w:w="1418" w:type="dxa"/>
            <w:vMerge/>
            <w:vAlign w:val="center"/>
          </w:tcPr>
          <w:p w:rsidR="00927BC9" w:rsidRDefault="00927BC9">
            <w:pPr>
              <w:rPr>
                <w:noProof/>
                <w:sz w:val="18"/>
                <w:szCs w:val="18"/>
              </w:rPr>
            </w:pPr>
          </w:p>
        </w:tc>
        <w:tc>
          <w:tcPr>
            <w:tcW w:w="709" w:type="dxa"/>
            <w:vAlign w:val="center"/>
          </w:tcPr>
          <w:p w:rsidR="00927BC9" w:rsidRDefault="000664B9">
            <w:pPr>
              <w:jc w:val="center"/>
              <w:rPr>
                <w:noProof/>
                <w:sz w:val="18"/>
                <w:szCs w:val="18"/>
              </w:rPr>
            </w:pPr>
            <w:r>
              <w:rPr>
                <w:noProof/>
                <w:sz w:val="18"/>
              </w:rPr>
              <w:t>Druh</w:t>
            </w:r>
            <w:r>
              <w:rPr>
                <w:rStyle w:val="FootnoteReference"/>
                <w:noProof/>
                <w:sz w:val="18"/>
              </w:rPr>
              <w:footnoteReference w:id="20"/>
            </w:r>
          </w:p>
          <w:p w:rsidR="00927BC9" w:rsidRDefault="00927BC9">
            <w:pPr>
              <w:spacing w:before="0" w:after="0"/>
              <w:jc w:val="center"/>
              <w:rPr>
                <w:noProof/>
                <w:sz w:val="18"/>
                <w:szCs w:val="18"/>
              </w:rPr>
            </w:pPr>
          </w:p>
        </w:tc>
        <w:tc>
          <w:tcPr>
            <w:tcW w:w="915" w:type="dxa"/>
            <w:vAlign w:val="center"/>
          </w:tcPr>
          <w:p w:rsidR="00927BC9" w:rsidRDefault="000664B9">
            <w:pPr>
              <w:jc w:val="center"/>
              <w:rPr>
                <w:noProof/>
                <w:sz w:val="16"/>
                <w:szCs w:val="16"/>
              </w:rPr>
            </w:pPr>
            <w:r>
              <w:rPr>
                <w:noProof/>
                <w:sz w:val="16"/>
                <w:szCs w:val="16"/>
              </w:rPr>
              <w:t>Priemerné náklady</w:t>
            </w:r>
          </w:p>
        </w:tc>
        <w:tc>
          <w:tcPr>
            <w:tcW w:w="403" w:type="dxa"/>
            <w:tcBorders>
              <w:left w:val="nil"/>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1"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425" w:type="dxa"/>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0"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426" w:type="dxa"/>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0"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425" w:type="dxa"/>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1"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425" w:type="dxa"/>
            <w:gridSpan w:val="2"/>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1"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425" w:type="dxa"/>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850"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567" w:type="dxa"/>
            <w:tcBorders>
              <w:right w:val="dashSmallGap" w:sz="4" w:space="0" w:color="auto"/>
            </w:tcBorders>
            <w:shd w:val="pct10" w:color="auto" w:fill="auto"/>
            <w:textDirection w:val="btLr"/>
            <w:vAlign w:val="center"/>
          </w:tcPr>
          <w:p w:rsidR="00927BC9" w:rsidRDefault="000664B9">
            <w:pPr>
              <w:ind w:left="113" w:right="113"/>
              <w:jc w:val="center"/>
              <w:rPr>
                <w:noProof/>
                <w:sz w:val="16"/>
                <w:szCs w:val="16"/>
              </w:rPr>
            </w:pPr>
            <w:r>
              <w:rPr>
                <w:noProof/>
                <w:sz w:val="16"/>
                <w:szCs w:val="16"/>
              </w:rPr>
              <w:t>Počet</w:t>
            </w:r>
          </w:p>
        </w:tc>
        <w:tc>
          <w:tcPr>
            <w:tcW w:w="709"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w:t>
            </w:r>
          </w:p>
        </w:tc>
        <w:tc>
          <w:tcPr>
            <w:tcW w:w="956" w:type="dxa"/>
            <w:tcBorders>
              <w:right w:val="dashSmallGap" w:sz="4" w:space="0" w:color="auto"/>
            </w:tcBorders>
            <w:shd w:val="pct10" w:color="auto" w:fill="auto"/>
            <w:vAlign w:val="center"/>
          </w:tcPr>
          <w:p w:rsidR="00927BC9" w:rsidRDefault="000664B9">
            <w:pPr>
              <w:jc w:val="center"/>
              <w:rPr>
                <w:noProof/>
                <w:sz w:val="16"/>
                <w:szCs w:val="16"/>
              </w:rPr>
            </w:pPr>
            <w:r>
              <w:rPr>
                <w:noProof/>
                <w:sz w:val="16"/>
                <w:szCs w:val="16"/>
              </w:rPr>
              <w:t>Počet spolu</w:t>
            </w:r>
          </w:p>
        </w:tc>
        <w:tc>
          <w:tcPr>
            <w:tcW w:w="900" w:type="dxa"/>
            <w:tcBorders>
              <w:left w:val="dashSmallGap" w:sz="4" w:space="0" w:color="auto"/>
            </w:tcBorders>
            <w:shd w:val="pct10" w:color="auto" w:fill="auto"/>
            <w:vAlign w:val="center"/>
          </w:tcPr>
          <w:p w:rsidR="00927BC9" w:rsidRDefault="000664B9">
            <w:pPr>
              <w:jc w:val="center"/>
              <w:rPr>
                <w:noProof/>
                <w:sz w:val="16"/>
                <w:szCs w:val="16"/>
              </w:rPr>
            </w:pPr>
            <w:r>
              <w:rPr>
                <w:noProof/>
                <w:sz w:val="16"/>
                <w:szCs w:val="16"/>
              </w:rPr>
              <w:t>Náklady spolu</w:t>
            </w:r>
          </w:p>
        </w:tc>
      </w:tr>
      <w:tr w:rsidR="00927BC9">
        <w:trPr>
          <w:jc w:val="center"/>
        </w:trPr>
        <w:tc>
          <w:tcPr>
            <w:tcW w:w="3042" w:type="dxa"/>
            <w:gridSpan w:val="3"/>
            <w:vAlign w:val="center"/>
          </w:tcPr>
          <w:p w:rsidR="00927BC9" w:rsidRDefault="000664B9">
            <w:pPr>
              <w:spacing w:before="60" w:after="60"/>
              <w:ind w:right="-29"/>
              <w:jc w:val="center"/>
              <w:rPr>
                <w:noProof/>
                <w:sz w:val="18"/>
                <w:szCs w:val="18"/>
              </w:rPr>
            </w:pPr>
            <w:r>
              <w:rPr>
                <w:noProof/>
                <w:sz w:val="18"/>
              </w:rPr>
              <w:t>ŠPECIFICKÝ CIEĽ č. 1</w:t>
            </w:r>
            <w:r>
              <w:rPr>
                <w:rStyle w:val="FootnoteReference"/>
                <w:noProof/>
                <w:sz w:val="18"/>
              </w:rPr>
              <w:footnoteReference w:id="21"/>
            </w:r>
            <w:r>
              <w:rPr>
                <w:noProof/>
                <w:sz w:val="18"/>
              </w:rPr>
              <w:t>…</w:t>
            </w:r>
          </w:p>
        </w:tc>
        <w:tc>
          <w:tcPr>
            <w:tcW w:w="403" w:type="dxa"/>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426"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gridSpan w:val="2"/>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567" w:type="dxa"/>
            <w:tcBorders>
              <w:top w:val="nil"/>
              <w:left w:val="nil"/>
              <w:bottom w:val="nil"/>
              <w:right w:val="nil"/>
            </w:tcBorders>
          </w:tcPr>
          <w:p w:rsidR="00927BC9" w:rsidRDefault="00927BC9">
            <w:pPr>
              <w:spacing w:before="60" w:after="60"/>
              <w:ind w:right="-29"/>
              <w:jc w:val="center"/>
              <w:rPr>
                <w:noProof/>
                <w:sz w:val="18"/>
                <w:szCs w:val="18"/>
              </w:rPr>
            </w:pPr>
          </w:p>
        </w:tc>
        <w:tc>
          <w:tcPr>
            <w:tcW w:w="709" w:type="dxa"/>
            <w:tcBorders>
              <w:top w:val="nil"/>
              <w:left w:val="nil"/>
              <w:bottom w:val="nil"/>
              <w:right w:val="nil"/>
            </w:tcBorders>
          </w:tcPr>
          <w:p w:rsidR="00927BC9" w:rsidRDefault="00927BC9">
            <w:pPr>
              <w:spacing w:before="60" w:after="60"/>
              <w:ind w:right="-29"/>
              <w:jc w:val="center"/>
              <w:rPr>
                <w:noProof/>
                <w:sz w:val="18"/>
                <w:szCs w:val="18"/>
              </w:rPr>
            </w:pPr>
          </w:p>
        </w:tc>
        <w:tc>
          <w:tcPr>
            <w:tcW w:w="956" w:type="dxa"/>
            <w:tcBorders>
              <w:top w:val="nil"/>
              <w:left w:val="nil"/>
              <w:bottom w:val="nil"/>
              <w:right w:val="nil"/>
            </w:tcBorders>
          </w:tcPr>
          <w:p w:rsidR="00927BC9" w:rsidRDefault="00927BC9">
            <w:pPr>
              <w:spacing w:before="60" w:after="60"/>
              <w:ind w:right="-29"/>
              <w:jc w:val="center"/>
              <w:rPr>
                <w:noProof/>
                <w:sz w:val="18"/>
                <w:szCs w:val="18"/>
              </w:rPr>
            </w:pPr>
          </w:p>
        </w:tc>
        <w:tc>
          <w:tcPr>
            <w:tcW w:w="900" w:type="dxa"/>
            <w:tcBorders>
              <w:top w:val="nil"/>
              <w:left w:val="nil"/>
              <w:bottom w:val="nil"/>
              <w:right w:val="nil"/>
            </w:tcBorders>
          </w:tcPr>
          <w:p w:rsidR="00927BC9" w:rsidRDefault="00927BC9">
            <w:pPr>
              <w:spacing w:before="60" w:after="60"/>
              <w:ind w:right="-29"/>
              <w:jc w:val="center"/>
              <w:rPr>
                <w:noProof/>
                <w:sz w:val="18"/>
                <w:szCs w:val="18"/>
              </w:rPr>
            </w:pPr>
          </w:p>
        </w:tc>
      </w:tr>
      <w:tr w:rsidR="00927BC9">
        <w:trPr>
          <w:trHeight w:hRule="exact" w:val="369"/>
          <w:jc w:val="center"/>
        </w:trPr>
        <w:tc>
          <w:tcPr>
            <w:tcW w:w="1418" w:type="dxa"/>
          </w:tcPr>
          <w:p w:rsidR="00927BC9" w:rsidRDefault="000664B9">
            <w:pPr>
              <w:ind w:right="-29"/>
              <w:jc w:val="center"/>
              <w:rPr>
                <w:noProof/>
                <w:sz w:val="18"/>
                <w:szCs w:val="18"/>
              </w:rPr>
            </w:pPr>
            <w:r>
              <w:rPr>
                <w:noProof/>
                <w:sz w:val="18"/>
              </w:rPr>
              <w:t>‒</w:t>
            </w:r>
            <w:r>
              <w:rPr>
                <w:noProof/>
                <w:sz w:val="18"/>
              </w:rPr>
              <w:t xml:space="preserve"> Výstup</w:t>
            </w:r>
          </w:p>
        </w:tc>
        <w:tc>
          <w:tcPr>
            <w:tcW w:w="709" w:type="dxa"/>
          </w:tcPr>
          <w:p w:rsidR="00927BC9" w:rsidRDefault="00927BC9">
            <w:pPr>
              <w:ind w:right="-29"/>
              <w:jc w:val="center"/>
              <w:rPr>
                <w:noProof/>
                <w:sz w:val="18"/>
                <w:szCs w:val="18"/>
              </w:rPr>
            </w:pPr>
          </w:p>
        </w:tc>
        <w:tc>
          <w:tcPr>
            <w:tcW w:w="915" w:type="dxa"/>
          </w:tcPr>
          <w:p w:rsidR="00927BC9" w:rsidRDefault="00927BC9">
            <w:pPr>
              <w:ind w:right="-29"/>
              <w:jc w:val="center"/>
              <w:rPr>
                <w:noProof/>
                <w:sz w:val="18"/>
                <w:szCs w:val="18"/>
              </w:rPr>
            </w:pPr>
          </w:p>
        </w:tc>
        <w:tc>
          <w:tcPr>
            <w:tcW w:w="403" w:type="dxa"/>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426"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gridSpan w:val="2"/>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567" w:type="dxa"/>
            <w:tcBorders>
              <w:right w:val="dashSmallGap" w:sz="4" w:space="0" w:color="auto"/>
            </w:tcBorders>
          </w:tcPr>
          <w:p w:rsidR="00927BC9" w:rsidRDefault="00927BC9">
            <w:pPr>
              <w:ind w:right="-29"/>
              <w:jc w:val="center"/>
              <w:rPr>
                <w:noProof/>
                <w:sz w:val="18"/>
                <w:szCs w:val="18"/>
              </w:rPr>
            </w:pPr>
          </w:p>
        </w:tc>
        <w:tc>
          <w:tcPr>
            <w:tcW w:w="709" w:type="dxa"/>
            <w:tcBorders>
              <w:left w:val="dashSmallGap" w:sz="4" w:space="0" w:color="auto"/>
            </w:tcBorders>
          </w:tcPr>
          <w:p w:rsidR="00927BC9" w:rsidRDefault="00927BC9">
            <w:pPr>
              <w:ind w:right="-29"/>
              <w:jc w:val="center"/>
              <w:rPr>
                <w:noProof/>
                <w:sz w:val="18"/>
                <w:szCs w:val="18"/>
              </w:rPr>
            </w:pPr>
          </w:p>
        </w:tc>
        <w:tc>
          <w:tcPr>
            <w:tcW w:w="956" w:type="dxa"/>
          </w:tcPr>
          <w:p w:rsidR="00927BC9" w:rsidRDefault="00927BC9">
            <w:pPr>
              <w:ind w:right="-29"/>
              <w:jc w:val="center"/>
              <w:rPr>
                <w:noProof/>
                <w:sz w:val="18"/>
                <w:szCs w:val="18"/>
              </w:rPr>
            </w:pPr>
          </w:p>
        </w:tc>
        <w:tc>
          <w:tcPr>
            <w:tcW w:w="900" w:type="dxa"/>
          </w:tcPr>
          <w:p w:rsidR="00927BC9" w:rsidRDefault="00927BC9">
            <w:pPr>
              <w:ind w:right="-29"/>
              <w:jc w:val="center"/>
              <w:rPr>
                <w:noProof/>
                <w:sz w:val="18"/>
                <w:szCs w:val="18"/>
              </w:rPr>
            </w:pPr>
          </w:p>
        </w:tc>
      </w:tr>
      <w:tr w:rsidR="00927BC9">
        <w:trPr>
          <w:trHeight w:hRule="exact" w:val="369"/>
          <w:jc w:val="center"/>
        </w:trPr>
        <w:tc>
          <w:tcPr>
            <w:tcW w:w="1418" w:type="dxa"/>
          </w:tcPr>
          <w:p w:rsidR="00927BC9" w:rsidRDefault="000664B9">
            <w:pPr>
              <w:ind w:right="-29"/>
              <w:jc w:val="center"/>
              <w:rPr>
                <w:noProof/>
                <w:sz w:val="18"/>
                <w:szCs w:val="18"/>
              </w:rPr>
            </w:pPr>
            <w:r>
              <w:rPr>
                <w:noProof/>
                <w:sz w:val="18"/>
              </w:rPr>
              <w:t>‒</w:t>
            </w:r>
            <w:r>
              <w:rPr>
                <w:noProof/>
                <w:sz w:val="18"/>
              </w:rPr>
              <w:t xml:space="preserve"> Výstup</w:t>
            </w:r>
          </w:p>
        </w:tc>
        <w:tc>
          <w:tcPr>
            <w:tcW w:w="709" w:type="dxa"/>
          </w:tcPr>
          <w:p w:rsidR="00927BC9" w:rsidRDefault="00927BC9">
            <w:pPr>
              <w:ind w:right="-29"/>
              <w:jc w:val="center"/>
              <w:rPr>
                <w:noProof/>
                <w:sz w:val="18"/>
                <w:szCs w:val="18"/>
              </w:rPr>
            </w:pPr>
          </w:p>
        </w:tc>
        <w:tc>
          <w:tcPr>
            <w:tcW w:w="915" w:type="dxa"/>
          </w:tcPr>
          <w:p w:rsidR="00927BC9" w:rsidRDefault="00927BC9">
            <w:pPr>
              <w:ind w:right="-29"/>
              <w:jc w:val="center"/>
              <w:rPr>
                <w:noProof/>
                <w:sz w:val="18"/>
                <w:szCs w:val="18"/>
              </w:rPr>
            </w:pPr>
          </w:p>
        </w:tc>
        <w:tc>
          <w:tcPr>
            <w:tcW w:w="403" w:type="dxa"/>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426"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gridSpan w:val="2"/>
            <w:tcBorders>
              <w:right w:val="dashSmallGap" w:sz="4" w:space="0" w:color="auto"/>
            </w:tcBorders>
          </w:tcPr>
          <w:p w:rsidR="00927BC9" w:rsidRDefault="00927BC9">
            <w:pPr>
              <w:ind w:right="-29"/>
              <w:jc w:val="center"/>
              <w:rPr>
                <w:noProof/>
                <w:sz w:val="18"/>
                <w:szCs w:val="18"/>
              </w:rPr>
            </w:pPr>
          </w:p>
        </w:tc>
        <w:tc>
          <w:tcPr>
            <w:tcW w:w="851" w:type="dxa"/>
            <w:tcBorders>
              <w:left w:val="dashSmallGap" w:sz="4" w:space="0" w:color="auto"/>
            </w:tcBorders>
          </w:tcPr>
          <w:p w:rsidR="00927BC9" w:rsidRDefault="00927BC9">
            <w:pPr>
              <w:ind w:right="-29"/>
              <w:jc w:val="center"/>
              <w:rPr>
                <w:noProof/>
                <w:sz w:val="18"/>
                <w:szCs w:val="18"/>
              </w:rPr>
            </w:pPr>
          </w:p>
        </w:tc>
        <w:tc>
          <w:tcPr>
            <w:tcW w:w="425" w:type="dxa"/>
            <w:tcBorders>
              <w:right w:val="dashSmallGap" w:sz="4" w:space="0" w:color="auto"/>
            </w:tcBorders>
          </w:tcPr>
          <w:p w:rsidR="00927BC9" w:rsidRDefault="00927BC9">
            <w:pPr>
              <w:ind w:right="-29"/>
              <w:jc w:val="center"/>
              <w:rPr>
                <w:noProof/>
                <w:sz w:val="18"/>
                <w:szCs w:val="18"/>
              </w:rPr>
            </w:pPr>
          </w:p>
        </w:tc>
        <w:tc>
          <w:tcPr>
            <w:tcW w:w="850" w:type="dxa"/>
            <w:tcBorders>
              <w:left w:val="dashSmallGap" w:sz="4" w:space="0" w:color="auto"/>
            </w:tcBorders>
          </w:tcPr>
          <w:p w:rsidR="00927BC9" w:rsidRDefault="00927BC9">
            <w:pPr>
              <w:ind w:right="-29"/>
              <w:jc w:val="center"/>
              <w:rPr>
                <w:noProof/>
                <w:sz w:val="18"/>
                <w:szCs w:val="18"/>
              </w:rPr>
            </w:pPr>
          </w:p>
        </w:tc>
        <w:tc>
          <w:tcPr>
            <w:tcW w:w="567" w:type="dxa"/>
            <w:tcBorders>
              <w:right w:val="dashSmallGap" w:sz="4" w:space="0" w:color="auto"/>
            </w:tcBorders>
          </w:tcPr>
          <w:p w:rsidR="00927BC9" w:rsidRDefault="00927BC9">
            <w:pPr>
              <w:ind w:right="-29"/>
              <w:jc w:val="center"/>
              <w:rPr>
                <w:noProof/>
                <w:sz w:val="18"/>
                <w:szCs w:val="18"/>
              </w:rPr>
            </w:pPr>
          </w:p>
        </w:tc>
        <w:tc>
          <w:tcPr>
            <w:tcW w:w="709" w:type="dxa"/>
            <w:tcBorders>
              <w:left w:val="dashSmallGap" w:sz="4" w:space="0" w:color="auto"/>
            </w:tcBorders>
          </w:tcPr>
          <w:p w:rsidR="00927BC9" w:rsidRDefault="00927BC9">
            <w:pPr>
              <w:ind w:right="-29"/>
              <w:jc w:val="center"/>
              <w:rPr>
                <w:noProof/>
                <w:sz w:val="18"/>
                <w:szCs w:val="18"/>
              </w:rPr>
            </w:pPr>
          </w:p>
        </w:tc>
        <w:tc>
          <w:tcPr>
            <w:tcW w:w="956" w:type="dxa"/>
          </w:tcPr>
          <w:p w:rsidR="00927BC9" w:rsidRDefault="00927BC9">
            <w:pPr>
              <w:ind w:right="-29"/>
              <w:jc w:val="center"/>
              <w:rPr>
                <w:noProof/>
                <w:sz w:val="18"/>
                <w:szCs w:val="18"/>
              </w:rPr>
            </w:pPr>
          </w:p>
        </w:tc>
        <w:tc>
          <w:tcPr>
            <w:tcW w:w="900" w:type="dxa"/>
          </w:tcPr>
          <w:p w:rsidR="00927BC9" w:rsidRDefault="00927BC9">
            <w:pPr>
              <w:ind w:right="-29"/>
              <w:jc w:val="center"/>
              <w:rPr>
                <w:noProof/>
                <w:sz w:val="18"/>
                <w:szCs w:val="18"/>
              </w:rPr>
            </w:pPr>
          </w:p>
        </w:tc>
      </w:tr>
      <w:tr w:rsidR="00927BC9">
        <w:trPr>
          <w:trHeight w:hRule="exact" w:val="369"/>
          <w:jc w:val="center"/>
        </w:trPr>
        <w:tc>
          <w:tcPr>
            <w:tcW w:w="1418" w:type="dxa"/>
          </w:tcPr>
          <w:p w:rsidR="00927BC9" w:rsidRDefault="000664B9">
            <w:pPr>
              <w:ind w:right="-29"/>
              <w:jc w:val="center"/>
              <w:rPr>
                <w:noProof/>
                <w:sz w:val="18"/>
                <w:szCs w:val="18"/>
              </w:rPr>
            </w:pPr>
            <w:r>
              <w:rPr>
                <w:noProof/>
                <w:sz w:val="18"/>
              </w:rPr>
              <w:t>‒</w:t>
            </w:r>
            <w:r>
              <w:rPr>
                <w:noProof/>
                <w:sz w:val="18"/>
              </w:rPr>
              <w:t xml:space="preserve"> Výstup</w:t>
            </w:r>
          </w:p>
        </w:tc>
        <w:tc>
          <w:tcPr>
            <w:tcW w:w="709" w:type="dxa"/>
          </w:tcPr>
          <w:p w:rsidR="00927BC9" w:rsidRDefault="00927BC9">
            <w:pPr>
              <w:ind w:right="-29"/>
              <w:jc w:val="center"/>
              <w:rPr>
                <w:noProof/>
                <w:sz w:val="18"/>
                <w:szCs w:val="18"/>
              </w:rPr>
            </w:pPr>
          </w:p>
        </w:tc>
        <w:tc>
          <w:tcPr>
            <w:tcW w:w="915" w:type="dxa"/>
          </w:tcPr>
          <w:p w:rsidR="00927BC9" w:rsidRDefault="00927BC9">
            <w:pPr>
              <w:ind w:right="-29"/>
              <w:jc w:val="center"/>
              <w:rPr>
                <w:noProof/>
                <w:sz w:val="18"/>
                <w:szCs w:val="18"/>
              </w:rPr>
            </w:pPr>
          </w:p>
        </w:tc>
        <w:tc>
          <w:tcPr>
            <w:tcW w:w="403" w:type="dxa"/>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426"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gridSpan w:val="2"/>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567" w:type="dxa"/>
          </w:tcPr>
          <w:p w:rsidR="00927BC9" w:rsidRDefault="00927BC9">
            <w:pPr>
              <w:ind w:right="-29"/>
              <w:jc w:val="center"/>
              <w:rPr>
                <w:noProof/>
                <w:sz w:val="18"/>
                <w:szCs w:val="18"/>
              </w:rPr>
            </w:pPr>
          </w:p>
        </w:tc>
        <w:tc>
          <w:tcPr>
            <w:tcW w:w="709" w:type="dxa"/>
          </w:tcPr>
          <w:p w:rsidR="00927BC9" w:rsidRDefault="00927BC9">
            <w:pPr>
              <w:ind w:right="-29"/>
              <w:jc w:val="center"/>
              <w:rPr>
                <w:noProof/>
                <w:sz w:val="18"/>
                <w:szCs w:val="18"/>
              </w:rPr>
            </w:pPr>
          </w:p>
        </w:tc>
        <w:tc>
          <w:tcPr>
            <w:tcW w:w="956" w:type="dxa"/>
          </w:tcPr>
          <w:p w:rsidR="00927BC9" w:rsidRDefault="00927BC9">
            <w:pPr>
              <w:ind w:right="-29"/>
              <w:jc w:val="center"/>
              <w:rPr>
                <w:noProof/>
                <w:sz w:val="18"/>
                <w:szCs w:val="18"/>
              </w:rPr>
            </w:pPr>
          </w:p>
        </w:tc>
        <w:tc>
          <w:tcPr>
            <w:tcW w:w="900" w:type="dxa"/>
          </w:tcPr>
          <w:p w:rsidR="00927BC9" w:rsidRDefault="00927BC9">
            <w:pPr>
              <w:ind w:right="-29"/>
              <w:jc w:val="center"/>
              <w:rPr>
                <w:noProof/>
                <w:sz w:val="18"/>
                <w:szCs w:val="18"/>
              </w:rPr>
            </w:pPr>
          </w:p>
        </w:tc>
      </w:tr>
      <w:tr w:rsidR="00927BC9">
        <w:trPr>
          <w:trHeight w:val="77"/>
          <w:jc w:val="center"/>
        </w:trPr>
        <w:tc>
          <w:tcPr>
            <w:tcW w:w="3042" w:type="dxa"/>
            <w:gridSpan w:val="3"/>
            <w:tcBorders>
              <w:bottom w:val="single" w:sz="12" w:space="0" w:color="auto"/>
            </w:tcBorders>
            <w:vAlign w:val="center"/>
          </w:tcPr>
          <w:p w:rsidR="00927BC9" w:rsidRDefault="000664B9">
            <w:pPr>
              <w:ind w:right="-29"/>
              <w:jc w:val="center"/>
              <w:rPr>
                <w:noProof/>
                <w:sz w:val="18"/>
                <w:szCs w:val="18"/>
              </w:rPr>
            </w:pPr>
            <w:r>
              <w:rPr>
                <w:noProof/>
                <w:sz w:val="18"/>
              </w:rPr>
              <w:t>Špecifický cieľ č. 1 medzisúčet</w:t>
            </w:r>
          </w:p>
        </w:tc>
        <w:tc>
          <w:tcPr>
            <w:tcW w:w="403" w:type="dxa"/>
            <w:tcBorders>
              <w:bottom w:val="single" w:sz="12" w:space="0" w:color="auto"/>
            </w:tcBorders>
          </w:tcPr>
          <w:p w:rsidR="00927BC9" w:rsidRDefault="00927BC9">
            <w:pPr>
              <w:ind w:right="-29"/>
              <w:jc w:val="center"/>
              <w:rPr>
                <w:noProof/>
                <w:sz w:val="18"/>
                <w:szCs w:val="18"/>
              </w:rPr>
            </w:pPr>
          </w:p>
        </w:tc>
        <w:tc>
          <w:tcPr>
            <w:tcW w:w="851"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426"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51" w:type="dxa"/>
            <w:tcBorders>
              <w:bottom w:val="single" w:sz="12" w:space="0" w:color="auto"/>
            </w:tcBorders>
          </w:tcPr>
          <w:p w:rsidR="00927BC9" w:rsidRDefault="00927BC9">
            <w:pPr>
              <w:ind w:right="-29"/>
              <w:jc w:val="center"/>
              <w:rPr>
                <w:noProof/>
                <w:sz w:val="18"/>
                <w:szCs w:val="18"/>
              </w:rPr>
            </w:pPr>
          </w:p>
        </w:tc>
        <w:tc>
          <w:tcPr>
            <w:tcW w:w="425" w:type="dxa"/>
            <w:gridSpan w:val="2"/>
            <w:tcBorders>
              <w:bottom w:val="single" w:sz="12" w:space="0" w:color="auto"/>
            </w:tcBorders>
          </w:tcPr>
          <w:p w:rsidR="00927BC9" w:rsidRDefault="00927BC9">
            <w:pPr>
              <w:ind w:right="-29"/>
              <w:jc w:val="center"/>
              <w:rPr>
                <w:noProof/>
                <w:sz w:val="18"/>
                <w:szCs w:val="18"/>
              </w:rPr>
            </w:pPr>
          </w:p>
        </w:tc>
        <w:tc>
          <w:tcPr>
            <w:tcW w:w="851"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567" w:type="dxa"/>
            <w:tcBorders>
              <w:bottom w:val="single" w:sz="12" w:space="0" w:color="auto"/>
            </w:tcBorders>
          </w:tcPr>
          <w:p w:rsidR="00927BC9" w:rsidRDefault="00927BC9">
            <w:pPr>
              <w:ind w:right="-29"/>
              <w:jc w:val="center"/>
              <w:rPr>
                <w:noProof/>
                <w:sz w:val="18"/>
                <w:szCs w:val="18"/>
              </w:rPr>
            </w:pPr>
          </w:p>
        </w:tc>
        <w:tc>
          <w:tcPr>
            <w:tcW w:w="709" w:type="dxa"/>
            <w:tcBorders>
              <w:bottom w:val="single" w:sz="12" w:space="0" w:color="auto"/>
            </w:tcBorders>
          </w:tcPr>
          <w:p w:rsidR="00927BC9" w:rsidRDefault="00927BC9">
            <w:pPr>
              <w:ind w:right="-29"/>
              <w:jc w:val="center"/>
              <w:rPr>
                <w:noProof/>
                <w:sz w:val="18"/>
                <w:szCs w:val="18"/>
              </w:rPr>
            </w:pPr>
          </w:p>
        </w:tc>
        <w:tc>
          <w:tcPr>
            <w:tcW w:w="956" w:type="dxa"/>
            <w:tcBorders>
              <w:bottom w:val="single" w:sz="12" w:space="0" w:color="auto"/>
            </w:tcBorders>
          </w:tcPr>
          <w:p w:rsidR="00927BC9" w:rsidRDefault="00927BC9">
            <w:pPr>
              <w:ind w:right="-29"/>
              <w:jc w:val="center"/>
              <w:rPr>
                <w:noProof/>
                <w:sz w:val="18"/>
                <w:szCs w:val="18"/>
              </w:rPr>
            </w:pPr>
          </w:p>
        </w:tc>
        <w:tc>
          <w:tcPr>
            <w:tcW w:w="900" w:type="dxa"/>
            <w:tcBorders>
              <w:bottom w:val="single" w:sz="12" w:space="0" w:color="auto"/>
            </w:tcBorders>
          </w:tcPr>
          <w:p w:rsidR="00927BC9" w:rsidRDefault="00927BC9">
            <w:pPr>
              <w:ind w:right="-29"/>
              <w:jc w:val="center"/>
              <w:rPr>
                <w:noProof/>
                <w:sz w:val="18"/>
                <w:szCs w:val="18"/>
              </w:rPr>
            </w:pPr>
          </w:p>
        </w:tc>
      </w:tr>
      <w:tr w:rsidR="00927BC9">
        <w:trPr>
          <w:jc w:val="center"/>
        </w:trPr>
        <w:tc>
          <w:tcPr>
            <w:tcW w:w="3042" w:type="dxa"/>
            <w:gridSpan w:val="3"/>
            <w:vAlign w:val="center"/>
          </w:tcPr>
          <w:p w:rsidR="00927BC9" w:rsidRDefault="000664B9">
            <w:pPr>
              <w:spacing w:before="60" w:after="60"/>
              <w:ind w:right="-29"/>
              <w:jc w:val="center"/>
              <w:rPr>
                <w:noProof/>
                <w:sz w:val="18"/>
                <w:szCs w:val="18"/>
              </w:rPr>
            </w:pPr>
            <w:r>
              <w:rPr>
                <w:noProof/>
                <w:sz w:val="18"/>
              </w:rPr>
              <w:t>ŠPECIFICKÝ CIEĽ č. 2…</w:t>
            </w:r>
          </w:p>
        </w:tc>
        <w:tc>
          <w:tcPr>
            <w:tcW w:w="403" w:type="dxa"/>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426"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gridSpan w:val="2"/>
            <w:tcBorders>
              <w:top w:val="nil"/>
              <w:left w:val="nil"/>
              <w:bottom w:val="nil"/>
              <w:right w:val="nil"/>
            </w:tcBorders>
          </w:tcPr>
          <w:p w:rsidR="00927BC9" w:rsidRDefault="00927BC9">
            <w:pPr>
              <w:spacing w:before="60" w:after="60"/>
              <w:ind w:right="-29"/>
              <w:jc w:val="center"/>
              <w:rPr>
                <w:noProof/>
                <w:sz w:val="18"/>
                <w:szCs w:val="18"/>
              </w:rPr>
            </w:pPr>
          </w:p>
        </w:tc>
        <w:tc>
          <w:tcPr>
            <w:tcW w:w="851" w:type="dxa"/>
            <w:tcBorders>
              <w:top w:val="nil"/>
              <w:left w:val="nil"/>
              <w:bottom w:val="nil"/>
              <w:right w:val="nil"/>
            </w:tcBorders>
          </w:tcPr>
          <w:p w:rsidR="00927BC9" w:rsidRDefault="00927BC9">
            <w:pPr>
              <w:spacing w:before="60" w:after="60"/>
              <w:ind w:right="-29"/>
              <w:jc w:val="center"/>
              <w:rPr>
                <w:noProof/>
                <w:sz w:val="18"/>
                <w:szCs w:val="18"/>
              </w:rPr>
            </w:pPr>
          </w:p>
        </w:tc>
        <w:tc>
          <w:tcPr>
            <w:tcW w:w="425" w:type="dxa"/>
            <w:tcBorders>
              <w:top w:val="nil"/>
              <w:left w:val="nil"/>
              <w:bottom w:val="nil"/>
              <w:right w:val="nil"/>
            </w:tcBorders>
          </w:tcPr>
          <w:p w:rsidR="00927BC9" w:rsidRDefault="00927BC9">
            <w:pPr>
              <w:spacing w:before="60" w:after="60"/>
              <w:ind w:right="-29"/>
              <w:jc w:val="center"/>
              <w:rPr>
                <w:noProof/>
                <w:sz w:val="18"/>
                <w:szCs w:val="18"/>
              </w:rPr>
            </w:pPr>
          </w:p>
        </w:tc>
        <w:tc>
          <w:tcPr>
            <w:tcW w:w="850" w:type="dxa"/>
            <w:tcBorders>
              <w:top w:val="nil"/>
              <w:left w:val="nil"/>
              <w:bottom w:val="nil"/>
              <w:right w:val="nil"/>
            </w:tcBorders>
          </w:tcPr>
          <w:p w:rsidR="00927BC9" w:rsidRDefault="00927BC9">
            <w:pPr>
              <w:spacing w:before="60" w:after="60"/>
              <w:ind w:right="-29"/>
              <w:jc w:val="center"/>
              <w:rPr>
                <w:noProof/>
                <w:sz w:val="18"/>
                <w:szCs w:val="18"/>
              </w:rPr>
            </w:pPr>
          </w:p>
        </w:tc>
        <w:tc>
          <w:tcPr>
            <w:tcW w:w="567" w:type="dxa"/>
            <w:tcBorders>
              <w:top w:val="nil"/>
              <w:left w:val="nil"/>
              <w:bottom w:val="nil"/>
              <w:right w:val="nil"/>
            </w:tcBorders>
          </w:tcPr>
          <w:p w:rsidR="00927BC9" w:rsidRDefault="00927BC9">
            <w:pPr>
              <w:spacing w:before="60" w:after="60"/>
              <w:ind w:right="-29"/>
              <w:jc w:val="center"/>
              <w:rPr>
                <w:noProof/>
                <w:sz w:val="18"/>
                <w:szCs w:val="18"/>
              </w:rPr>
            </w:pPr>
          </w:p>
        </w:tc>
        <w:tc>
          <w:tcPr>
            <w:tcW w:w="709" w:type="dxa"/>
            <w:tcBorders>
              <w:top w:val="nil"/>
              <w:left w:val="nil"/>
              <w:bottom w:val="nil"/>
              <w:right w:val="nil"/>
            </w:tcBorders>
          </w:tcPr>
          <w:p w:rsidR="00927BC9" w:rsidRDefault="00927BC9">
            <w:pPr>
              <w:spacing w:before="60" w:after="60"/>
              <w:ind w:right="-29"/>
              <w:jc w:val="center"/>
              <w:rPr>
                <w:noProof/>
                <w:sz w:val="18"/>
                <w:szCs w:val="18"/>
              </w:rPr>
            </w:pPr>
          </w:p>
        </w:tc>
        <w:tc>
          <w:tcPr>
            <w:tcW w:w="956" w:type="dxa"/>
            <w:tcBorders>
              <w:top w:val="nil"/>
              <w:left w:val="nil"/>
              <w:bottom w:val="nil"/>
              <w:right w:val="nil"/>
            </w:tcBorders>
          </w:tcPr>
          <w:p w:rsidR="00927BC9" w:rsidRDefault="00927BC9">
            <w:pPr>
              <w:spacing w:before="60" w:after="60"/>
              <w:ind w:right="-29"/>
              <w:jc w:val="center"/>
              <w:rPr>
                <w:noProof/>
                <w:sz w:val="18"/>
                <w:szCs w:val="18"/>
              </w:rPr>
            </w:pPr>
          </w:p>
        </w:tc>
        <w:tc>
          <w:tcPr>
            <w:tcW w:w="900" w:type="dxa"/>
            <w:tcBorders>
              <w:top w:val="nil"/>
              <w:left w:val="nil"/>
              <w:bottom w:val="nil"/>
              <w:right w:val="nil"/>
            </w:tcBorders>
          </w:tcPr>
          <w:p w:rsidR="00927BC9" w:rsidRDefault="00927BC9">
            <w:pPr>
              <w:spacing w:before="60" w:after="60"/>
              <w:ind w:right="-29"/>
              <w:jc w:val="center"/>
              <w:rPr>
                <w:noProof/>
                <w:sz w:val="18"/>
                <w:szCs w:val="18"/>
              </w:rPr>
            </w:pPr>
          </w:p>
        </w:tc>
      </w:tr>
      <w:tr w:rsidR="00927BC9">
        <w:trPr>
          <w:trHeight w:hRule="exact" w:val="369"/>
          <w:jc w:val="center"/>
        </w:trPr>
        <w:tc>
          <w:tcPr>
            <w:tcW w:w="1418" w:type="dxa"/>
          </w:tcPr>
          <w:p w:rsidR="00927BC9" w:rsidRDefault="000664B9">
            <w:pPr>
              <w:ind w:right="-29"/>
              <w:jc w:val="center"/>
              <w:rPr>
                <w:noProof/>
                <w:sz w:val="18"/>
                <w:szCs w:val="18"/>
              </w:rPr>
            </w:pPr>
            <w:r>
              <w:rPr>
                <w:noProof/>
                <w:sz w:val="18"/>
              </w:rPr>
              <w:t>‒</w:t>
            </w:r>
            <w:r>
              <w:rPr>
                <w:noProof/>
                <w:sz w:val="18"/>
              </w:rPr>
              <w:t xml:space="preserve"> Výstup</w:t>
            </w:r>
          </w:p>
        </w:tc>
        <w:tc>
          <w:tcPr>
            <w:tcW w:w="709" w:type="dxa"/>
          </w:tcPr>
          <w:p w:rsidR="00927BC9" w:rsidRDefault="00927BC9">
            <w:pPr>
              <w:ind w:right="-29"/>
              <w:jc w:val="center"/>
              <w:rPr>
                <w:noProof/>
                <w:sz w:val="18"/>
                <w:szCs w:val="18"/>
              </w:rPr>
            </w:pPr>
          </w:p>
        </w:tc>
        <w:tc>
          <w:tcPr>
            <w:tcW w:w="915" w:type="dxa"/>
          </w:tcPr>
          <w:p w:rsidR="00927BC9" w:rsidRDefault="00927BC9">
            <w:pPr>
              <w:ind w:right="-29"/>
              <w:jc w:val="center"/>
              <w:rPr>
                <w:noProof/>
                <w:sz w:val="18"/>
                <w:szCs w:val="18"/>
              </w:rPr>
            </w:pPr>
          </w:p>
        </w:tc>
        <w:tc>
          <w:tcPr>
            <w:tcW w:w="403" w:type="dxa"/>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426"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gridSpan w:val="2"/>
          </w:tcPr>
          <w:p w:rsidR="00927BC9" w:rsidRDefault="00927BC9">
            <w:pPr>
              <w:ind w:right="-29"/>
              <w:jc w:val="center"/>
              <w:rPr>
                <w:noProof/>
                <w:sz w:val="18"/>
                <w:szCs w:val="18"/>
              </w:rPr>
            </w:pPr>
          </w:p>
        </w:tc>
        <w:tc>
          <w:tcPr>
            <w:tcW w:w="851" w:type="dxa"/>
          </w:tcPr>
          <w:p w:rsidR="00927BC9" w:rsidRDefault="00927BC9">
            <w:pPr>
              <w:ind w:right="-29"/>
              <w:jc w:val="center"/>
              <w:rPr>
                <w:noProof/>
                <w:sz w:val="18"/>
                <w:szCs w:val="18"/>
              </w:rPr>
            </w:pPr>
          </w:p>
        </w:tc>
        <w:tc>
          <w:tcPr>
            <w:tcW w:w="425" w:type="dxa"/>
          </w:tcPr>
          <w:p w:rsidR="00927BC9" w:rsidRDefault="00927BC9">
            <w:pPr>
              <w:ind w:right="-29"/>
              <w:jc w:val="center"/>
              <w:rPr>
                <w:noProof/>
                <w:sz w:val="18"/>
                <w:szCs w:val="18"/>
              </w:rPr>
            </w:pPr>
          </w:p>
        </w:tc>
        <w:tc>
          <w:tcPr>
            <w:tcW w:w="850" w:type="dxa"/>
          </w:tcPr>
          <w:p w:rsidR="00927BC9" w:rsidRDefault="00927BC9">
            <w:pPr>
              <w:ind w:right="-29"/>
              <w:jc w:val="center"/>
              <w:rPr>
                <w:noProof/>
                <w:sz w:val="18"/>
                <w:szCs w:val="18"/>
              </w:rPr>
            </w:pPr>
          </w:p>
        </w:tc>
        <w:tc>
          <w:tcPr>
            <w:tcW w:w="567" w:type="dxa"/>
          </w:tcPr>
          <w:p w:rsidR="00927BC9" w:rsidRDefault="00927BC9">
            <w:pPr>
              <w:ind w:right="-29"/>
              <w:jc w:val="center"/>
              <w:rPr>
                <w:noProof/>
                <w:sz w:val="18"/>
                <w:szCs w:val="18"/>
              </w:rPr>
            </w:pPr>
          </w:p>
        </w:tc>
        <w:tc>
          <w:tcPr>
            <w:tcW w:w="709" w:type="dxa"/>
          </w:tcPr>
          <w:p w:rsidR="00927BC9" w:rsidRDefault="00927BC9">
            <w:pPr>
              <w:ind w:right="-29"/>
              <w:jc w:val="center"/>
              <w:rPr>
                <w:noProof/>
                <w:sz w:val="18"/>
                <w:szCs w:val="18"/>
              </w:rPr>
            </w:pPr>
          </w:p>
        </w:tc>
        <w:tc>
          <w:tcPr>
            <w:tcW w:w="956" w:type="dxa"/>
          </w:tcPr>
          <w:p w:rsidR="00927BC9" w:rsidRDefault="00927BC9">
            <w:pPr>
              <w:ind w:right="-29"/>
              <w:jc w:val="center"/>
              <w:rPr>
                <w:noProof/>
                <w:sz w:val="18"/>
                <w:szCs w:val="18"/>
              </w:rPr>
            </w:pPr>
          </w:p>
        </w:tc>
        <w:tc>
          <w:tcPr>
            <w:tcW w:w="900" w:type="dxa"/>
          </w:tcPr>
          <w:p w:rsidR="00927BC9" w:rsidRDefault="00927BC9">
            <w:pPr>
              <w:ind w:right="-29"/>
              <w:jc w:val="center"/>
              <w:rPr>
                <w:noProof/>
                <w:sz w:val="18"/>
                <w:szCs w:val="18"/>
              </w:rPr>
            </w:pPr>
          </w:p>
        </w:tc>
      </w:tr>
      <w:tr w:rsidR="00927BC9">
        <w:trPr>
          <w:jc w:val="center"/>
        </w:trPr>
        <w:tc>
          <w:tcPr>
            <w:tcW w:w="3042" w:type="dxa"/>
            <w:gridSpan w:val="3"/>
            <w:tcBorders>
              <w:bottom w:val="single" w:sz="12" w:space="0" w:color="auto"/>
            </w:tcBorders>
            <w:vAlign w:val="center"/>
          </w:tcPr>
          <w:p w:rsidR="00927BC9" w:rsidRDefault="000664B9">
            <w:pPr>
              <w:jc w:val="center"/>
              <w:rPr>
                <w:noProof/>
                <w:sz w:val="18"/>
                <w:szCs w:val="18"/>
              </w:rPr>
            </w:pPr>
            <w:r>
              <w:rPr>
                <w:noProof/>
                <w:sz w:val="18"/>
              </w:rPr>
              <w:t>Špecifický cieľ č. 2 medzisúčet</w:t>
            </w:r>
          </w:p>
        </w:tc>
        <w:tc>
          <w:tcPr>
            <w:tcW w:w="403" w:type="dxa"/>
            <w:tcBorders>
              <w:bottom w:val="single" w:sz="12" w:space="0" w:color="auto"/>
            </w:tcBorders>
          </w:tcPr>
          <w:p w:rsidR="00927BC9" w:rsidRDefault="00927BC9">
            <w:pPr>
              <w:ind w:right="-29"/>
              <w:jc w:val="center"/>
              <w:rPr>
                <w:noProof/>
                <w:sz w:val="18"/>
                <w:szCs w:val="18"/>
              </w:rPr>
            </w:pPr>
          </w:p>
        </w:tc>
        <w:tc>
          <w:tcPr>
            <w:tcW w:w="851"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426"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81" w:type="dxa"/>
            <w:gridSpan w:val="2"/>
            <w:tcBorders>
              <w:bottom w:val="single" w:sz="12" w:space="0" w:color="auto"/>
            </w:tcBorders>
          </w:tcPr>
          <w:p w:rsidR="00927BC9" w:rsidRDefault="00927BC9">
            <w:pPr>
              <w:ind w:right="-29"/>
              <w:jc w:val="center"/>
              <w:rPr>
                <w:noProof/>
                <w:sz w:val="18"/>
                <w:szCs w:val="18"/>
              </w:rPr>
            </w:pPr>
          </w:p>
        </w:tc>
        <w:tc>
          <w:tcPr>
            <w:tcW w:w="395" w:type="dxa"/>
            <w:tcBorders>
              <w:bottom w:val="single" w:sz="12" w:space="0" w:color="auto"/>
            </w:tcBorders>
          </w:tcPr>
          <w:p w:rsidR="00927BC9" w:rsidRDefault="00927BC9">
            <w:pPr>
              <w:ind w:right="-29"/>
              <w:jc w:val="center"/>
              <w:rPr>
                <w:noProof/>
                <w:sz w:val="18"/>
                <w:szCs w:val="18"/>
              </w:rPr>
            </w:pPr>
          </w:p>
        </w:tc>
        <w:tc>
          <w:tcPr>
            <w:tcW w:w="851" w:type="dxa"/>
            <w:tcBorders>
              <w:bottom w:val="single" w:sz="12" w:space="0" w:color="auto"/>
            </w:tcBorders>
          </w:tcPr>
          <w:p w:rsidR="00927BC9" w:rsidRDefault="00927BC9">
            <w:pPr>
              <w:ind w:right="-29"/>
              <w:jc w:val="center"/>
              <w:rPr>
                <w:noProof/>
                <w:sz w:val="18"/>
                <w:szCs w:val="18"/>
              </w:rPr>
            </w:pPr>
          </w:p>
        </w:tc>
        <w:tc>
          <w:tcPr>
            <w:tcW w:w="425" w:type="dxa"/>
            <w:tcBorders>
              <w:bottom w:val="single" w:sz="12" w:space="0" w:color="auto"/>
            </w:tcBorders>
          </w:tcPr>
          <w:p w:rsidR="00927BC9" w:rsidRDefault="00927BC9">
            <w:pPr>
              <w:ind w:right="-29"/>
              <w:jc w:val="center"/>
              <w:rPr>
                <w:noProof/>
                <w:sz w:val="18"/>
                <w:szCs w:val="18"/>
              </w:rPr>
            </w:pPr>
          </w:p>
        </w:tc>
        <w:tc>
          <w:tcPr>
            <w:tcW w:w="850" w:type="dxa"/>
            <w:tcBorders>
              <w:bottom w:val="single" w:sz="12" w:space="0" w:color="auto"/>
            </w:tcBorders>
          </w:tcPr>
          <w:p w:rsidR="00927BC9" w:rsidRDefault="00927BC9">
            <w:pPr>
              <w:ind w:right="-29"/>
              <w:jc w:val="center"/>
              <w:rPr>
                <w:noProof/>
                <w:sz w:val="18"/>
                <w:szCs w:val="18"/>
              </w:rPr>
            </w:pPr>
          </w:p>
        </w:tc>
        <w:tc>
          <w:tcPr>
            <w:tcW w:w="567" w:type="dxa"/>
            <w:tcBorders>
              <w:bottom w:val="single" w:sz="12" w:space="0" w:color="auto"/>
            </w:tcBorders>
          </w:tcPr>
          <w:p w:rsidR="00927BC9" w:rsidRDefault="00927BC9">
            <w:pPr>
              <w:ind w:right="-29"/>
              <w:jc w:val="center"/>
              <w:rPr>
                <w:noProof/>
                <w:sz w:val="18"/>
                <w:szCs w:val="18"/>
              </w:rPr>
            </w:pPr>
          </w:p>
        </w:tc>
        <w:tc>
          <w:tcPr>
            <w:tcW w:w="709" w:type="dxa"/>
            <w:tcBorders>
              <w:bottom w:val="single" w:sz="12" w:space="0" w:color="auto"/>
            </w:tcBorders>
          </w:tcPr>
          <w:p w:rsidR="00927BC9" w:rsidRDefault="00927BC9">
            <w:pPr>
              <w:ind w:right="-29"/>
              <w:jc w:val="center"/>
              <w:rPr>
                <w:noProof/>
                <w:sz w:val="18"/>
                <w:szCs w:val="18"/>
              </w:rPr>
            </w:pPr>
          </w:p>
        </w:tc>
        <w:tc>
          <w:tcPr>
            <w:tcW w:w="956" w:type="dxa"/>
            <w:tcBorders>
              <w:bottom w:val="single" w:sz="12" w:space="0" w:color="auto"/>
            </w:tcBorders>
          </w:tcPr>
          <w:p w:rsidR="00927BC9" w:rsidRDefault="00927BC9">
            <w:pPr>
              <w:ind w:right="-29"/>
              <w:jc w:val="center"/>
              <w:rPr>
                <w:noProof/>
                <w:sz w:val="18"/>
                <w:szCs w:val="18"/>
              </w:rPr>
            </w:pPr>
          </w:p>
        </w:tc>
        <w:tc>
          <w:tcPr>
            <w:tcW w:w="900" w:type="dxa"/>
            <w:tcBorders>
              <w:bottom w:val="single" w:sz="12" w:space="0" w:color="auto"/>
            </w:tcBorders>
          </w:tcPr>
          <w:p w:rsidR="00927BC9" w:rsidRDefault="00927BC9">
            <w:pPr>
              <w:ind w:right="-29"/>
              <w:jc w:val="center"/>
              <w:rPr>
                <w:noProof/>
                <w:sz w:val="18"/>
                <w:szCs w:val="18"/>
              </w:rPr>
            </w:pPr>
          </w:p>
        </w:tc>
      </w:tr>
      <w:tr w:rsidR="00927BC9">
        <w:trPr>
          <w:jc w:val="center"/>
        </w:trPr>
        <w:tc>
          <w:tcPr>
            <w:tcW w:w="3042" w:type="dxa"/>
            <w:gridSpan w:val="3"/>
            <w:tcBorders>
              <w:top w:val="single" w:sz="12" w:space="0" w:color="auto"/>
              <w:left w:val="single" w:sz="12" w:space="0" w:color="auto"/>
              <w:bottom w:val="single" w:sz="12" w:space="0" w:color="auto"/>
            </w:tcBorders>
            <w:vAlign w:val="center"/>
          </w:tcPr>
          <w:p w:rsidR="00927BC9" w:rsidRDefault="000664B9">
            <w:pPr>
              <w:ind w:right="-29"/>
              <w:jc w:val="center"/>
              <w:rPr>
                <w:noProof/>
                <w:sz w:val="18"/>
                <w:szCs w:val="18"/>
              </w:rPr>
            </w:pPr>
            <w:r>
              <w:rPr>
                <w:b/>
                <w:noProof/>
                <w:sz w:val="18"/>
              </w:rPr>
              <w:t>SPOLU</w:t>
            </w:r>
          </w:p>
        </w:tc>
        <w:tc>
          <w:tcPr>
            <w:tcW w:w="403"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1"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425"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0"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426"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0"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425"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1"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425" w:type="dxa"/>
            <w:gridSpan w:val="2"/>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1"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425"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850"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567"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709"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956" w:type="dxa"/>
            <w:tcBorders>
              <w:top w:val="single" w:sz="12" w:space="0" w:color="auto"/>
              <w:bottom w:val="single" w:sz="12" w:space="0" w:color="auto"/>
            </w:tcBorders>
          </w:tcPr>
          <w:p w:rsidR="00927BC9" w:rsidRDefault="00927BC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27BC9" w:rsidRDefault="00927BC9">
            <w:pPr>
              <w:spacing w:before="180" w:after="180"/>
              <w:ind w:right="-29"/>
              <w:jc w:val="center"/>
              <w:rPr>
                <w:noProof/>
                <w:sz w:val="18"/>
                <w:szCs w:val="18"/>
              </w:rPr>
            </w:pPr>
          </w:p>
        </w:tc>
      </w:tr>
    </w:tbl>
    <w:p w:rsidR="00927BC9" w:rsidRDefault="00927BC9">
      <w:pPr>
        <w:rPr>
          <w:noProof/>
        </w:rPr>
        <w:sectPr w:rsidR="00927BC9">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rsidR="00927BC9" w:rsidRDefault="000664B9">
      <w:pPr>
        <w:pStyle w:val="ManualHeading3"/>
        <w:rPr>
          <w:noProof/>
        </w:rPr>
      </w:pPr>
      <w:r>
        <w:rPr>
          <w:noProof/>
        </w:rPr>
        <w:t>3.2.3.</w:t>
      </w:r>
      <w:r>
        <w:rPr>
          <w:noProof/>
        </w:rPr>
        <w:tab/>
        <w:t>Zhrnutie odhadovaného vplyvu na administratívne rozpočtové prostriedky</w:t>
      </w:r>
    </w:p>
    <w:p w:rsidR="00927BC9" w:rsidRDefault="000664B9">
      <w:pPr>
        <w:pStyle w:val="ListDash1"/>
        <w:rPr>
          <w:noProof/>
        </w:rPr>
      </w:pPr>
      <w:r>
        <w:rPr>
          <w:noProof/>
        </w:rPr>
        <w:sym w:font="Wingdings" w:char="F078"/>
      </w:r>
      <w:r>
        <w:rPr>
          <w:noProof/>
        </w:rPr>
        <w:tab/>
        <w:t>Návrh/iniciatíva si nevyžaduje použitie administratívnych rozpočtových prostriedkov</w:t>
      </w:r>
    </w:p>
    <w:p w:rsidR="00927BC9" w:rsidRDefault="000664B9">
      <w:pPr>
        <w:pStyle w:val="ListDash1"/>
        <w:rPr>
          <w:noProof/>
        </w:rPr>
      </w:pPr>
      <w:r>
        <w:rPr>
          <w:noProof/>
        </w:rPr>
        <w:t xml:space="preserve">Rozpočtové prostriedky potrebné </w:t>
      </w:r>
      <w:r>
        <w:rPr>
          <w:noProof/>
        </w:rPr>
        <w:t>na ľudské zdroje a na ostatné administratívne výdavky budú pokryté rozpočtovými prostriedkami riadiaceho GR, ktoré už boli pridelené na riadenie akcie a/alebo boli prerozdelené v rámci GR, a v prípade potreby budú doplnené zdrojmi, ktoré sa môžu prideliť G</w:t>
      </w:r>
      <w:r>
        <w:rPr>
          <w:noProof/>
        </w:rPr>
        <w:t>R v rámci ročného postupu prideľovania zdrojov a v závislosti od rozpočtových obmedzení.</w:t>
      </w:r>
    </w:p>
    <w:p w:rsidR="00927BC9" w:rsidRDefault="000664B9">
      <w:pPr>
        <w:pStyle w:val="ListDash1"/>
        <w:rPr>
          <w:noProof/>
        </w:rPr>
      </w:pPr>
      <w:r>
        <w:rPr>
          <w:noProof/>
        </w:rPr>
        <w:sym w:font="Wingdings" w:char="F0A8"/>
      </w:r>
      <w:r>
        <w:rPr>
          <w:noProof/>
        </w:rPr>
        <w:tab/>
        <w:t>Návrh/iniciatíva si vyžaduje použitie administratívnych rozpočtových prostriedkov, ako je uvedené v nasledujúcej tabuľke:</w:t>
      </w:r>
    </w:p>
    <w:p w:rsidR="00927BC9" w:rsidRDefault="000664B9">
      <w:pPr>
        <w:jc w:val="right"/>
        <w:rPr>
          <w:noProof/>
          <w:sz w:val="20"/>
        </w:rPr>
      </w:pPr>
      <w:r>
        <w:rPr>
          <w:noProof/>
          <w:sz w:val="20"/>
        </w:rPr>
        <w:t>v mil. EUR (zaokrúhlené na 3 desatinné mies</w:t>
      </w:r>
      <w:r>
        <w:rPr>
          <w:noProof/>
          <w:sz w:val="20"/>
        </w:rPr>
        <w:t>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27BC9">
        <w:trPr>
          <w:trHeight w:val="585"/>
        </w:trPr>
        <w:tc>
          <w:tcPr>
            <w:tcW w:w="1980" w:type="dxa"/>
          </w:tcPr>
          <w:p w:rsidR="00927BC9" w:rsidRDefault="00927BC9">
            <w:pPr>
              <w:spacing w:before="60" w:after="60" w:line="200" w:lineRule="exact"/>
              <w:rPr>
                <w:noProof/>
                <w:sz w:val="16"/>
                <w:szCs w:val="16"/>
              </w:rPr>
            </w:pPr>
          </w:p>
        </w:tc>
        <w:tc>
          <w:tcPr>
            <w:tcW w:w="1080" w:type="dxa"/>
            <w:vAlign w:val="center"/>
          </w:tcPr>
          <w:p w:rsidR="00927BC9" w:rsidRDefault="000664B9">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22"/>
            </w:r>
          </w:p>
        </w:tc>
        <w:tc>
          <w:tcPr>
            <w:tcW w:w="1080" w:type="dxa"/>
            <w:vAlign w:val="center"/>
          </w:tcPr>
          <w:p w:rsidR="00927BC9" w:rsidRDefault="000664B9">
            <w:pPr>
              <w:spacing w:before="60" w:after="60" w:line="200" w:lineRule="exact"/>
              <w:jc w:val="center"/>
              <w:rPr>
                <w:noProof/>
                <w:sz w:val="16"/>
                <w:szCs w:val="16"/>
              </w:rPr>
            </w:pPr>
            <w:r>
              <w:rPr>
                <w:noProof/>
                <w:sz w:val="16"/>
              </w:rPr>
              <w:t>Rok</w:t>
            </w:r>
            <w:r>
              <w:rPr>
                <w:noProof/>
                <w:sz w:val="22"/>
              </w:rPr>
              <w:br/>
            </w:r>
            <w:r>
              <w:rPr>
                <w:b/>
                <w:noProof/>
                <w:sz w:val="16"/>
              </w:rPr>
              <w:t>N + 1</w:t>
            </w:r>
          </w:p>
        </w:tc>
        <w:tc>
          <w:tcPr>
            <w:tcW w:w="1080" w:type="dxa"/>
            <w:vAlign w:val="center"/>
          </w:tcPr>
          <w:p w:rsidR="00927BC9" w:rsidRDefault="000664B9">
            <w:pPr>
              <w:spacing w:before="60" w:after="60" w:line="200" w:lineRule="exact"/>
              <w:jc w:val="center"/>
              <w:rPr>
                <w:noProof/>
                <w:sz w:val="16"/>
                <w:szCs w:val="16"/>
              </w:rPr>
            </w:pPr>
            <w:r>
              <w:rPr>
                <w:noProof/>
                <w:sz w:val="16"/>
              </w:rPr>
              <w:t>Rok</w:t>
            </w:r>
            <w:r>
              <w:rPr>
                <w:noProof/>
                <w:sz w:val="22"/>
              </w:rPr>
              <w:br/>
            </w:r>
            <w:r>
              <w:rPr>
                <w:b/>
                <w:noProof/>
                <w:sz w:val="16"/>
              </w:rPr>
              <w:t>N + 2</w:t>
            </w:r>
          </w:p>
        </w:tc>
        <w:tc>
          <w:tcPr>
            <w:tcW w:w="1080" w:type="dxa"/>
            <w:vAlign w:val="center"/>
          </w:tcPr>
          <w:p w:rsidR="00927BC9" w:rsidRDefault="000664B9">
            <w:pPr>
              <w:spacing w:before="60" w:after="60" w:line="200" w:lineRule="exact"/>
              <w:jc w:val="center"/>
              <w:rPr>
                <w:noProof/>
                <w:sz w:val="16"/>
                <w:szCs w:val="16"/>
              </w:rPr>
            </w:pPr>
            <w:r>
              <w:rPr>
                <w:noProof/>
                <w:sz w:val="16"/>
              </w:rPr>
              <w:t>Rok</w:t>
            </w:r>
            <w:r>
              <w:rPr>
                <w:noProof/>
                <w:sz w:val="22"/>
              </w:rPr>
              <w:br/>
            </w:r>
            <w:r>
              <w:rPr>
                <w:b/>
                <w:noProof/>
                <w:sz w:val="16"/>
              </w:rPr>
              <w:t>N + 3</w:t>
            </w:r>
          </w:p>
        </w:tc>
        <w:tc>
          <w:tcPr>
            <w:tcW w:w="3240" w:type="dxa"/>
            <w:vAlign w:val="center"/>
          </w:tcPr>
          <w:p w:rsidR="00927BC9" w:rsidRDefault="000664B9">
            <w:pPr>
              <w:spacing w:line="200" w:lineRule="exact"/>
              <w:jc w:val="center"/>
              <w:rPr>
                <w:b/>
                <w:noProof/>
                <w:sz w:val="16"/>
                <w:szCs w:val="16"/>
              </w:rPr>
            </w:pPr>
            <w:r>
              <w:rPr>
                <w:noProof/>
                <w:sz w:val="16"/>
              </w:rPr>
              <w:t>Uveďte všetky roky, počas ktorých vplyv trvá (pozri bod 1.6)</w:t>
            </w:r>
          </w:p>
        </w:tc>
        <w:tc>
          <w:tcPr>
            <w:tcW w:w="1080" w:type="dxa"/>
            <w:vAlign w:val="center"/>
          </w:tcPr>
          <w:p w:rsidR="00927BC9" w:rsidRDefault="000664B9">
            <w:pPr>
              <w:spacing w:before="60" w:after="60" w:line="200" w:lineRule="exact"/>
              <w:jc w:val="center"/>
              <w:rPr>
                <w:b/>
                <w:noProof/>
                <w:sz w:val="16"/>
                <w:szCs w:val="16"/>
              </w:rPr>
            </w:pPr>
            <w:r>
              <w:rPr>
                <w:b/>
                <w:noProof/>
                <w:sz w:val="16"/>
              </w:rPr>
              <w:t>SPOLU</w:t>
            </w:r>
          </w:p>
        </w:tc>
      </w:tr>
    </w:tbl>
    <w:p w:rsidR="00927BC9" w:rsidRDefault="00927BC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27BC9">
        <w:trPr>
          <w:trHeight w:val="585"/>
        </w:trPr>
        <w:tc>
          <w:tcPr>
            <w:tcW w:w="1980" w:type="dxa"/>
            <w:shd w:val="clear" w:color="auto" w:fill="CCCCCC"/>
            <w:vAlign w:val="center"/>
          </w:tcPr>
          <w:p w:rsidR="00927BC9" w:rsidRDefault="000664B9">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vAlign w:val="center"/>
          </w:tcPr>
          <w:p w:rsidR="00927BC9" w:rsidRDefault="000664B9">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vAlign w:val="center"/>
          </w:tcPr>
          <w:p w:rsidR="00927BC9" w:rsidRDefault="000664B9">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shd w:val="clear" w:color="auto" w:fill="CCCCCC"/>
            <w:vAlign w:val="center"/>
          </w:tcPr>
          <w:p w:rsidR="00927BC9" w:rsidRDefault="000664B9">
            <w:pPr>
              <w:spacing w:before="60" w:after="60" w:line="200" w:lineRule="exact"/>
              <w:jc w:val="center"/>
              <w:rPr>
                <w:b/>
                <w:noProof/>
                <w:sz w:val="16"/>
                <w:szCs w:val="16"/>
              </w:rPr>
            </w:pPr>
            <w:r>
              <w:rPr>
                <w:b/>
                <w:noProof/>
                <w:sz w:val="16"/>
              </w:rPr>
              <w:t>Medzisúčet OKRUHU 5</w:t>
            </w:r>
            <w:r>
              <w:rPr>
                <w:noProof/>
                <w:sz w:val="22"/>
              </w:rPr>
              <w:br/>
            </w:r>
            <w:r>
              <w:rPr>
                <w:b/>
                <w:noProof/>
                <w:sz w:val="16"/>
              </w:rPr>
              <w:t xml:space="preserve">viacročného finančného rámca </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bl>
    <w:p w:rsidR="00927BC9" w:rsidRDefault="00927BC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27BC9">
        <w:trPr>
          <w:trHeight w:val="585"/>
        </w:trPr>
        <w:tc>
          <w:tcPr>
            <w:tcW w:w="1980" w:type="dxa"/>
            <w:shd w:val="clear" w:color="auto" w:fill="CCCCCC"/>
            <w:vAlign w:val="center"/>
          </w:tcPr>
          <w:p w:rsidR="00927BC9" w:rsidRDefault="000664B9">
            <w:pPr>
              <w:spacing w:before="60" w:after="60" w:line="200" w:lineRule="exact"/>
              <w:jc w:val="center"/>
              <w:rPr>
                <w:b/>
                <w:noProof/>
                <w:sz w:val="16"/>
              </w:rPr>
            </w:pPr>
            <w:r>
              <w:rPr>
                <w:b/>
                <w:noProof/>
                <w:sz w:val="16"/>
              </w:rPr>
              <w:t>Mimo OKRUHU 5</w:t>
            </w:r>
            <w:r>
              <w:rPr>
                <w:rStyle w:val="FootnoteReference"/>
                <w:b/>
                <w:noProof/>
                <w:sz w:val="16"/>
              </w:rPr>
              <w:footnoteReference w:id="23"/>
            </w:r>
            <w:r>
              <w:rPr>
                <w:noProof/>
                <w:sz w:val="22"/>
              </w:rPr>
              <w:br/>
            </w:r>
            <w:r>
              <w:rPr>
                <w:b/>
                <w:noProof/>
                <w:sz w:val="16"/>
              </w:rPr>
              <w:t>viacročného finančného rámca</w:t>
            </w:r>
          </w:p>
          <w:p w:rsidR="00927BC9" w:rsidRDefault="00927BC9">
            <w:pPr>
              <w:spacing w:before="0" w:after="0" w:line="200" w:lineRule="exact"/>
              <w:jc w:val="center"/>
              <w:rPr>
                <w:b/>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vAlign w:val="center"/>
          </w:tcPr>
          <w:p w:rsidR="00927BC9" w:rsidRDefault="000664B9">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vAlign w:val="center"/>
          </w:tcPr>
          <w:p w:rsidR="00927BC9" w:rsidRDefault="000664B9">
            <w:pPr>
              <w:spacing w:before="60" w:after="60" w:line="200" w:lineRule="exact"/>
              <w:ind w:left="72"/>
              <w:jc w:val="left"/>
              <w:rPr>
                <w:noProof/>
                <w:sz w:val="16"/>
                <w:szCs w:val="16"/>
              </w:rPr>
            </w:pPr>
            <w:r>
              <w:rPr>
                <w:noProof/>
                <w:sz w:val="16"/>
              </w:rPr>
              <w:t>Ostatné administratívne výdavky</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r w:rsidR="00927BC9">
        <w:trPr>
          <w:trHeight w:val="585"/>
        </w:trPr>
        <w:tc>
          <w:tcPr>
            <w:tcW w:w="1980" w:type="dxa"/>
            <w:shd w:val="clear" w:color="auto" w:fill="CCCCCC"/>
            <w:vAlign w:val="center"/>
          </w:tcPr>
          <w:p w:rsidR="00927BC9" w:rsidRDefault="000664B9">
            <w:pPr>
              <w:spacing w:before="60" w:after="60" w:line="200" w:lineRule="exact"/>
              <w:jc w:val="center"/>
              <w:rPr>
                <w:b/>
                <w:noProof/>
                <w:sz w:val="16"/>
                <w:szCs w:val="16"/>
              </w:rPr>
            </w:pPr>
            <w:r>
              <w:rPr>
                <w:b/>
                <w:noProof/>
                <w:sz w:val="16"/>
              </w:rPr>
              <w:t xml:space="preserve">Medzisúčet </w:t>
            </w:r>
            <w:r>
              <w:rPr>
                <w:noProof/>
                <w:sz w:val="22"/>
              </w:rPr>
              <w:br/>
            </w:r>
            <w:r>
              <w:rPr>
                <w:b/>
                <w:noProof/>
                <w:sz w:val="16"/>
              </w:rPr>
              <w:t>mimo OKRUHU 5</w:t>
            </w:r>
            <w:r>
              <w:rPr>
                <w:noProof/>
                <w:sz w:val="22"/>
              </w:rPr>
              <w:br/>
            </w:r>
            <w:r>
              <w:rPr>
                <w:b/>
                <w:noProof/>
                <w:sz w:val="16"/>
              </w:rPr>
              <w:t xml:space="preserve">viacročného finančného rámca </w:t>
            </w: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noProof/>
                <w:sz w:val="16"/>
                <w:szCs w:val="16"/>
              </w:rPr>
            </w:pPr>
          </w:p>
        </w:tc>
        <w:tc>
          <w:tcPr>
            <w:tcW w:w="1080" w:type="dxa"/>
            <w:vAlign w:val="center"/>
          </w:tcPr>
          <w:p w:rsidR="00927BC9" w:rsidRDefault="00927BC9">
            <w:pPr>
              <w:spacing w:before="60" w:after="60" w:line="200" w:lineRule="exact"/>
              <w:jc w:val="right"/>
              <w:rPr>
                <w:b/>
                <w:noProof/>
                <w:sz w:val="16"/>
                <w:szCs w:val="16"/>
              </w:rPr>
            </w:pPr>
          </w:p>
        </w:tc>
        <w:tc>
          <w:tcPr>
            <w:tcW w:w="1080" w:type="dxa"/>
            <w:vAlign w:val="center"/>
          </w:tcPr>
          <w:p w:rsidR="00927BC9" w:rsidRDefault="00927BC9">
            <w:pPr>
              <w:spacing w:before="60" w:after="60" w:line="200" w:lineRule="exact"/>
              <w:jc w:val="right"/>
              <w:rPr>
                <w:b/>
                <w:noProof/>
                <w:sz w:val="16"/>
                <w:szCs w:val="16"/>
              </w:rPr>
            </w:pPr>
          </w:p>
        </w:tc>
      </w:tr>
    </w:tbl>
    <w:p w:rsidR="00927BC9" w:rsidRDefault="00927BC9">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27BC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27BC9" w:rsidRDefault="000664B9">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27BC9" w:rsidRDefault="00927BC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927BC9" w:rsidRDefault="00927BC9">
            <w:pPr>
              <w:spacing w:before="60" w:after="60" w:line="200" w:lineRule="exact"/>
              <w:jc w:val="right"/>
              <w:rPr>
                <w:b/>
                <w:noProof/>
                <w:sz w:val="16"/>
                <w:szCs w:val="16"/>
              </w:rPr>
            </w:pPr>
          </w:p>
        </w:tc>
      </w:tr>
    </w:tbl>
    <w:p w:rsidR="00927BC9" w:rsidRDefault="00927BC9">
      <w:pPr>
        <w:rPr>
          <w:noProof/>
          <w:sz w:val="18"/>
        </w:rPr>
      </w:pPr>
    </w:p>
    <w:p w:rsidR="00927BC9" w:rsidRDefault="00927BC9">
      <w:pPr>
        <w:rPr>
          <w:noProof/>
          <w:sz w:val="18"/>
        </w:rPr>
        <w:sectPr w:rsidR="00927BC9">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927BC9" w:rsidRDefault="000664B9">
      <w:pPr>
        <w:pStyle w:val="ManualHeading4"/>
        <w:rPr>
          <w:noProof/>
        </w:rPr>
      </w:pPr>
      <w:r>
        <w:rPr>
          <w:noProof/>
        </w:rPr>
        <w:t>3.2.3.1.</w:t>
      </w:r>
      <w:r>
        <w:rPr>
          <w:noProof/>
        </w:rPr>
        <w:tab/>
        <w:t>Odhadované potreby ľudských zdrojov</w:t>
      </w:r>
    </w:p>
    <w:p w:rsidR="00927BC9" w:rsidRDefault="000664B9">
      <w:pPr>
        <w:pStyle w:val="ListDash1"/>
        <w:rPr>
          <w:noProof/>
        </w:rPr>
      </w:pPr>
      <w:r>
        <w:rPr>
          <w:noProof/>
        </w:rPr>
        <w:sym w:font="Wingdings" w:char="F078"/>
      </w:r>
      <w:r>
        <w:rPr>
          <w:noProof/>
        </w:rPr>
        <w:tab/>
        <w:t>Návrh/iniciatíva si nevyžaduje použitie ľudských zdrojov.</w:t>
      </w:r>
    </w:p>
    <w:p w:rsidR="00927BC9" w:rsidRDefault="000664B9">
      <w:pPr>
        <w:pStyle w:val="ListDash1"/>
        <w:rPr>
          <w:noProof/>
        </w:rPr>
      </w:pPr>
      <w:r>
        <w:rPr>
          <w:noProof/>
        </w:rPr>
        <w:t>Rozpočtové prostriedky potrebné na ľudské zdroje a na ostatné administratívne výdavky budú pokry</w:t>
      </w:r>
      <w:r>
        <w:rPr>
          <w:noProof/>
        </w:rPr>
        <w:t>té rozpočtovými prostriedkami riadiaceho GR, ktoré už boli pridelené na riadenie akcie a/alebo boli prerozdelené v rámci GR, a v prípade potreby budú doplnené zdrojmi, ktoré sa môžu prideliť GR v rámci ročného postupu prideľovania zdrojov a v závislosti od</w:t>
      </w:r>
      <w:r>
        <w:rPr>
          <w:noProof/>
        </w:rPr>
        <w:t xml:space="preserve"> rozpočtových obmedzení.</w:t>
      </w:r>
    </w:p>
    <w:p w:rsidR="00927BC9" w:rsidRDefault="000664B9">
      <w:pPr>
        <w:pStyle w:val="ListDash1"/>
        <w:rPr>
          <w:noProof/>
        </w:rPr>
      </w:pPr>
      <w:r>
        <w:rPr>
          <w:noProof/>
        </w:rPr>
        <w:sym w:font="Wingdings" w:char="F0A8"/>
      </w:r>
      <w:r>
        <w:rPr>
          <w:noProof/>
        </w:rPr>
        <w:tab/>
        <w:t>Návrh/iniciatíva si vyžaduje použitie ľudských zdrojov, ako je uvedené v nasledujúcej tabuľke:</w:t>
      </w:r>
    </w:p>
    <w:p w:rsidR="00927BC9" w:rsidRDefault="000664B9">
      <w:pPr>
        <w:spacing w:after="60"/>
        <w:jc w:val="right"/>
        <w:rPr>
          <w:i/>
          <w:noProof/>
          <w:sz w:val="20"/>
        </w:rPr>
      </w:pPr>
      <w:r>
        <w:rPr>
          <w:i/>
          <w:noProof/>
          <w:sz w:val="20"/>
        </w:rPr>
        <w:t>odhady sa vyjadrujú v jednotkách ekvivalentu plného pracovného času</w:t>
      </w:r>
    </w:p>
    <w:tbl>
      <w:tblPr>
        <w:tblW w:w="99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1986"/>
        <w:gridCol w:w="851"/>
        <w:gridCol w:w="850"/>
        <w:gridCol w:w="709"/>
        <w:gridCol w:w="709"/>
        <w:gridCol w:w="928"/>
        <w:gridCol w:w="731"/>
        <w:gridCol w:w="751"/>
      </w:tblGrid>
      <w:tr w:rsidR="00927BC9">
        <w:trPr>
          <w:gridBefore w:val="1"/>
          <w:wBefore w:w="15" w:type="dxa"/>
          <w:trHeight w:val="289"/>
          <w:jc w:val="center"/>
        </w:trPr>
        <w:tc>
          <w:tcPr>
            <w:tcW w:w="4362" w:type="dxa"/>
            <w:gridSpan w:val="2"/>
            <w:shd w:val="clear" w:color="auto" w:fill="auto"/>
          </w:tcPr>
          <w:p w:rsidR="00927BC9" w:rsidRDefault="00927BC9">
            <w:pPr>
              <w:pStyle w:val="Text1"/>
              <w:spacing w:before="40" w:after="40"/>
              <w:ind w:left="0"/>
              <w:jc w:val="center"/>
              <w:rPr>
                <w:i/>
                <w:noProof/>
                <w:sz w:val="16"/>
                <w:szCs w:val="16"/>
              </w:rPr>
            </w:pPr>
          </w:p>
        </w:tc>
        <w:tc>
          <w:tcPr>
            <w:tcW w:w="851" w:type="dxa"/>
            <w:shd w:val="clear" w:color="auto" w:fill="auto"/>
            <w:vAlign w:val="center"/>
          </w:tcPr>
          <w:p w:rsidR="00927BC9" w:rsidRDefault="000664B9">
            <w:pPr>
              <w:spacing w:before="20" w:after="20"/>
              <w:jc w:val="center"/>
              <w:rPr>
                <w:noProof/>
                <w:sz w:val="16"/>
                <w:szCs w:val="16"/>
              </w:rPr>
            </w:pPr>
            <w:r>
              <w:rPr>
                <w:noProof/>
                <w:sz w:val="16"/>
                <w:szCs w:val="16"/>
              </w:rPr>
              <w:t>Rok</w:t>
            </w:r>
            <w:r>
              <w:rPr>
                <w:noProof/>
                <w:sz w:val="22"/>
              </w:rPr>
              <w:br/>
            </w:r>
            <w:r>
              <w:rPr>
                <w:b/>
                <w:noProof/>
                <w:sz w:val="16"/>
              </w:rPr>
              <w:t>N</w:t>
            </w:r>
          </w:p>
        </w:tc>
        <w:tc>
          <w:tcPr>
            <w:tcW w:w="850" w:type="dxa"/>
            <w:shd w:val="clear" w:color="auto" w:fill="auto"/>
            <w:vAlign w:val="center"/>
          </w:tcPr>
          <w:p w:rsidR="00927BC9" w:rsidRDefault="000664B9">
            <w:pPr>
              <w:spacing w:before="20" w:after="20"/>
              <w:jc w:val="center"/>
              <w:rPr>
                <w:noProof/>
                <w:sz w:val="16"/>
                <w:szCs w:val="16"/>
              </w:rPr>
            </w:pPr>
            <w:r>
              <w:rPr>
                <w:noProof/>
                <w:sz w:val="16"/>
                <w:szCs w:val="16"/>
              </w:rPr>
              <w:t>Rok</w:t>
            </w:r>
            <w:r>
              <w:rPr>
                <w:noProof/>
                <w:sz w:val="22"/>
              </w:rPr>
              <w:br/>
            </w:r>
            <w:r>
              <w:rPr>
                <w:b/>
                <w:noProof/>
                <w:sz w:val="16"/>
              </w:rPr>
              <w:t>N + 1</w:t>
            </w:r>
          </w:p>
        </w:tc>
        <w:tc>
          <w:tcPr>
            <w:tcW w:w="709" w:type="dxa"/>
            <w:shd w:val="clear" w:color="auto" w:fill="auto"/>
            <w:vAlign w:val="center"/>
          </w:tcPr>
          <w:p w:rsidR="00927BC9" w:rsidRDefault="000664B9">
            <w:pPr>
              <w:spacing w:before="20" w:after="20"/>
              <w:jc w:val="center"/>
              <w:rPr>
                <w:noProof/>
                <w:sz w:val="16"/>
                <w:szCs w:val="16"/>
              </w:rPr>
            </w:pPr>
            <w:r>
              <w:rPr>
                <w:noProof/>
                <w:sz w:val="16"/>
                <w:szCs w:val="16"/>
              </w:rPr>
              <w:t>Rok</w:t>
            </w:r>
            <w:r>
              <w:rPr>
                <w:noProof/>
                <w:sz w:val="22"/>
              </w:rPr>
              <w:br/>
            </w:r>
            <w:r>
              <w:rPr>
                <w:b/>
                <w:noProof/>
                <w:sz w:val="16"/>
                <w:szCs w:val="16"/>
              </w:rPr>
              <w:t>N + 2</w:t>
            </w:r>
          </w:p>
        </w:tc>
        <w:tc>
          <w:tcPr>
            <w:tcW w:w="709" w:type="dxa"/>
            <w:shd w:val="clear" w:color="auto" w:fill="auto"/>
            <w:vAlign w:val="center"/>
          </w:tcPr>
          <w:p w:rsidR="00927BC9" w:rsidRDefault="000664B9">
            <w:pPr>
              <w:spacing w:before="20" w:after="20"/>
              <w:jc w:val="center"/>
              <w:rPr>
                <w:noProof/>
                <w:sz w:val="16"/>
                <w:szCs w:val="16"/>
              </w:rPr>
            </w:pPr>
            <w:r>
              <w:rPr>
                <w:noProof/>
                <w:sz w:val="16"/>
                <w:szCs w:val="16"/>
              </w:rPr>
              <w:t>Rok</w:t>
            </w:r>
            <w:r>
              <w:rPr>
                <w:noProof/>
                <w:sz w:val="22"/>
              </w:rPr>
              <w:br/>
            </w:r>
            <w:r>
              <w:rPr>
                <w:b/>
                <w:noProof/>
                <w:sz w:val="16"/>
                <w:szCs w:val="16"/>
              </w:rPr>
              <w:t>N + 3</w:t>
            </w:r>
          </w:p>
        </w:tc>
        <w:tc>
          <w:tcPr>
            <w:tcW w:w="2410" w:type="dxa"/>
            <w:gridSpan w:val="3"/>
            <w:shd w:val="clear" w:color="auto" w:fill="auto"/>
            <w:vAlign w:val="center"/>
          </w:tcPr>
          <w:p w:rsidR="00927BC9" w:rsidRDefault="000664B9">
            <w:pPr>
              <w:jc w:val="center"/>
              <w:rPr>
                <w:b/>
                <w:noProof/>
                <w:sz w:val="16"/>
                <w:szCs w:val="16"/>
              </w:rPr>
            </w:pPr>
            <w:r>
              <w:rPr>
                <w:noProof/>
                <w:sz w:val="16"/>
              </w:rPr>
              <w:t xml:space="preserve">Uveďte všetky roky, počas </w:t>
            </w:r>
            <w:r>
              <w:rPr>
                <w:noProof/>
                <w:sz w:val="16"/>
              </w:rPr>
              <w:t>ktorých vplyv trvá (pozri bod 1.6)</w:t>
            </w:r>
          </w:p>
        </w:tc>
      </w:tr>
      <w:tr w:rsidR="00927BC9">
        <w:trPr>
          <w:gridBefore w:val="1"/>
          <w:wBefore w:w="15" w:type="dxa"/>
          <w:trHeight w:val="289"/>
          <w:jc w:val="center"/>
        </w:trPr>
        <w:tc>
          <w:tcPr>
            <w:tcW w:w="9891" w:type="dxa"/>
            <w:gridSpan w:val="9"/>
            <w:shd w:val="clear" w:color="auto" w:fill="auto"/>
          </w:tcPr>
          <w:p w:rsidR="00927BC9" w:rsidRDefault="000664B9">
            <w:pPr>
              <w:jc w:val="left"/>
              <w:rPr>
                <w:noProof/>
                <w:sz w:val="16"/>
                <w:szCs w:val="16"/>
              </w:rPr>
            </w:pPr>
            <w:r>
              <w:rPr>
                <w:b/>
                <w:noProof/>
                <w:sz w:val="16"/>
              </w:rPr>
              <w:sym w:font="Wingdings" w:char="F09F"/>
            </w:r>
            <w:r>
              <w:rPr>
                <w:b/>
                <w:noProof/>
                <w:sz w:val="16"/>
              </w:rPr>
              <w:t xml:space="preserve"> Plán pracovných miest (úradníci a dočasní zamestnanci)</w:t>
            </w: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4"/>
              <w:jc w:val="left"/>
              <w:rPr>
                <w:b/>
                <w:noProof/>
                <w:sz w:val="16"/>
                <w:szCs w:val="16"/>
              </w:rPr>
            </w:pPr>
            <w:r>
              <w:rPr>
                <w:noProof/>
                <w:sz w:val="16"/>
              </w:rPr>
              <w:t>XX 01 01 01 (ústredie a zastúpenia Komisie)</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4"/>
              <w:jc w:val="left"/>
              <w:rPr>
                <w:noProof/>
                <w:sz w:val="16"/>
                <w:szCs w:val="16"/>
              </w:rPr>
            </w:pPr>
            <w:r>
              <w:rPr>
                <w:noProof/>
                <w:sz w:val="16"/>
              </w:rPr>
              <w:t>XX 01 01 02 (delegácie)</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4"/>
              <w:jc w:val="left"/>
              <w:rPr>
                <w:noProof/>
                <w:sz w:val="16"/>
                <w:szCs w:val="16"/>
              </w:rPr>
            </w:pPr>
            <w:r>
              <w:rPr>
                <w:noProof/>
                <w:sz w:val="16"/>
              </w:rPr>
              <w:t>XX 01 05 01/11/21 (nepriamy výskum)</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4"/>
              <w:jc w:val="left"/>
              <w:rPr>
                <w:noProof/>
                <w:sz w:val="16"/>
                <w:szCs w:val="16"/>
              </w:rPr>
            </w:pPr>
            <w:r>
              <w:rPr>
                <w:noProof/>
                <w:sz w:val="16"/>
              </w:rPr>
              <w:t>10 01 05 01/11 (priamy výskum)</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trHeight w:val="248"/>
          <w:jc w:val="center"/>
        </w:trPr>
        <w:tc>
          <w:tcPr>
            <w:tcW w:w="9906" w:type="dxa"/>
            <w:gridSpan w:val="10"/>
            <w:shd w:val="clear" w:color="auto" w:fill="auto"/>
            <w:vAlign w:val="center"/>
          </w:tcPr>
          <w:p w:rsidR="00927BC9" w:rsidRDefault="000664B9">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w:t>
            </w:r>
            <w:r>
              <w:rPr>
                <w:rStyle w:val="FootnoteReference"/>
                <w:b/>
                <w:noProof/>
                <w:sz w:val="16"/>
              </w:rPr>
              <w:footnoteReference w:id="24"/>
            </w:r>
          </w:p>
          <w:p w:rsidR="00927BC9" w:rsidRDefault="00927BC9">
            <w:pPr>
              <w:pStyle w:val="Text1"/>
              <w:spacing w:before="0" w:after="0"/>
              <w:ind w:left="0"/>
              <w:jc w:val="left"/>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6"/>
              <w:jc w:val="left"/>
              <w:rPr>
                <w:b/>
                <w:noProof/>
                <w:sz w:val="16"/>
                <w:szCs w:val="16"/>
              </w:rPr>
            </w:pPr>
            <w:r>
              <w:rPr>
                <w:noProof/>
                <w:sz w:val="16"/>
              </w:rPr>
              <w:t>XX 01 02 01 (ZZ, VNE, DAZ z celkového finančného krytia)</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6"/>
              <w:jc w:val="left"/>
              <w:rPr>
                <w:noProof/>
                <w:sz w:val="16"/>
                <w:szCs w:val="16"/>
              </w:rPr>
            </w:pPr>
            <w:r>
              <w:rPr>
                <w:noProof/>
                <w:sz w:val="16"/>
              </w:rPr>
              <w:t>XX 01 02 02 (ZZ, MZ, VNE, DAZ, PED v delegáciách)</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2376" w:type="dxa"/>
            <w:vMerge w:val="restart"/>
            <w:shd w:val="clear" w:color="auto" w:fill="auto"/>
            <w:vAlign w:val="center"/>
          </w:tcPr>
          <w:p w:rsidR="00927BC9" w:rsidRDefault="000664B9">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rStyle w:val="FootnoteReference"/>
                <w:b/>
                <w:noProof/>
                <w:sz w:val="16"/>
              </w:rPr>
              <w:footnoteReference w:id="25"/>
            </w:r>
          </w:p>
          <w:p w:rsidR="00927BC9" w:rsidRDefault="00927BC9">
            <w:pPr>
              <w:pStyle w:val="Text1"/>
              <w:spacing w:beforeLines="20" w:before="48" w:afterLines="20" w:after="48"/>
              <w:ind w:left="136"/>
              <w:jc w:val="left"/>
              <w:rPr>
                <w:b/>
                <w:noProof/>
                <w:sz w:val="16"/>
                <w:szCs w:val="16"/>
              </w:rPr>
            </w:pPr>
          </w:p>
        </w:tc>
        <w:tc>
          <w:tcPr>
            <w:tcW w:w="1986" w:type="dxa"/>
            <w:shd w:val="clear" w:color="auto" w:fill="auto"/>
            <w:vAlign w:val="center"/>
          </w:tcPr>
          <w:p w:rsidR="00927BC9" w:rsidRDefault="000664B9">
            <w:pPr>
              <w:pStyle w:val="Text1"/>
              <w:spacing w:beforeLines="20" w:before="48" w:afterLines="20" w:after="48"/>
              <w:ind w:left="136"/>
              <w:jc w:val="left"/>
              <w:rPr>
                <w:b/>
                <w:noProof/>
                <w:sz w:val="16"/>
                <w:szCs w:val="16"/>
              </w:rPr>
            </w:pPr>
            <w:r>
              <w:rPr>
                <w:noProof/>
                <w:sz w:val="16"/>
              </w:rPr>
              <w:t>‒</w:t>
            </w:r>
            <w:r>
              <w:rPr>
                <w:noProof/>
                <w:sz w:val="16"/>
              </w:rPr>
              <w:t xml:space="preserve"> ústredie</w:t>
            </w:r>
          </w:p>
          <w:p w:rsidR="00927BC9" w:rsidRDefault="00927BC9">
            <w:pPr>
              <w:pStyle w:val="Text1"/>
              <w:spacing w:beforeLines="20" w:before="48" w:afterLines="20" w:after="48"/>
              <w:ind w:left="136"/>
              <w:jc w:val="left"/>
              <w:rPr>
                <w:b/>
                <w:noProof/>
                <w:sz w:val="16"/>
                <w:szCs w:val="16"/>
              </w:rPr>
            </w:pPr>
          </w:p>
        </w:tc>
        <w:tc>
          <w:tcPr>
            <w:tcW w:w="851" w:type="dxa"/>
            <w:shd w:val="clear" w:color="auto" w:fill="auto"/>
            <w:vAlign w:val="center"/>
          </w:tcPr>
          <w:p w:rsidR="00927BC9" w:rsidRDefault="00927BC9">
            <w:pPr>
              <w:pStyle w:val="Text1"/>
              <w:spacing w:beforeLines="20" w:before="48" w:afterLines="20" w:after="48"/>
              <w:ind w:left="0"/>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2376" w:type="dxa"/>
            <w:vMerge/>
            <w:shd w:val="clear" w:color="auto" w:fill="auto"/>
            <w:vAlign w:val="center"/>
          </w:tcPr>
          <w:p w:rsidR="00927BC9" w:rsidRDefault="00927BC9">
            <w:pPr>
              <w:pStyle w:val="Text1"/>
              <w:spacing w:beforeLines="20" w:before="48" w:afterLines="20" w:after="48"/>
              <w:ind w:left="136"/>
              <w:jc w:val="left"/>
              <w:rPr>
                <w:b/>
                <w:noProof/>
                <w:sz w:val="16"/>
                <w:szCs w:val="16"/>
              </w:rPr>
            </w:pPr>
          </w:p>
        </w:tc>
        <w:tc>
          <w:tcPr>
            <w:tcW w:w="1986" w:type="dxa"/>
            <w:shd w:val="clear" w:color="auto" w:fill="auto"/>
            <w:vAlign w:val="center"/>
          </w:tcPr>
          <w:p w:rsidR="00927BC9" w:rsidRDefault="000664B9">
            <w:pPr>
              <w:pStyle w:val="Text1"/>
              <w:spacing w:beforeLines="20" w:before="48" w:afterLines="20" w:after="48"/>
              <w:ind w:left="136"/>
              <w:jc w:val="left"/>
              <w:rPr>
                <w:b/>
                <w:noProof/>
                <w:sz w:val="16"/>
                <w:szCs w:val="16"/>
              </w:rPr>
            </w:pPr>
            <w:r>
              <w:rPr>
                <w:noProof/>
                <w:sz w:val="16"/>
              </w:rPr>
              <w:t xml:space="preserve">– delegácie </w:t>
            </w:r>
          </w:p>
        </w:tc>
        <w:tc>
          <w:tcPr>
            <w:tcW w:w="851" w:type="dxa"/>
            <w:shd w:val="clear" w:color="auto" w:fill="auto"/>
            <w:vAlign w:val="center"/>
          </w:tcPr>
          <w:p w:rsidR="00927BC9" w:rsidRDefault="00927BC9">
            <w:pPr>
              <w:pStyle w:val="Text1"/>
              <w:spacing w:beforeLines="20" w:before="48" w:afterLines="20" w:after="48"/>
              <w:ind w:left="0"/>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(ZZ, VNE, DAZ – nepriamy výskum)</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shd w:val="clear" w:color="auto" w:fill="auto"/>
            <w:vAlign w:val="center"/>
          </w:tcPr>
          <w:p w:rsidR="00927BC9" w:rsidRDefault="000664B9">
            <w:pPr>
              <w:pStyle w:val="Text1"/>
              <w:spacing w:beforeLines="20" w:before="48" w:afterLines="20" w:after="48"/>
              <w:ind w:left="136"/>
              <w:jc w:val="left"/>
              <w:rPr>
                <w:noProof/>
                <w:sz w:val="16"/>
                <w:szCs w:val="16"/>
              </w:rPr>
            </w:pPr>
            <w:r>
              <w:rPr>
                <w:noProof/>
                <w:sz w:val="16"/>
              </w:rPr>
              <w:t>10 01 05 02/12 (ZZ, DAZ, VNE – priamy výskum)</w:t>
            </w:r>
          </w:p>
        </w:tc>
        <w:tc>
          <w:tcPr>
            <w:tcW w:w="851" w:type="dxa"/>
            <w:shd w:val="clear" w:color="auto" w:fill="auto"/>
            <w:vAlign w:val="center"/>
          </w:tcPr>
          <w:p w:rsidR="00927BC9" w:rsidRDefault="00927BC9">
            <w:pPr>
              <w:spacing w:beforeLines="20" w:before="48" w:afterLines="20" w:after="48"/>
              <w:jc w:val="center"/>
              <w:rPr>
                <w:noProof/>
                <w:sz w:val="16"/>
                <w:szCs w:val="16"/>
              </w:rPr>
            </w:pPr>
          </w:p>
        </w:tc>
        <w:tc>
          <w:tcPr>
            <w:tcW w:w="850"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709" w:type="dxa"/>
            <w:shd w:val="clear" w:color="auto" w:fill="auto"/>
            <w:vAlign w:val="center"/>
          </w:tcPr>
          <w:p w:rsidR="00927BC9" w:rsidRDefault="00927BC9">
            <w:pPr>
              <w:spacing w:beforeLines="20" w:before="48" w:afterLines="20" w:after="48"/>
              <w:jc w:val="center"/>
              <w:rPr>
                <w:noProof/>
                <w:sz w:val="16"/>
                <w:szCs w:val="16"/>
              </w:rPr>
            </w:pPr>
          </w:p>
        </w:tc>
        <w:tc>
          <w:tcPr>
            <w:tcW w:w="928" w:type="dxa"/>
            <w:shd w:val="clear" w:color="auto" w:fill="auto"/>
            <w:vAlign w:val="center"/>
          </w:tcPr>
          <w:p w:rsidR="00927BC9" w:rsidRDefault="00927BC9">
            <w:pPr>
              <w:spacing w:beforeLines="20" w:before="48" w:afterLines="20" w:after="48"/>
              <w:jc w:val="center"/>
              <w:rPr>
                <w:noProof/>
                <w:sz w:val="16"/>
                <w:szCs w:val="16"/>
              </w:rPr>
            </w:pPr>
          </w:p>
        </w:tc>
        <w:tc>
          <w:tcPr>
            <w:tcW w:w="731" w:type="dxa"/>
            <w:shd w:val="clear" w:color="auto" w:fill="auto"/>
            <w:vAlign w:val="center"/>
          </w:tcPr>
          <w:p w:rsidR="00927BC9" w:rsidRDefault="00927BC9">
            <w:pPr>
              <w:spacing w:beforeLines="20" w:before="48" w:afterLines="20" w:after="48"/>
              <w:jc w:val="center"/>
              <w:rPr>
                <w:noProof/>
                <w:sz w:val="16"/>
                <w:szCs w:val="16"/>
              </w:rPr>
            </w:pPr>
          </w:p>
        </w:tc>
        <w:tc>
          <w:tcPr>
            <w:tcW w:w="751" w:type="dxa"/>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tcBorders>
              <w:bottom w:val="double" w:sz="4" w:space="0" w:color="auto"/>
            </w:tcBorders>
            <w:shd w:val="clear" w:color="auto" w:fill="auto"/>
            <w:vAlign w:val="center"/>
          </w:tcPr>
          <w:p w:rsidR="00927BC9" w:rsidRDefault="000664B9">
            <w:pPr>
              <w:pStyle w:val="Text1"/>
              <w:spacing w:beforeLines="20" w:before="48" w:afterLines="20" w:after="48"/>
              <w:ind w:left="134"/>
              <w:jc w:val="left"/>
              <w:rPr>
                <w:noProof/>
                <w:sz w:val="16"/>
                <w:szCs w:val="16"/>
              </w:rPr>
            </w:pPr>
            <w:r>
              <w:rPr>
                <w:noProof/>
                <w:sz w:val="16"/>
              </w:rPr>
              <w:t>Iné rozpočtové riadky (uveďte)</w:t>
            </w:r>
          </w:p>
        </w:tc>
        <w:tc>
          <w:tcPr>
            <w:tcW w:w="851"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850"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709"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709"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928"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c>
          <w:tcPr>
            <w:tcW w:w="751" w:type="dxa"/>
            <w:tcBorders>
              <w:bottom w:val="double" w:sz="4" w:space="0" w:color="auto"/>
            </w:tcBorders>
            <w:shd w:val="clear" w:color="auto" w:fill="auto"/>
            <w:vAlign w:val="center"/>
          </w:tcPr>
          <w:p w:rsidR="00927BC9" w:rsidRDefault="00927BC9">
            <w:pPr>
              <w:spacing w:beforeLines="20" w:before="48" w:afterLines="20" w:after="48"/>
              <w:jc w:val="center"/>
              <w:rPr>
                <w:noProof/>
                <w:sz w:val="16"/>
                <w:szCs w:val="16"/>
              </w:rPr>
            </w:pPr>
          </w:p>
        </w:tc>
      </w:tr>
      <w:tr w:rsidR="00927BC9">
        <w:trPr>
          <w:gridBefore w:val="1"/>
          <w:wBefore w:w="15" w:type="dxa"/>
          <w:trHeight w:val="289"/>
          <w:jc w:val="center"/>
        </w:trPr>
        <w:tc>
          <w:tcPr>
            <w:tcW w:w="4362" w:type="dxa"/>
            <w:gridSpan w:val="2"/>
            <w:tcBorders>
              <w:top w:val="double" w:sz="4" w:space="0" w:color="auto"/>
            </w:tcBorders>
            <w:shd w:val="clear" w:color="auto" w:fill="auto"/>
            <w:vAlign w:val="center"/>
          </w:tcPr>
          <w:p w:rsidR="00927BC9" w:rsidRDefault="000664B9">
            <w:pPr>
              <w:pStyle w:val="Text1"/>
              <w:spacing w:beforeLines="20" w:before="48" w:afterLines="20" w:after="48"/>
              <w:ind w:left="136"/>
              <w:jc w:val="left"/>
              <w:rPr>
                <w:noProof/>
                <w:sz w:val="16"/>
                <w:szCs w:val="16"/>
              </w:rPr>
            </w:pPr>
            <w:r>
              <w:rPr>
                <w:b/>
                <w:noProof/>
                <w:sz w:val="16"/>
              </w:rPr>
              <w:t>SPOLU</w:t>
            </w:r>
          </w:p>
        </w:tc>
        <w:tc>
          <w:tcPr>
            <w:tcW w:w="851"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850"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709"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709"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928"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c>
          <w:tcPr>
            <w:tcW w:w="751" w:type="dxa"/>
            <w:tcBorders>
              <w:top w:val="double" w:sz="4" w:space="0" w:color="auto"/>
            </w:tcBorders>
            <w:shd w:val="clear" w:color="auto" w:fill="auto"/>
            <w:vAlign w:val="center"/>
          </w:tcPr>
          <w:p w:rsidR="00927BC9" w:rsidRDefault="00927BC9">
            <w:pPr>
              <w:spacing w:beforeLines="20" w:before="48" w:afterLines="20" w:after="48"/>
              <w:jc w:val="center"/>
              <w:rPr>
                <w:b/>
                <w:noProof/>
                <w:sz w:val="16"/>
                <w:szCs w:val="16"/>
              </w:rPr>
            </w:pPr>
          </w:p>
        </w:tc>
      </w:tr>
    </w:tbl>
    <w:p w:rsidR="00927BC9" w:rsidRDefault="000664B9">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rsidR="00927BC9" w:rsidRDefault="000664B9">
      <w:pPr>
        <w:pStyle w:val="Text1"/>
        <w:rPr>
          <w:noProof/>
          <w:sz w:val="18"/>
          <w:szCs w:val="18"/>
        </w:rPr>
      </w:pPr>
      <w:r>
        <w:rPr>
          <w:noProof/>
          <w:sz w:val="18"/>
        </w:rPr>
        <w:t xml:space="preserve">Potreby ľudských zdrojov </w:t>
      </w:r>
      <w:r>
        <w:rPr>
          <w:noProof/>
          <w:sz w:val="18"/>
        </w:rPr>
        <w:t xml:space="preserve">budú pokryté úradníkmi GR, ktorí už boli pridelení na riadenie akcie a/alebo boli interne prerozdelení v rámci GR, a v prípade potreby budú doplnené zdrojmi, ktoré sa môžu prideliť riadiacemu GR v rámci ročného postupu prideľovania zdrojov v závislosti od </w:t>
      </w:r>
      <w:r>
        <w:rPr>
          <w:noProof/>
          <w:sz w:val="18"/>
        </w:rPr>
        <w:t>rozpočtových obmedzení.</w:t>
      </w:r>
    </w:p>
    <w:p w:rsidR="00927BC9" w:rsidRDefault="000664B9">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27BC9">
        <w:tc>
          <w:tcPr>
            <w:tcW w:w="3240" w:type="dxa"/>
          </w:tcPr>
          <w:p w:rsidR="00927BC9" w:rsidRDefault="000664B9">
            <w:pPr>
              <w:rPr>
                <w:noProof/>
                <w:sz w:val="20"/>
              </w:rPr>
            </w:pPr>
            <w:r>
              <w:rPr>
                <w:noProof/>
                <w:sz w:val="20"/>
              </w:rPr>
              <w:t>Úradníci a dočasní zamestnanci</w:t>
            </w:r>
          </w:p>
        </w:tc>
        <w:tc>
          <w:tcPr>
            <w:tcW w:w="7200" w:type="dxa"/>
          </w:tcPr>
          <w:p w:rsidR="00927BC9" w:rsidRDefault="00927BC9">
            <w:pPr>
              <w:rPr>
                <w:noProof/>
                <w:sz w:val="20"/>
              </w:rPr>
            </w:pPr>
          </w:p>
        </w:tc>
      </w:tr>
      <w:tr w:rsidR="00927BC9">
        <w:tc>
          <w:tcPr>
            <w:tcW w:w="3240" w:type="dxa"/>
          </w:tcPr>
          <w:p w:rsidR="00927BC9" w:rsidRDefault="000664B9">
            <w:pPr>
              <w:spacing w:before="60" w:after="60"/>
              <w:rPr>
                <w:noProof/>
                <w:sz w:val="20"/>
              </w:rPr>
            </w:pPr>
            <w:r>
              <w:rPr>
                <w:noProof/>
                <w:sz w:val="20"/>
              </w:rPr>
              <w:t>Externí zamestnanci</w:t>
            </w:r>
          </w:p>
        </w:tc>
        <w:tc>
          <w:tcPr>
            <w:tcW w:w="7200" w:type="dxa"/>
          </w:tcPr>
          <w:p w:rsidR="00927BC9" w:rsidRDefault="00927BC9">
            <w:pPr>
              <w:rPr>
                <w:noProof/>
                <w:sz w:val="20"/>
              </w:rPr>
            </w:pPr>
          </w:p>
        </w:tc>
      </w:tr>
    </w:tbl>
    <w:p w:rsidR="00927BC9" w:rsidRDefault="00927BC9">
      <w:pPr>
        <w:rPr>
          <w:noProof/>
        </w:rPr>
        <w:sectPr w:rsidR="00927BC9">
          <w:pgSz w:w="11907" w:h="16840"/>
          <w:pgMar w:top="1134" w:right="1418" w:bottom="1134" w:left="1418" w:header="709" w:footer="709" w:gutter="0"/>
          <w:cols w:space="708"/>
          <w:docGrid w:linePitch="360"/>
        </w:sectPr>
      </w:pPr>
    </w:p>
    <w:p w:rsidR="00927BC9" w:rsidRDefault="000664B9">
      <w:pPr>
        <w:pStyle w:val="ManualHeading3"/>
        <w:rPr>
          <w:noProof/>
        </w:rPr>
      </w:pPr>
      <w:r>
        <w:rPr>
          <w:noProof/>
        </w:rPr>
        <w:t>3.2.4.</w:t>
      </w:r>
      <w:r>
        <w:rPr>
          <w:noProof/>
        </w:rPr>
        <w:tab/>
        <w:t>Súlad s platným viacročným finančným rámcom</w:t>
      </w:r>
    </w:p>
    <w:p w:rsidR="00927BC9" w:rsidRDefault="000664B9">
      <w:pPr>
        <w:pStyle w:val="Text1"/>
        <w:rPr>
          <w:noProof/>
        </w:rPr>
      </w:pPr>
      <w:r>
        <w:rPr>
          <w:noProof/>
        </w:rPr>
        <w:t>Návrh/iniciatíva:</w:t>
      </w:r>
    </w:p>
    <w:p w:rsidR="00927BC9" w:rsidRDefault="000664B9">
      <w:pPr>
        <w:pStyle w:val="ListDash1"/>
        <w:rPr>
          <w:noProof/>
        </w:rPr>
      </w:pPr>
      <w:r>
        <w:rPr>
          <w:noProof/>
        </w:rPr>
        <w:sym w:font="Wingdings" w:char="F078"/>
      </w:r>
      <w:r>
        <w:rPr>
          <w:noProof/>
        </w:rPr>
        <w:tab/>
        <w:t>môže byť v plnej miere financovaná prerozdelením v</w:t>
      </w:r>
      <w:r>
        <w:rPr>
          <w:noProof/>
        </w:rPr>
        <w:t xml:space="preserve"> rámci príslušného okruhu viacročného finančného rámca (VFR).</w:t>
      </w:r>
    </w:p>
    <w:p w:rsidR="00927BC9" w:rsidRDefault="000664B9">
      <w:pPr>
        <w:pStyle w:val="ListDash1"/>
        <w:rPr>
          <w:noProof/>
        </w:rPr>
      </w:pPr>
      <w:r>
        <w:rPr>
          <w:noProof/>
        </w:rPr>
        <w:sym w:font="Wingdings" w:char="F020"/>
      </w:r>
      <w:r>
        <w:rPr>
          <w:noProof/>
        </w:rPr>
        <w:tab/>
        <w:t>si vyžaduje použitie nepridelenej rezervy v rámci príslušného okruhu VFR a/alebo použitie osobitných nástrojov vymedzených v nariadení o VFR.</w:t>
      </w:r>
    </w:p>
    <w:p w:rsidR="00927BC9" w:rsidRDefault="000664B9">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Toto nariadenie je časovo obmedzené a vzťahuje sa </w:t>
      </w:r>
      <w:r>
        <w:rPr>
          <w:noProof/>
          <w:sz w:val="20"/>
        </w:rPr>
        <w:t>len na rozpočtové roky 2019 a 2020. Zostáva v rámci maximálnej výšky pridelených rozpočtových prostriedkov stanovenej v prípade FSEÚ na uvedené roky, a preto je v súlade s VFR.</w:t>
      </w:r>
    </w:p>
    <w:p w:rsidR="00927BC9" w:rsidRDefault="000664B9">
      <w:pPr>
        <w:pStyle w:val="Text1"/>
        <w:pBdr>
          <w:top w:val="single" w:sz="4" w:space="1" w:color="auto"/>
          <w:left w:val="single" w:sz="4" w:space="4" w:color="auto"/>
          <w:bottom w:val="single" w:sz="4" w:space="1" w:color="auto"/>
          <w:right w:val="single" w:sz="4" w:space="4" w:color="auto"/>
        </w:pBdr>
        <w:rPr>
          <w:noProof/>
          <w:sz w:val="20"/>
        </w:rPr>
      </w:pPr>
      <w:r>
        <w:rPr>
          <w:noProof/>
          <w:sz w:val="20"/>
        </w:rPr>
        <w:t>Uplatňuje sa odo dňa nasledujúceho po dni, ktorým sa zmluvy prestanú uplatňovať</w:t>
      </w:r>
      <w:r>
        <w:rPr>
          <w:noProof/>
          <w:sz w:val="20"/>
        </w:rPr>
        <w:t xml:space="preserve"> na Spojené kráľovstvo podľa článku 50 ods. 3 Zmluvy o EÚ.</w:t>
      </w:r>
    </w:p>
    <w:p w:rsidR="00927BC9" w:rsidRDefault="000664B9">
      <w:pPr>
        <w:pStyle w:val="Text1"/>
        <w:pBdr>
          <w:top w:val="single" w:sz="4" w:space="1" w:color="auto"/>
          <w:left w:val="single" w:sz="4" w:space="4" w:color="auto"/>
          <w:bottom w:val="single" w:sz="4" w:space="1" w:color="auto"/>
          <w:right w:val="single" w:sz="4" w:space="4" w:color="auto"/>
        </w:pBdr>
        <w:rPr>
          <w:noProof/>
          <w:sz w:val="20"/>
        </w:rPr>
      </w:pPr>
      <w:r>
        <w:rPr>
          <w:noProof/>
          <w:sz w:val="20"/>
        </w:rPr>
        <w:t>Žiadosti sa budú prijímať od 1. novembra 2019 do 30. apríla 2020.</w:t>
      </w:r>
    </w:p>
    <w:p w:rsidR="00927BC9" w:rsidRDefault="000664B9">
      <w:pPr>
        <w:pStyle w:val="Text1"/>
        <w:pBdr>
          <w:top w:val="single" w:sz="4" w:space="1" w:color="auto"/>
          <w:left w:val="single" w:sz="4" w:space="4" w:color="auto"/>
          <w:bottom w:val="single" w:sz="4" w:space="1" w:color="auto"/>
          <w:right w:val="single" w:sz="4" w:space="4" w:color="auto"/>
        </w:pBdr>
        <w:rPr>
          <w:noProof/>
          <w:sz w:val="20"/>
        </w:rPr>
      </w:pPr>
      <w:r>
        <w:rPr>
          <w:noProof/>
          <w:sz w:val="20"/>
        </w:rPr>
        <w:t>Strop bude predstavovať 50 % maximálnej sumy pridelených rozpočtových prostriedkov FSEÚ na roky 2019 a 2020, čo je spolu 591,65 mil</w:t>
      </w:r>
      <w:r>
        <w:rPr>
          <w:noProof/>
          <w:sz w:val="20"/>
        </w:rPr>
        <w:t>. EUR (292,9 mil. EUR na rok 2019 plus 298,75 mil. EUR na rok 2020).</w:t>
      </w:r>
    </w:p>
    <w:p w:rsidR="00927BC9" w:rsidRDefault="000664B9">
      <w:pPr>
        <w:pStyle w:val="Text1"/>
        <w:pBdr>
          <w:top w:val="single" w:sz="4" w:space="1" w:color="auto"/>
          <w:left w:val="single" w:sz="4" w:space="4" w:color="auto"/>
          <w:bottom w:val="single" w:sz="4" w:space="1" w:color="auto"/>
          <w:right w:val="single" w:sz="4" w:space="4" w:color="auto"/>
        </w:pBdr>
        <w:rPr>
          <w:noProof/>
          <w:sz w:val="20"/>
        </w:rPr>
      </w:pPr>
      <w:r>
        <w:rPr>
          <w:noProof/>
          <w:sz w:val="20"/>
        </w:rPr>
        <w:t>Toto nariadenie sa neuplatňuje, ak do uvedeného dátumu nadobudla platnosť dohoda o vystúpení uzavretá so Spojeným kráľovstvom v súlade s článkom 50 ods. 2 Zmluvy o Európskej únii.</w:t>
      </w:r>
    </w:p>
    <w:p w:rsidR="00927BC9" w:rsidRDefault="000664B9">
      <w:pPr>
        <w:pStyle w:val="ListDash1"/>
        <w:rPr>
          <w:noProof/>
        </w:rPr>
      </w:pPr>
      <w:r>
        <w:rPr>
          <w:noProof/>
        </w:rPr>
        <w:sym w:font="Wingdings" w:char="F0A8"/>
      </w:r>
      <w:r>
        <w:rPr>
          <w:noProof/>
        </w:rPr>
        <w:tab/>
        <w:t xml:space="preserve">si </w:t>
      </w:r>
      <w:r>
        <w:rPr>
          <w:noProof/>
        </w:rPr>
        <w:t>vyžaduje revíziu VFR.</w:t>
      </w:r>
    </w:p>
    <w:p w:rsidR="00927BC9" w:rsidRDefault="000664B9">
      <w:pPr>
        <w:pStyle w:val="Text1"/>
        <w:pBdr>
          <w:top w:val="single" w:sz="4" w:space="1" w:color="auto"/>
          <w:left w:val="single" w:sz="4" w:space="4" w:color="auto"/>
          <w:bottom w:val="single" w:sz="4" w:space="3" w:color="auto"/>
          <w:right w:val="single" w:sz="4" w:space="4" w:color="auto"/>
        </w:pBdr>
        <w:rPr>
          <w:noProof/>
          <w:sz w:val="20"/>
        </w:rPr>
      </w:pPr>
      <w:r>
        <w:rPr>
          <w:noProof/>
          <w:sz w:val="20"/>
        </w:rPr>
        <w:t>Vysvetlite potrebu a uveďte príslušné okruhy, rozpočtové riadky a zodpovedajúce sumy.</w:t>
      </w:r>
    </w:p>
    <w:p w:rsidR="00927BC9" w:rsidRDefault="000664B9">
      <w:pPr>
        <w:pStyle w:val="ManualHeading3"/>
        <w:rPr>
          <w:noProof/>
        </w:rPr>
      </w:pPr>
      <w:r>
        <w:rPr>
          <w:noProof/>
        </w:rPr>
        <w:t>3.2.5.</w:t>
      </w:r>
      <w:r>
        <w:rPr>
          <w:noProof/>
        </w:rPr>
        <w:tab/>
        <w:t>Príspevky od tretích strán</w:t>
      </w:r>
    </w:p>
    <w:p w:rsidR="00927BC9" w:rsidRDefault="000664B9">
      <w:pPr>
        <w:pStyle w:val="Text1"/>
        <w:rPr>
          <w:noProof/>
        </w:rPr>
      </w:pPr>
      <w:r>
        <w:rPr>
          <w:noProof/>
        </w:rPr>
        <w:t>Návrh/iniciatíva:</w:t>
      </w:r>
    </w:p>
    <w:p w:rsidR="00927BC9" w:rsidRDefault="000664B9">
      <w:pPr>
        <w:pStyle w:val="ListDash1"/>
        <w:rPr>
          <w:noProof/>
        </w:rPr>
      </w:pPr>
      <w:r>
        <w:rPr>
          <w:b/>
          <w:noProof/>
        </w:rPr>
        <w:t>X</w:t>
      </w:r>
      <w:r>
        <w:rPr>
          <w:noProof/>
        </w:rPr>
        <w:t xml:space="preserve"> nezahŕňa spolufinancovanie tretími stranami</w:t>
      </w:r>
    </w:p>
    <w:p w:rsidR="00927BC9" w:rsidRDefault="000664B9">
      <w:pPr>
        <w:pStyle w:val="ListDash1"/>
        <w:rPr>
          <w:noProof/>
        </w:rPr>
      </w:pPr>
      <w:r>
        <w:rPr>
          <w:noProof/>
        </w:rPr>
        <w:sym w:font="Wingdings" w:char="F0A8"/>
      </w:r>
      <w:r>
        <w:rPr>
          <w:noProof/>
        </w:rPr>
        <w:tab/>
        <w:t>zahŕňa spolufinancovanie tretími stranami, ako j</w:t>
      </w:r>
      <w:r>
        <w:rPr>
          <w:noProof/>
        </w:rPr>
        <w:t>e odhadnuté v nasledujúcej tabuľke:</w:t>
      </w:r>
    </w:p>
    <w:p w:rsidR="00927BC9" w:rsidRDefault="000664B9">
      <w:pPr>
        <w:jc w:val="right"/>
        <w:rPr>
          <w:noProof/>
          <w:sz w:val="20"/>
        </w:rPr>
      </w:pPr>
      <w:r>
        <w:rPr>
          <w:noProof/>
          <w:sz w:val="20"/>
        </w:rPr>
        <w:t>rozpočtové prostriedky v EUR</w:t>
      </w:r>
    </w:p>
    <w:p w:rsidR="00927BC9" w:rsidRDefault="00927BC9">
      <w:pPr>
        <w:jc w:val="right"/>
        <w:rPr>
          <w:noProof/>
          <w:sz w:val="20"/>
        </w:rPr>
      </w:pPr>
    </w:p>
    <w:p w:rsidR="00927BC9" w:rsidRDefault="000664B9">
      <w:pPr>
        <w:rPr>
          <w:noProof/>
        </w:rPr>
      </w:pPr>
      <w:r>
        <w:rPr>
          <w:noProof/>
        </w:rPr>
        <w:br/>
      </w:r>
    </w:p>
    <w:p w:rsidR="00927BC9" w:rsidRDefault="000664B9">
      <w:pPr>
        <w:pStyle w:val="ManualHeading2"/>
        <w:rPr>
          <w:noProof/>
        </w:rPr>
      </w:pPr>
      <w:r>
        <w:rPr>
          <w:noProof/>
        </w:rPr>
        <w:br w:type="page"/>
        <w:t>3.3.</w:t>
      </w:r>
      <w:r>
        <w:rPr>
          <w:noProof/>
        </w:rPr>
        <w:tab/>
        <w:t>Odhadovaný vplyv na príjmy</w:t>
      </w:r>
    </w:p>
    <w:p w:rsidR="00927BC9" w:rsidRDefault="000664B9">
      <w:pPr>
        <w:pStyle w:val="ListDash1"/>
        <w:rPr>
          <w:noProof/>
        </w:rPr>
      </w:pPr>
      <w:r>
        <w:rPr>
          <w:b/>
          <w:noProof/>
        </w:rPr>
        <w:t>X</w:t>
      </w:r>
      <w:r>
        <w:rPr>
          <w:noProof/>
        </w:rPr>
        <w:tab/>
        <w:t>Návrh/iniciatíva nemá finančný vplyv na príjmy.</w:t>
      </w:r>
    </w:p>
    <w:p w:rsidR="00927BC9" w:rsidRDefault="000664B9">
      <w:pPr>
        <w:pStyle w:val="ListDash1"/>
        <w:rPr>
          <w:noProof/>
        </w:rPr>
      </w:pPr>
      <w:r>
        <w:rPr>
          <w:noProof/>
        </w:rPr>
        <w:tab/>
        <w:t>Návrh/iniciatíva má finančný vplyv na príjmy, ako je uvedené v nasledujúcej tabuľke:</w:t>
      </w:r>
    </w:p>
    <w:p w:rsidR="00927BC9" w:rsidRDefault="000664B9">
      <w:pPr>
        <w:pStyle w:val="Tiret2"/>
        <w:numPr>
          <w:ilvl w:val="0"/>
          <w:numId w:val="10"/>
        </w:numPr>
        <w:rPr>
          <w:noProof/>
        </w:rPr>
      </w:pPr>
      <w:r>
        <w:rPr>
          <w:noProof/>
        </w:rPr>
        <w:sym w:font="Wingdings" w:char="F0A8"/>
      </w:r>
      <w:r>
        <w:rPr>
          <w:noProof/>
        </w:rPr>
        <w:tab/>
        <w:t xml:space="preserve">vplyv na vlastné </w:t>
      </w:r>
      <w:r>
        <w:rPr>
          <w:noProof/>
        </w:rPr>
        <w:t>zdroje</w:t>
      </w:r>
    </w:p>
    <w:p w:rsidR="00927BC9" w:rsidRDefault="000664B9">
      <w:pPr>
        <w:pStyle w:val="Tiret2"/>
        <w:rPr>
          <w:noProof/>
        </w:rPr>
      </w:pPr>
      <w:r>
        <w:rPr>
          <w:noProof/>
        </w:rPr>
        <w:sym w:font="Wingdings" w:char="F0A8"/>
      </w:r>
      <w:r>
        <w:rPr>
          <w:noProof/>
        </w:rPr>
        <w:tab/>
        <w:t>vplyv na iné príjmy</w:t>
      </w:r>
    </w:p>
    <w:p w:rsidR="00927BC9" w:rsidRDefault="000664B9">
      <w:pPr>
        <w:pStyle w:val="Tiret2"/>
        <w:rPr>
          <w:noProof/>
        </w:rPr>
      </w:pPr>
      <w:r>
        <w:rPr>
          <w:noProof/>
        </w:rPr>
        <w:t>uveďte, či sú príjmy pripísané rozpočtovým riadkom výdavkov X</w:t>
      </w:r>
      <w:r>
        <w:rPr>
          <w:noProof/>
        </w:rPr>
        <w:tab/>
      </w:r>
    </w:p>
    <w:p w:rsidR="00927BC9" w:rsidRDefault="00927BC9">
      <w:pPr>
        <w:pStyle w:val="ListNumberLevel3"/>
        <w:tabs>
          <w:tab w:val="clear" w:pos="2126"/>
        </w:tabs>
        <w:ind w:firstLine="0"/>
        <w:rPr>
          <w:noProof/>
        </w:rPr>
      </w:pPr>
    </w:p>
    <w:p w:rsidR="00927BC9" w:rsidRDefault="000664B9">
      <w:pPr>
        <w:ind w:left="4320"/>
        <w:rPr>
          <w:noProof/>
        </w:rPr>
      </w:pPr>
      <w:r>
        <w:rPr>
          <w:noProof/>
        </w:rPr>
        <w:t xml:space="preserve">   EUR</w:t>
      </w:r>
    </w:p>
    <w:p w:rsidR="00927BC9" w:rsidRDefault="000664B9">
      <w:pPr>
        <w:pStyle w:val="Text1"/>
        <w:rPr>
          <w:noProof/>
          <w:sz w:val="20"/>
        </w:rPr>
      </w:pPr>
      <w:r>
        <w:rPr>
          <w:noProof/>
        </w:rPr>
        <w:br w:type="textWrapping" w:clear="all"/>
      </w:r>
    </w:p>
    <w:p w:rsidR="00927BC9" w:rsidRDefault="000664B9">
      <w:pPr>
        <w:pStyle w:val="Text1"/>
        <w:rPr>
          <w:noProof/>
          <w:sz w:val="20"/>
        </w:rPr>
      </w:pPr>
      <w:r>
        <w:rPr>
          <w:noProof/>
          <w:sz w:val="20"/>
        </w:rPr>
        <w:t>V prípade pripísaných príjmov uveďte príslušné rozpočtové riadky výdavkov.</w:t>
      </w:r>
    </w:p>
    <w:p w:rsidR="00927BC9" w:rsidRDefault="000664B9">
      <w:pPr>
        <w:pStyle w:val="Text1"/>
        <w:pBdr>
          <w:top w:val="single" w:sz="4" w:space="1" w:color="auto"/>
          <w:left w:val="single" w:sz="4" w:space="4" w:color="auto"/>
          <w:bottom w:val="single" w:sz="4" w:space="1" w:color="auto"/>
          <w:right w:val="single" w:sz="4" w:space="4" w:color="auto"/>
        </w:pBdr>
        <w:rPr>
          <w:noProof/>
        </w:rPr>
      </w:pPr>
      <w:r>
        <w:rPr>
          <w:noProof/>
        </w:rPr>
        <w:t>neuvádza sa</w:t>
      </w:r>
    </w:p>
    <w:p w:rsidR="00927BC9" w:rsidRDefault="000664B9">
      <w:pPr>
        <w:rPr>
          <w:i/>
          <w:noProof/>
          <w:sz w:val="20"/>
        </w:rPr>
      </w:pPr>
      <w:r>
        <w:rPr>
          <w:i/>
          <w:noProof/>
          <w:sz w:val="20"/>
        </w:rPr>
        <w:t xml:space="preserve">Ďalšie poznámky (napr. spôsob/vzorec použitý na výpočet vplyvu na </w:t>
      </w:r>
      <w:r>
        <w:rPr>
          <w:i/>
          <w:noProof/>
          <w:sz w:val="20"/>
        </w:rPr>
        <w:t>príjmy alebo akékoľvek ďalšie informácie).</w:t>
      </w:r>
    </w:p>
    <w:sectPr w:rsidR="00927BC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C9" w:rsidRDefault="000664B9">
      <w:pPr>
        <w:spacing w:before="0" w:after="0"/>
      </w:pPr>
      <w:r>
        <w:separator/>
      </w:r>
    </w:p>
  </w:endnote>
  <w:endnote w:type="continuationSeparator" w:id="0">
    <w:p w:rsidR="00927BC9" w:rsidRDefault="000664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0664B9">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0664B9">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0664B9">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0664B9">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C9" w:rsidRDefault="000664B9">
      <w:pPr>
        <w:spacing w:before="0" w:after="0"/>
      </w:pPr>
      <w:r>
        <w:separator/>
      </w:r>
    </w:p>
  </w:footnote>
  <w:footnote w:type="continuationSeparator" w:id="0">
    <w:p w:rsidR="00927BC9" w:rsidRDefault="000664B9">
      <w:pPr>
        <w:spacing w:before="0" w:after="0"/>
      </w:pPr>
      <w:r>
        <w:continuationSeparator/>
      </w:r>
    </w:p>
  </w:footnote>
  <w:footnote w:id="1">
    <w:p w:rsidR="00927BC9" w:rsidRDefault="000664B9">
      <w:pPr>
        <w:pStyle w:val="FootnoteText"/>
      </w:pPr>
      <w:r>
        <w:rPr>
          <w:rStyle w:val="FootnoteReference"/>
        </w:rPr>
        <w:footnoteRef/>
      </w:r>
      <w:r>
        <w:tab/>
        <w:t>Rozhodnutie Európskej rady (EÚ) 2019/584 (Ú. v. EÚ L 101, 11.4.2019, s. 1).</w:t>
      </w:r>
    </w:p>
  </w:footnote>
  <w:footnote w:id="2">
    <w:p w:rsidR="00927BC9" w:rsidRDefault="000664B9">
      <w:pPr>
        <w:pStyle w:val="FootnoteText"/>
      </w:pPr>
      <w:r>
        <w:rPr>
          <w:rStyle w:val="FootnoteReference"/>
        </w:rPr>
        <w:footnoteRef/>
      </w:r>
      <w:r>
        <w:tab/>
        <w:t>Európska rada na základe žiadosti Spojeného kráľovstva rozhodla o prvom predĺžení 22. marca 2019 – rozhodnutie Európskej rady (EÚ</w:t>
      </w:r>
      <w:r>
        <w:t>) 2019/476 (Ú. v. EÚ L 80I, 22.3.2019, s. 1).</w:t>
      </w:r>
    </w:p>
  </w:footnote>
  <w:footnote w:id="3">
    <w:p w:rsidR="00927BC9" w:rsidRDefault="000664B9">
      <w:pPr>
        <w:pStyle w:val="FootnoteText"/>
      </w:pPr>
      <w:r>
        <w:rPr>
          <w:rStyle w:val="FootnoteReference"/>
        </w:rPr>
        <w:footnoteRef/>
      </w:r>
      <w:r>
        <w:tab/>
        <w:t>COM(2018) 880 final.</w:t>
      </w:r>
    </w:p>
  </w:footnote>
  <w:footnote w:id="4">
    <w:p w:rsidR="00927BC9" w:rsidRDefault="000664B9">
      <w:pPr>
        <w:pStyle w:val="FootnoteText"/>
      </w:pPr>
      <w:r>
        <w:rPr>
          <w:rStyle w:val="FootnoteReference"/>
        </w:rPr>
        <w:footnoteRef/>
      </w:r>
      <w:r>
        <w:tab/>
        <w:t>COM(2019) 195 final.</w:t>
      </w:r>
    </w:p>
  </w:footnote>
  <w:footnote w:id="5">
    <w:p w:rsidR="00927BC9" w:rsidRDefault="000664B9">
      <w:pPr>
        <w:pStyle w:val="FootnoteText"/>
      </w:pPr>
      <w:r>
        <w:rPr>
          <w:rStyle w:val="FootnoteReference"/>
        </w:rPr>
        <w:footnoteRef/>
      </w:r>
      <w:r>
        <w:tab/>
        <w:t>SWD(2019) 186 final.</w:t>
      </w:r>
    </w:p>
  </w:footnote>
  <w:footnote w:id="6">
    <w:p w:rsidR="00927BC9" w:rsidRDefault="000664B9">
      <w:pPr>
        <w:pStyle w:val="FootnoteText"/>
      </w:pPr>
      <w:r>
        <w:rPr>
          <w:rStyle w:val="FootnoteReference"/>
        </w:rPr>
        <w:footnoteRef/>
      </w:r>
      <w:r>
        <w:tab/>
        <w:t>Ú. v. EÚ C , , s. .</w:t>
      </w:r>
    </w:p>
  </w:footnote>
  <w:footnote w:id="7">
    <w:p w:rsidR="00927BC9" w:rsidRDefault="000664B9">
      <w:pPr>
        <w:pStyle w:val="FootnoteText"/>
      </w:pPr>
      <w:r>
        <w:rPr>
          <w:rStyle w:val="FootnoteReference"/>
        </w:rPr>
        <w:footnoteRef/>
      </w:r>
      <w:r>
        <w:tab/>
        <w:t>Ú. v. EÚ C , , s. .</w:t>
      </w:r>
    </w:p>
  </w:footnote>
  <w:footnote w:id="8">
    <w:p w:rsidR="00927BC9" w:rsidRDefault="000664B9">
      <w:pPr>
        <w:pStyle w:val="FootnoteText"/>
      </w:pPr>
      <w:r>
        <w:rPr>
          <w:rStyle w:val="FootnoteReference"/>
        </w:rPr>
        <w:footnoteRef/>
      </w:r>
      <w:r>
        <w:tab/>
        <w:t>Nariadenie Rady (ES) č. 2012/2002 z 11. novembra 2002, ktorým sa zriaďuje Fond solidarity Európ</w:t>
      </w:r>
      <w:r>
        <w:t>skej únie (Ú. v. ES L 311, 14.11.2002, s. 3).</w:t>
      </w:r>
    </w:p>
  </w:footnote>
  <w:footnote w:id="9">
    <w:p w:rsidR="00927BC9" w:rsidRDefault="000664B9">
      <w:pPr>
        <w:pStyle w:val="FootnoteText"/>
      </w:pPr>
      <w:r>
        <w:rPr>
          <w:rStyle w:val="FootnoteReference"/>
        </w:rPr>
        <w:footnoteRef/>
      </w:r>
      <w:r>
        <w:tab/>
        <w:t>Rozhodnutie Európskej rady (EÚ) 2019/584 (Ú. v. EÚ L 101, 11.4.2019, s. 1).</w:t>
      </w:r>
    </w:p>
  </w:footnote>
  <w:footnote w:id="10">
    <w:p w:rsidR="00927BC9" w:rsidRDefault="000664B9">
      <w:pPr>
        <w:pStyle w:val="FootnoteText"/>
      </w:pPr>
      <w:r>
        <w:rPr>
          <w:rStyle w:val="FootnoteReference"/>
        </w:rPr>
        <w:footnoteRef/>
      </w:r>
      <w:r>
        <w:tab/>
        <w:t>Európska rada na základe žiadosti Spojeného kráľovstva rozhodla o prvom predĺžení 22. marca 2019 – rozhodnutie Európskej rady (EÚ)</w:t>
      </w:r>
      <w:r>
        <w:t xml:space="preserve"> 2019/476 (Ú. v. EÚ L 80I, 22.3.2019, s. 1).</w:t>
      </w:r>
    </w:p>
  </w:footnote>
  <w:footnote w:id="11">
    <w:p w:rsidR="00927BC9" w:rsidRDefault="000664B9">
      <w:pPr>
        <w:pStyle w:val="FootnoteText"/>
      </w:pPr>
      <w:r>
        <w:rPr>
          <w:rStyle w:val="FootnoteReference"/>
        </w:rPr>
        <w:footnoteRef/>
      </w:r>
      <w:r>
        <w:tab/>
        <w:t>Dohoda o vystúpení Spojeného kráľovstva Veľkej Británie a Severného Írska z Európskej únie a z Európskeho spoločenstva pre atómovú energiu (Ú. v. EÚ C 144I, 25.4.2019, s. 1).</w:t>
      </w:r>
    </w:p>
  </w:footnote>
  <w:footnote w:id="12">
    <w:p w:rsidR="00927BC9" w:rsidRDefault="000664B9">
      <w:pPr>
        <w:pStyle w:val="FootnoteText"/>
      </w:pPr>
      <w:r>
        <w:rPr>
          <w:rStyle w:val="FootnoteReference"/>
        </w:rPr>
        <w:footnoteRef/>
      </w:r>
      <w:r>
        <w:tab/>
        <w:t>Nariadenie Európskeho parlamentu</w:t>
      </w:r>
      <w:r>
        <w:t xml:space="preserve"> a Rady (EÚ, Euratom) 2018/1046 z 18. júla 2018 o rozpočtových pravidlách, ktoré sa vzťahujú na všeobecný rozpočet Únie, o zmene nariadení (EÚ) č. 1296/2013, (EÚ) č. 1301/2013, (EÚ) č. 1303/2013, (EÚ) č. 1304/2013, (EÚ) č. 1309/2013, (EÚ) č. 1316/2013, (EÚ</w:t>
      </w:r>
      <w:r>
        <w:t>) č. 223/2014, (EÚ) č. 283/2014 a rozhodnutia č. 541/2014/EÚ a o zrušení nariadenia (EÚ, Euratom) č. 966/2012 (Ú. v. EÚ L 193, 30.7.2018, s. 1)“.</w:t>
      </w:r>
    </w:p>
  </w:footnote>
  <w:footnote w:id="13">
    <w:p w:rsidR="00927BC9" w:rsidRDefault="000664B9">
      <w:pPr>
        <w:pStyle w:val="FootnoteText"/>
      </w:pPr>
      <w:r>
        <w:rPr>
          <w:rStyle w:val="FootnoteReference"/>
        </w:rPr>
        <w:footnoteRef/>
      </w:r>
      <w:r>
        <w:tab/>
        <w:t>Nariadenie Rady (EÚ, Euratom) č. 1311/2013 z 2. decembra 2013, ktorým sa ustanovuje viacročný finančný rámec</w:t>
      </w:r>
      <w:r>
        <w:t xml:space="preserve"> na roky 2014 – 2020 (Ú. v. EÚ L 347, 20.12.2013, s. 884).</w:t>
      </w:r>
    </w:p>
  </w:footnote>
  <w:footnote w:id="14">
    <w:p w:rsidR="00927BC9" w:rsidRDefault="000664B9">
      <w:pPr>
        <w:pStyle w:val="FootnoteText"/>
      </w:pPr>
      <w:r>
        <w:rPr>
          <w:rStyle w:val="FootnoteReference"/>
        </w:rPr>
        <w:footnoteRef/>
      </w:r>
      <w:r>
        <w:tab/>
        <w:t>SWD(2019) 186 final.</w:t>
      </w:r>
    </w:p>
  </w:footnote>
  <w:footnote w:id="15">
    <w:p w:rsidR="00927BC9" w:rsidRDefault="000664B9">
      <w:pPr>
        <w:pStyle w:val="FootnoteText"/>
        <w:jc w:val="left"/>
      </w:pPr>
      <w:r>
        <w:rPr>
          <w:rStyle w:val="FootnoteReference"/>
        </w:rPr>
        <w:footnoteRef/>
      </w:r>
      <w:r>
        <w:tab/>
        <w:t xml:space="preserve">Vysvetlenie spôsobov riadenia a odkazy na nariadenie o rozpočtových pravidlách sú k dispozícii na webovej stránke BudgWeb: </w:t>
      </w:r>
      <w:hyperlink r:id="rId1" w:history="1">
        <w:r>
          <w:rPr>
            <w:rStyle w:val="Hyperlink"/>
          </w:rPr>
          <w:t>https://myintracomm.ec.europa.eu/budgweb/EN/man/budgmanag/Pages/budgmanag.aspx</w:t>
        </w:r>
      </w:hyperlink>
      <w:r>
        <w:t>.</w:t>
      </w:r>
    </w:p>
  </w:footnote>
  <w:footnote w:id="16">
    <w:p w:rsidR="00927BC9" w:rsidRDefault="000664B9">
      <w:pPr>
        <w:pStyle w:val="FootnoteText"/>
      </w:pPr>
      <w:r>
        <w:rPr>
          <w:rStyle w:val="FootnoteReference"/>
        </w:rPr>
        <w:footnoteRef/>
      </w:r>
      <w:r>
        <w:tab/>
        <w:t>DRP = diferencované rozpočtové prostriedky / NRP = nediferencované rozpočtové prostriedky.</w:t>
      </w:r>
    </w:p>
  </w:footnote>
  <w:footnote w:id="17">
    <w:p w:rsidR="00927BC9" w:rsidRDefault="000664B9">
      <w:pPr>
        <w:pStyle w:val="FootnoteText"/>
      </w:pPr>
      <w:r>
        <w:rPr>
          <w:rStyle w:val="FootnoteReference"/>
        </w:rPr>
        <w:footnoteRef/>
      </w:r>
      <w:r>
        <w:tab/>
        <w:t>EZVO: Európske združenie voľného ob</w:t>
      </w:r>
      <w:r>
        <w:t xml:space="preserve">chodu. </w:t>
      </w:r>
    </w:p>
  </w:footnote>
  <w:footnote w:id="18">
    <w:p w:rsidR="00927BC9" w:rsidRDefault="000664B9">
      <w:pPr>
        <w:pStyle w:val="FootnoteText"/>
      </w:pPr>
      <w:r>
        <w:rPr>
          <w:rStyle w:val="FootnoteReference"/>
        </w:rPr>
        <w:footnoteRef/>
      </w:r>
      <w:r>
        <w:tab/>
        <w:t>Kandidátske krajiny a prípadne potenciálni kandidáti zo západného Balkánu.</w:t>
      </w:r>
    </w:p>
  </w:footnote>
  <w:footnote w:id="19">
    <w:p w:rsidR="00927BC9" w:rsidRDefault="000664B9">
      <w:pPr>
        <w:pStyle w:val="FootnoteText"/>
      </w:pPr>
      <w:r>
        <w:rPr>
          <w:rStyle w:val="FootnoteReference"/>
        </w:rPr>
        <w:footnoteRef/>
      </w:r>
      <w:r>
        <w:tab/>
        <w:t xml:space="preserve">Rok N je rokom, v ktorom sa návrh/iniciatíva začína vykonávať. Nahraďte „N“ očakávaným prvým rokom vykonávania (napríklad: 2021). To isté urobte aj pri nasledujúcich </w:t>
      </w:r>
      <w:r>
        <w:t>rokoch.</w:t>
      </w:r>
    </w:p>
  </w:footnote>
  <w:footnote w:id="20">
    <w:p w:rsidR="00927BC9" w:rsidRDefault="000664B9">
      <w:pPr>
        <w:pStyle w:val="FootnoteText"/>
      </w:pPr>
      <w:r>
        <w:rPr>
          <w:rStyle w:val="FootnoteReference"/>
        </w:rPr>
        <w:footnoteRef/>
      </w:r>
      <w:r>
        <w:tab/>
        <w:t>Výstupy sú produkty, ktoré sa majú dodať, a služby, ktoré sa majú poskytnúť (napr.: počet financovaných výmen študentov, vybudované cesty v km atď.).</w:t>
      </w:r>
    </w:p>
  </w:footnote>
  <w:footnote w:id="21">
    <w:p w:rsidR="00927BC9" w:rsidRDefault="000664B9">
      <w:pPr>
        <w:pStyle w:val="FootnoteText"/>
      </w:pPr>
      <w:r>
        <w:rPr>
          <w:rStyle w:val="FootnoteReference"/>
        </w:rPr>
        <w:footnoteRef/>
      </w:r>
      <w:r>
        <w:tab/>
        <w:t xml:space="preserve">Ako je uvedené v bode 1.4.2. „Špecifické ciele...“. </w:t>
      </w:r>
    </w:p>
  </w:footnote>
  <w:footnote w:id="22">
    <w:p w:rsidR="00927BC9" w:rsidRDefault="000664B9">
      <w:pPr>
        <w:pStyle w:val="FootnoteText"/>
      </w:pPr>
      <w:r>
        <w:rPr>
          <w:rStyle w:val="FootnoteReference"/>
        </w:rPr>
        <w:footnoteRef/>
      </w:r>
      <w:r>
        <w:tab/>
        <w:t xml:space="preserve">Rok N je rokom, v ktorom sa </w:t>
      </w:r>
      <w:r>
        <w:t>návrh/iniciatíva začína vykonávať. Nahraďte „N“ očakávaným prvým rokom vykonávania (napríklad: 2021). To isté urobte aj pri nasledujúcich rokoch.</w:t>
      </w:r>
    </w:p>
  </w:footnote>
  <w:footnote w:id="23">
    <w:p w:rsidR="00927BC9" w:rsidRDefault="000664B9">
      <w:pPr>
        <w:pStyle w:val="FootnoteText"/>
      </w:pPr>
      <w:r>
        <w:rPr>
          <w:rStyle w:val="FootnoteReference"/>
        </w:rPr>
        <w:footnoteRef/>
      </w:r>
      <w:r>
        <w:tab/>
        <w:t>Technická a/alebo administratívna pomoc a výdavky určené na financovanie vykonávania programov a/alebo akcií</w:t>
      </w:r>
      <w:r>
        <w:t xml:space="preserve"> Európskej únie (pôvodné rozpočtové riadky „BA“), nepriamy výskum, priamy výskum.</w:t>
      </w:r>
    </w:p>
  </w:footnote>
  <w:footnote w:id="24">
    <w:p w:rsidR="00927BC9" w:rsidRDefault="000664B9">
      <w:pPr>
        <w:pStyle w:val="FootnoteText"/>
      </w:pPr>
      <w:r>
        <w:rPr>
          <w:rStyle w:val="FootnoteReference"/>
        </w:rPr>
        <w:footnoteRef/>
      </w:r>
      <w:r>
        <w:tab/>
        <w:t xml:space="preserve">ZZ = zmluvný zamestnanec; MZ = miestny zamestnanec; VNE = vyslaný národný expert; DAZ = dočasný agentúrny zamestnanec; PED = pomocný expert v delegácii. </w:t>
      </w:r>
    </w:p>
  </w:footnote>
  <w:footnote w:id="25">
    <w:p w:rsidR="00927BC9" w:rsidRDefault="000664B9">
      <w:pPr>
        <w:pStyle w:val="FootnoteText"/>
      </w:pPr>
      <w:r>
        <w:rPr>
          <w:rStyle w:val="FootnoteReference"/>
        </w:rPr>
        <w:footnoteRef/>
      </w:r>
      <w:r>
        <w:tab/>
        <w:t xml:space="preserve">Čiastkový strop </w:t>
      </w:r>
      <w:r>
        <w:t>pre externých zamestnancov financovaných z operačných rozpočtových prostriedkov (pôvodné rozpočtové riadky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9" w:rsidRDefault="00927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A7E67B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2DCF5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998F45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59C96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1885F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EDE595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8"/>
  </w:num>
  <w:num w:numId="8">
    <w:abstractNumId w:val="17"/>
  </w:num>
  <w:num w:numId="9">
    <w:abstractNumId w:val="16"/>
  </w:num>
  <w:num w:numId="10">
    <w:abstractNumId w:val="23"/>
    <w:lvlOverride w:ilvl="0">
      <w:startOverride w:val="1"/>
    </w:lvlOverride>
  </w:num>
  <w:num w:numId="11">
    <w:abstractNumId w:val="24"/>
    <w:lvlOverride w:ilvl="0">
      <w:startOverride w:val="1"/>
    </w:lvlOverride>
  </w:num>
  <w:num w:numId="12">
    <w:abstractNumId w:val="2"/>
  </w:num>
  <w:num w:numId="13">
    <w:abstractNumId w:val="0"/>
  </w:num>
  <w:num w:numId="14">
    <w:abstractNumId w:val="21"/>
  </w:num>
  <w:num w:numId="15">
    <w:abstractNumId w:val="13"/>
  </w:num>
  <w:num w:numId="16">
    <w:abstractNumId w:val="23"/>
  </w:num>
  <w:num w:numId="17">
    <w:abstractNumId w:val="12"/>
  </w:num>
  <w:num w:numId="18">
    <w:abstractNumId w:val="14"/>
  </w:num>
  <w:num w:numId="19">
    <w:abstractNumId w:val="10"/>
  </w:num>
  <w:num w:numId="20">
    <w:abstractNumId w:val="22"/>
  </w:num>
  <w:num w:numId="21">
    <w:abstractNumId w:val="9"/>
  </w:num>
  <w:num w:numId="22">
    <w:abstractNumId w:val="15"/>
  </w:num>
  <w:num w:numId="23">
    <w:abstractNumId w:val="19"/>
  </w:num>
  <w:num w:numId="24">
    <w:abstractNumId w:val="20"/>
  </w:num>
  <w:num w:numId="25">
    <w:abstractNumId w:val="11"/>
  </w:num>
  <w:num w:numId="26">
    <w:abstractNumId w:val="1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09:53: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EFE122B-3270-4201-AF74-BBA6AC5BC052"/>
    <w:docVar w:name="LW_COVERPAGE_TYPE" w:val="1"/>
    <w:docVar w:name="LW_CROSSREFERENCE" w:val="&lt;UNUSED&gt;"/>
    <w:docVar w:name="LW_DocType" w:val="COM"/>
    <w:docVar w:name="LW_EMISSION" w:val="4. 9. 2019"/>
    <w:docVar w:name="LW_EMISSION_ISODATE" w:val="2019-09-0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83"/>
    <w:docVar w:name="LW_REF.II.NEW.CP_YEAR" w:val="2019"/>
    <w:docVar w:name="LW_REF.INST.NEW" w:val="COM"/>
    <w:docVar w:name="LW_REF.INST.NEW_ADOPTED" w:val="final"/>
    <w:docVar w:name="LW_REF.INST.NEW_TEXT" w:val="(2019) 3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Rady (ES) \u269?. 2012/2002 s cie\u318?om poskytnú\u357? finan\u269?nú pomoc \u269?lenským \u353?tátom na pokrytie vá\u382?nej finan\u269?nej zá\u357?a\u382?e, ktorá im vznikla v dôsledku vystúpenia Spojeného krá\u318?ovstva z Únie bez dohody"/>
    <w:docVar w:name="LW_TYPE.DOC.CP" w:val="NARIADENIE EURÓPSKEHO PARLAMENTU A RADY,"/>
  </w:docVars>
  <w:rsids>
    <w:rsidRoot w:val="00927BC9"/>
    <w:rsid w:val="000664B9"/>
    <w:rsid w:val="0092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EABAE-6991-4FAE-B051-40B9E84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unhideWhenUsed/>
    <w:pPr>
      <w:numPr>
        <w:numId w:val="5"/>
      </w:numPr>
      <w:contextualSpacing/>
    </w:pPr>
  </w:style>
  <w:style w:type="paragraph" w:styleId="ListNumber3">
    <w:name w:val="List Number 3"/>
    <w:basedOn w:val="Normal"/>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7"/>
      </w:numPr>
    </w:pPr>
    <w:rPr>
      <w:lang w:eastAsia="en-GB"/>
    </w:rPr>
  </w:style>
  <w:style w:type="paragraph" w:customStyle="1" w:styleId="ListDash1">
    <w:name w:val="List Dash 1"/>
    <w:basedOn w:val="Normal"/>
    <w:pPr>
      <w:numPr>
        <w:numId w:val="8"/>
      </w:numPr>
    </w:pPr>
    <w:rPr>
      <w:lang w:eastAsia="en-GB"/>
    </w:rPr>
  </w:style>
  <w:style w:type="paragraph" w:customStyle="1" w:styleId="ListDash2">
    <w:name w:val="List Dash 2"/>
    <w:basedOn w:val="Normal"/>
    <w:pPr>
      <w:numPr>
        <w:numId w:val="9"/>
      </w:numPr>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62441">
      <w:bodyDiv w:val="1"/>
      <w:marLeft w:val="0"/>
      <w:marRight w:val="0"/>
      <w:marTop w:val="0"/>
      <w:marBottom w:val="0"/>
      <w:divBdr>
        <w:top w:val="none" w:sz="0" w:space="0" w:color="auto"/>
        <w:left w:val="none" w:sz="0" w:space="0" w:color="auto"/>
        <w:bottom w:val="none" w:sz="0" w:space="0" w:color="auto"/>
        <w:right w:val="none" w:sz="0" w:space="0" w:color="auto"/>
      </w:divBdr>
    </w:div>
    <w:div w:id="12930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EN/leg/internal/Documents/2016-5-legislative-financial-statement-ann-e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8E2D-5E50-4EB2-8C3F-3B8B12B8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8</TotalTime>
  <Pages>24</Pages>
  <Words>6202</Words>
  <Characters>36163</Characters>
  <Application>Microsoft Office Word</Application>
  <DocSecurity>0</DocSecurity>
  <Lines>1339</Lines>
  <Paragraphs>460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HEILEMANN Stefanie (SG)</cp:lastModifiedBy>
  <cp:revision>22</cp:revision>
  <cp:lastPrinted>2019-08-30T14:30:00Z</cp:lastPrinted>
  <dcterms:created xsi:type="dcterms:W3CDTF">2019-09-06T08:30:00Z</dcterms:created>
  <dcterms:modified xsi:type="dcterms:W3CDTF">2019-09-09T08:20:00Z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