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DE40137-BB0D-480D-8491-93DF0CBEC24B"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u w:color="000000"/>
          <w:bdr w:val="nil"/>
        </w:rPr>
        <w:tab/>
      </w:r>
      <w:r>
        <w:rPr>
          <w:noProof/>
        </w:rPr>
        <w:t>Forslagets begrundelse og formål</w:t>
      </w:r>
    </w:p>
    <w:p>
      <w:pPr>
        <w:rPr>
          <w:noProof/>
          <w:sz w:val="23"/>
          <w:szCs w:val="23"/>
        </w:rPr>
      </w:pPr>
      <w:r>
        <w:rPr>
          <w:noProof/>
        </w:rPr>
        <w:t>Formålet med dette forslag er at give Den Europæiske Fond for Tilpasning til Globaliseringen ("Globaliseringsfonden") mulighed for at yde støtte til arbejdstagere, der er blevet afskediget som følge af de økonomiske forstyrrelser, der sandsynligvis vil blive forårsaget af Det Forenede Kongerige Storbritannien og Nordirlands ("Det Forenede Kongerige") udtræden af Unionen uden en udtrædelsesaftale.</w:t>
      </w:r>
    </w:p>
    <w:p>
      <w:pPr>
        <w:rPr>
          <w:noProof/>
        </w:rPr>
      </w:pPr>
      <w:r>
        <w:rPr>
          <w:noProof/>
        </w:rPr>
        <w:t>Det Forenede Kongerige meddelte den 29. marts 2017 sin beslutning om at udtræde af Unionen i henhold til artikel 50 i traktaten om Den Europæiske Union ("TEU"). Den 11. april 2019</w:t>
      </w:r>
      <w:r>
        <w:rPr>
          <w:rStyle w:val="FootnoteReference"/>
          <w:noProof/>
        </w:rPr>
        <w:footnoteReference w:id="1"/>
      </w:r>
      <w:r>
        <w:rPr>
          <w:noProof/>
        </w:rPr>
        <w:t xml:space="preserve"> vedtog Det Europæiske Råd (artikel 50) efter anmodning fra Det Forenede Kongerige en yderligere forlængelse</w:t>
      </w:r>
      <w:r>
        <w:rPr>
          <w:rStyle w:val="FootnoteReference"/>
          <w:noProof/>
        </w:rPr>
        <w:footnoteReference w:id="2"/>
      </w:r>
      <w:r>
        <w:rPr>
          <w:noProof/>
        </w:rPr>
        <w:t xml:space="preserve"> frem til den 31. oktober 2019 af den frist, der er fastsat i artikel 50, stk. 3, i TEU. Medmindre Det Forenede Kongerige ratificerer udtrædelsesaftalen</w:t>
      </w:r>
      <w:r>
        <w:rPr>
          <w:rStyle w:val="FootnoteReference"/>
          <w:noProof/>
        </w:rPr>
        <w:footnoteReference w:id="3"/>
      </w:r>
      <w:r>
        <w:rPr>
          <w:noProof/>
        </w:rPr>
        <w:t xml:space="preserve"> inden den 31. oktober 2019 eller anmoder om en tredje forlængelse, som Det Europæiske Råd (artikel 50) vedtager enstemmigt, vil Det Forenede Kongerige udtræde af Unionen uden en aftale og vil blive et tredjeland fra den 1. november 2019. Hvis der ikke indgås nogen udtrædelsesaftale, vil en sådan udtræden sandsynligvis få betydelige negative konsekvenser for visse erhvervsgrene og tjenesteydelser, hvilket vil medføre afskedigelser inden for de pågældende sektorer.</w:t>
      </w:r>
    </w:p>
    <w:p>
      <w:pPr>
        <w:rPr>
          <w:noProof/>
        </w:rPr>
      </w:pPr>
      <w:r>
        <w:rPr>
          <w:noProof/>
        </w:rPr>
        <w:t>Formålet med Globaliseringsfonden er at yde støtte til arbejdstagere, der er blevet afskediget, og til selvstændige erhvervsdrivende, hvis aktivitet er ophørt, som følge af gennemgribende strukturændringer i verdenshandelsmønstrene, der kan tilskrives globaliseringen, eller som følge af en global finansiel og økonomisk krise.</w:t>
      </w:r>
    </w:p>
    <w:p>
      <w:pPr>
        <w:rPr>
          <w:noProof/>
          <w:sz w:val="22"/>
        </w:rPr>
      </w:pPr>
      <w:r>
        <w:rPr>
          <w:noProof/>
        </w:rPr>
        <w:t>I henhold til globaliseringskriteriet omfatter Globaliseringsfondens anvendelsesområde afskedigelser, der er forårsaget af udflytning af arbejdspladser til tredjelande, en alvorlig forskydning i Unionens handel med varer og tjenesteydelser eller et hurtigt fald i Unionens markedsandel inden for en given sektor. Dette forslag præciserer, at Globaliseringsfondens anvendelsesområde omfatter afskedigede arbejdstagere i områder, sektorer, geografiske områder eller arbejdsmarkeder, der vil lide alvorlige økonomiske forstyrrelser som følge af Det Forenede Kongeriges udtræden af Unionen uden en udtrædelsesaftale. En sådan udtræden vil udgøre en markant ændring i EU's handelsforbindelser og sammensætningen af det indre marked, hvorfor det kan forventes at få en betydelig indvirkning på handelsmønstre, vækst og beskæftigelse.</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Sammenhæng med de gældende regler på samme område og Unionens politik på andre områder</w:t>
      </w:r>
    </w:p>
    <w:p>
      <w:pPr>
        <w:pBdr>
          <w:top w:val="nil"/>
          <w:left w:val="nil"/>
          <w:bottom w:val="nil"/>
          <w:right w:val="nil"/>
          <w:between w:val="nil"/>
          <w:bar w:val="nil"/>
        </w:pBdr>
        <w:spacing w:before="0" w:after="240"/>
        <w:rPr>
          <w:rFonts w:eastAsia="Arial Unicode MS"/>
          <w:noProof/>
        </w:rPr>
      </w:pPr>
      <w:r>
        <w:rPr>
          <w:noProof/>
        </w:rPr>
        <w:t>Dette forslag indgår som led i Unionens beredskabs- og nødplan, som har til formål at afbøde de alvorligste forstyrrelser som følge af Det Forenede Kongeriges udtræden af Unionen uden en udtrædelsesaftale.</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rPr>
          <w:noProof/>
        </w:rPr>
      </w:pPr>
      <w:r>
        <w:rPr>
          <w:noProof/>
        </w:rPr>
        <w:t>Retsgrundlaget er traktaten om Den Europæiske Unions funktionsmåde (TEUF), særlig artikel 175.</w:t>
      </w:r>
    </w:p>
    <w:p>
      <w:pPr>
        <w:pBdr>
          <w:top w:val="nil"/>
          <w:left w:val="nil"/>
          <w:bottom w:val="nil"/>
          <w:right w:val="nil"/>
          <w:between w:val="nil"/>
          <w:bar w:val="nil"/>
        </w:pBdr>
        <w:spacing w:before="0" w:after="240"/>
        <w:rPr>
          <w:rFonts w:eastAsia="Arial Unicode MS"/>
          <w:noProof/>
        </w:rPr>
      </w:pPr>
      <w:r>
        <w:rPr>
          <w:noProof/>
        </w:rPr>
        <w:t>Hvis det viser sig nødvendigt med særlige aktioner ud over strukturfondene og med forbehold af de foranstaltninger, der træffes som led i Unionens øvrige politikker, kan disse aktioner i medfør af artikel 175, stk. 3, vedtages af Europa-Parlamentet og Rådet, der træffer afgørelse efter den almindelige lovgivningsprocedure og efter høring af Det Europæiske Økonomiske og Sociale Udvalg og Det Europæiske Regionsudvalg.</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Finansiering over EU-budgettet er koncentreret om aktiviteter, hvis formål ikke i tilstrækkeligt omfang kan opnås af medlemsstaterne alene, og hvor Unionens involvering kan give en merværdi i forhold til medlemsstaternes indsats alene. Mobiliseringen af Globaliseringsfonden til at medfinansiere foranstaltninger, der tager sigte på at hjælpe afskedigede arbejdstagere med at finde ny beskæftigelse, overholder nærhedsprincippet og skaber europæisk merværdi.</w:t>
      </w:r>
    </w:p>
    <w:p>
      <w:pPr>
        <w:pBdr>
          <w:top w:val="nil"/>
          <w:left w:val="nil"/>
          <w:bottom w:val="nil"/>
          <w:right w:val="nil"/>
          <w:between w:val="nil"/>
          <w:bar w:val="nil"/>
        </w:pBdr>
        <w:spacing w:before="0" w:after="240"/>
        <w:rPr>
          <w:noProof/>
        </w:rPr>
      </w:pPr>
      <w:r>
        <w:rPr>
          <w:noProof/>
        </w:rPr>
        <w:t>Det er almindelig praksis, at nationale arbejdsmarkedsprogrammer hjælper afskedigede arbejdstagere, og Globaliseringsfondens har ikke som mål at erstatte sådanne programmer. I tilfælde af uforudsete omstruktureringer, der i væsentlig grad påvirker arbejdsmarkedet, sættes de normale nationale programmer på prøve. På grund af omfanget og virkningerne af større uforudsete omstruktureringer, og eftersom Globaliseringsfonden er udtryk for solidaritet på tværs af og mellem medlemsstaterne, kan støtten derfor bedre gennemføres på EU-plan. Støtten fra Globaliseringsfonden vil gøre EU's solidaritet under ekstraordinære omstændigheder mere håndgribelig for de berørte arbejdstagere og for EU-borgerne generelt.</w:t>
      </w:r>
    </w:p>
    <w:p>
      <w:pPr>
        <w:pBdr>
          <w:top w:val="nil"/>
          <w:left w:val="nil"/>
          <w:bottom w:val="nil"/>
          <w:right w:val="nil"/>
          <w:between w:val="nil"/>
          <w:bar w:val="nil"/>
        </w:pBdr>
        <w:spacing w:before="0" w:after="240"/>
        <w:rPr>
          <w:rFonts w:eastAsia="Arial Unicode MS"/>
          <w:noProof/>
        </w:rPr>
      </w:pPr>
      <w:r>
        <w:rPr>
          <w:noProof/>
        </w:rPr>
        <w:t>Mobiliseringen af Globaliseringsfonden skaber merværdi ved at øge det samlede antal tilbud til afskedigede arbejdstagere, samt disse tilbuds alsidighed og intensitet. Globaliseringsfonden giver desuden mulighed for at afprøve innovative idéer, identificere bedste praksisser og indarbejde disse i de nationale støttepakker. Foranstaltninger, der medfinansieres af Globaliseringsfonden, bidrager også generelt til at forbedre den måde, hvorpå støtten gives til de afskedigede arbejdstagere.</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pBdr>
          <w:top w:val="nil"/>
          <w:left w:val="nil"/>
          <w:bottom w:val="nil"/>
          <w:right w:val="nil"/>
          <w:between w:val="nil"/>
          <w:bar w:val="nil"/>
        </w:pBdr>
        <w:spacing w:before="0" w:after="240"/>
        <w:rPr>
          <w:rFonts w:eastAsia="Arial Unicode MS"/>
          <w:noProof/>
        </w:rPr>
      </w:pPr>
      <w:r>
        <w:rPr>
          <w:noProof/>
        </w:rPr>
        <w:t>I overensstemmelse med proportionalitetsprincippet går bestemmelserne i dette forslag ikke ud over, hvad der er nødvendigt for at nå de tilstræbte mål. Den administrative byrde for Unionen og de nationale myndigheder, der ansøger om støtte fra Globaliseringsfonden, er blevet begrænset til, hvad der kræves, for at Kommissionen kan varetage sit ansvar for gennemførelsen af EU's budget. Da den økonomiske støtte udbetales til medlemsstaterne i henhold til princippet med delt forvaltning, skal medlemsstaten derfor fremlægge en rapport om, hvorledes støtten er blevet anvendt.</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rPr>
          <w:rFonts w:eastAsia="Arial Unicode MS"/>
          <w:noProof/>
        </w:rPr>
      </w:pPr>
      <w:r>
        <w:rPr>
          <w:noProof/>
        </w:rPr>
        <w:t>Eftersom dette forslag er en ændring af forordning (EU) nr. 1309/2013, skal retsakten være en forordning.</w:t>
      </w:r>
    </w:p>
    <w:p>
      <w:pPr>
        <w:pStyle w:val="ManualHeading1"/>
        <w:rPr>
          <w:noProof/>
        </w:rPr>
      </w:pPr>
      <w:r>
        <w:rPr>
          <w:noProof/>
        </w:rPr>
        <w:lastRenderedPageBreak/>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Dette forslag vedtages som led i Unionens beredskabsforanstaltninger, som har til formål at afbøde de alvorligste forstyrrelser som følge af Det Forenede Kongeriges udtræden af Unionen uden en udtrædelsesaftale. Europa-Kommissionen har analyseret risiciene og konkluderet, at dette forslag er nødvendigt for at sikre en effektiv mobilisering af Globaliseringsfonden for at vise solidaritet med EU-arbejdstagere, der er blevet arbejdsløse som følge af Det Forenede Kongeriges udtræden af Unionen uden en udtrædelsesaftale.</w:t>
      </w:r>
    </w:p>
    <w:p>
      <w:pPr>
        <w:pStyle w:val="ManualHeading1"/>
        <w:rPr>
          <w:noProof/>
        </w:rPr>
      </w:pPr>
      <w:r>
        <w:rPr>
          <w:noProof/>
        </w:rPr>
        <w:t>4.</w:t>
      </w:r>
      <w:r>
        <w:rPr>
          <w:noProof/>
        </w:rPr>
        <w:tab/>
        <w:t>VIRKNINGER FOR BUDGETTET</w:t>
      </w:r>
    </w:p>
    <w:p>
      <w:pPr>
        <w:rPr>
          <w:noProof/>
        </w:rPr>
      </w:pPr>
      <w:r>
        <w:rPr>
          <w:noProof/>
        </w:rPr>
        <w:t>I henhold til artikel 12 i Rådets forordning (EU, Euratom) nr. 1311/2013 af 2. december 2013 om fastlæggelse af den flerårige finansielle ramme for årene 2014-2020 må Globaliseringsfonden ikke overstige et årligt beløb på 150 mio. EUR (i 2011-priser).</w:t>
      </w:r>
    </w:p>
    <w:p>
      <w:pPr>
        <w:pBdr>
          <w:top w:val="nil"/>
          <w:left w:val="nil"/>
          <w:bottom w:val="nil"/>
          <w:right w:val="nil"/>
          <w:between w:val="nil"/>
          <w:bar w:val="nil"/>
        </w:pBdr>
        <w:spacing w:before="0" w:after="240"/>
        <w:rPr>
          <w:rFonts w:eastAsia="Arial Unicode MS"/>
          <w:noProof/>
        </w:rPr>
      </w:pPr>
      <w:r>
        <w:rPr>
          <w:noProof/>
        </w:rPr>
        <w:t>Nærværende forslag ændrer ikke Globaliseringsfondens maksimale årlige beløb.</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I den foreslåede ændring af artikel 2 præciseres det, at Det Forenede Kongeriges udtræden af Unionen uden en udtrædelsesaftale er omfattet af Globaliseringsfondens anvendelsesområde. Formålet hermed er at sikre, at Globaliseringsfonden kan mobiliseres effektivt ved at yde støtte til EU-arbejdstagere, der er blevet arbejdsløse som følge af Det Forenede Kongeriges udtræden uden en udtrædelsesaftale.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(EU) nr. 1309/2013 om oprettelse af Den Europæiske Fond for Tilpasning til Globaliseringen (2014-2020)</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175, stk. 3,</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efter høring af Det Europæiske Økonomiske og Sociale Udvalg,</w:t>
      </w:r>
    </w:p>
    <w:p>
      <w:pPr>
        <w:rPr>
          <w:noProof/>
        </w:rPr>
      </w:pPr>
      <w:r>
        <w:rPr>
          <w:noProof/>
        </w:rPr>
        <w:t>efter høring af Regionsudvalget,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Den Europæiske Fond for Tilpasning til Globaliseringen ("Globaliseringsfonden") blev oprettet ved Europa-Parlamentets og Rådets forordning (EF) nr. 1927/2006</w:t>
      </w:r>
      <w:r>
        <w:rPr>
          <w:rStyle w:val="FootnoteReference"/>
          <w:noProof/>
        </w:rPr>
        <w:footnoteReference w:id="4"/>
      </w:r>
      <w:r>
        <w:rPr>
          <w:noProof/>
        </w:rPr>
        <w:t xml:space="preserve"> for den flerårige finansielle ramme fra 1. januar 2007 til 31. december 2013. Globaliseringsfonden blev oprettet for at give Unionen mulighed for at udvise solidaritet med arbejdstagere, der har mistet deres arbejde som følge af ændringer i verdenshandelsmønstrene, der kan tilskrives globaliseringen.</w:t>
      </w:r>
    </w:p>
    <w:p>
      <w:pPr>
        <w:pStyle w:val="ManualConsidrant"/>
        <w:rPr>
          <w:noProof/>
        </w:rPr>
      </w:pPr>
      <w:r>
        <w:rPr>
          <w:noProof/>
        </w:rPr>
        <w:t>(2)</w:t>
      </w:r>
      <w:r>
        <w:rPr>
          <w:noProof/>
        </w:rPr>
        <w:tab/>
        <w:t>Globaliseringsfondens anvendelsesområde blev udvidet i 2009 ved Europa-Parlamentets og Rådets forordning (EF) nr. 546/2009</w:t>
      </w:r>
      <w:r>
        <w:rPr>
          <w:rStyle w:val="FootnoteReference"/>
          <w:noProof/>
        </w:rPr>
        <w:footnoteReference w:id="5"/>
      </w:r>
      <w:r>
        <w:rPr>
          <w:noProof/>
        </w:rPr>
        <w:t xml:space="preserve"> som led i den europæiske økonomiske genopretningsplan for at støtte arbejdstagere, der er blevet arbejdsløse som direkte følge af den internationale økonomiske og finansielle krise.</w:t>
      </w:r>
    </w:p>
    <w:p>
      <w:pPr>
        <w:pStyle w:val="ManualConsidrant"/>
        <w:rPr>
          <w:noProof/>
        </w:rPr>
      </w:pPr>
      <w:r>
        <w:rPr>
          <w:noProof/>
        </w:rPr>
        <w:t>(3)</w:t>
      </w:r>
      <w:r>
        <w:rPr>
          <w:noProof/>
        </w:rPr>
        <w:tab/>
        <w:t>Globaliseringsfonden blev oprettet ved Europa-Parlamentets og Rådets forordning (EU) nr. 1309/2013</w:t>
      </w:r>
      <w:r>
        <w:rPr>
          <w:rStyle w:val="FootnoteReference"/>
          <w:noProof/>
        </w:rPr>
        <w:footnoteReference w:id="6"/>
      </w:r>
      <w:r>
        <w:rPr>
          <w:noProof/>
        </w:rPr>
        <w:t xml:space="preserve"> for den flerårige finansielle ramme fra 1. januar 2014 til 31. december 2020. Den udvidede også Globaliseringsfondens anvendelsesområde til at dække ikke blot afskedigelser som følge af gennemgribende strukturændringer i verdenshandelsmønstrene, der kan tilskrives globaliseringen, og afskedigelser som følge af alvorlige økonomiske forstyrrelser forårsaget af en fortsættelse af den globale finansielle og økonomiske krise som omhandlet i forordning (EF) nr. 546/2009, men også afskedigelser som følge af en eventuel ny global finansiel og økonomisk krise. </w:t>
      </w:r>
      <w:r>
        <w:rPr>
          <w:noProof/>
        </w:rPr>
        <w:lastRenderedPageBreak/>
        <w:t>Endvidere blev forordning (EU) nr. 1309/2013 ændret ved Europa-Parlamentets og Rådets forordning (EU, Euratom) 2018/1046</w:t>
      </w:r>
      <w:r>
        <w:rPr>
          <w:rStyle w:val="FootnoteReference"/>
          <w:noProof/>
        </w:rPr>
        <w:footnoteReference w:id="7"/>
      </w:r>
      <w:r>
        <w:rPr>
          <w:noProof/>
        </w:rPr>
        <w:t xml:space="preserve"> med henblik på bl.a. at indføre regler, der giver mulighed for, at Globaliseringsfonden undtagelsesvist kan dække kollektive ansøgninger vedrørende små og mellemstore virksomheder, der er beliggende i én region, og som opererer i forskellige økonomiske sektorer, som defineret på hovedgruppeniveau i NACE (rev. 2)</w:t>
      </w:r>
      <w:r>
        <w:rPr>
          <w:rStyle w:val="FootnoteReference"/>
          <w:noProof/>
        </w:rPr>
        <w:footnoteReference w:id="8"/>
      </w:r>
      <w:r>
        <w:rPr>
          <w:noProof/>
        </w:rPr>
        <w:t>, såfremt den ansøgende medlemsstat påviser, at små og mellemstore virksomheder er den primære eller den eneste type virksomhed i den pågældende region.</w:t>
      </w:r>
    </w:p>
    <w:p>
      <w:pPr>
        <w:pStyle w:val="ManualConsidrant"/>
        <w:rPr>
          <w:noProof/>
        </w:rPr>
      </w:pPr>
      <w:r>
        <w:rPr>
          <w:noProof/>
        </w:rPr>
        <w:t>(4)</w:t>
      </w:r>
      <w:r>
        <w:rPr>
          <w:noProof/>
        </w:rPr>
        <w:tab/>
        <w:t>Den 29. marts 2017 meddelte Det Forenede Kongerige sin beslutning om at udtræde af Unionen i henhold til artikel 50 i traktaten om Den Europæiske Union ("TEU"). Traktaterne ophører med at finde anvendelse på Det Forenede Kongerige på datoen for udtrædelsesaftalens ikrafttræden eller, hvis en sådan aftale ikke indgås, to år efter meddelelsen, medmindre Det Europæiske Råd efter aftale med Det Forenede Kongerige enstemmigt beslutter at forlænge denne frist.</w:t>
      </w:r>
    </w:p>
    <w:p>
      <w:pPr>
        <w:pStyle w:val="ManualConsidrant"/>
        <w:rPr>
          <w:noProof/>
        </w:rPr>
      </w:pPr>
      <w:r>
        <w:rPr>
          <w:noProof/>
        </w:rPr>
        <w:t>(5)</w:t>
      </w:r>
      <w:r>
        <w:rPr>
          <w:noProof/>
        </w:rPr>
        <w:tab/>
        <w:t>Den 11. april 2019</w:t>
      </w:r>
      <w:r>
        <w:rPr>
          <w:rStyle w:val="FootnoteReference"/>
          <w:noProof/>
        </w:rPr>
        <w:footnoteReference w:id="9"/>
      </w:r>
      <w:r>
        <w:rPr>
          <w:noProof/>
        </w:rPr>
        <w:t xml:space="preserve"> vedtog Det Europæiske Råd efter anmodning fra Det Forenede Kongerige en yderligere forlængelse</w:t>
      </w:r>
      <w:r>
        <w:rPr>
          <w:rStyle w:val="FootnoteReference"/>
          <w:noProof/>
        </w:rPr>
        <w:footnoteReference w:id="10"/>
      </w:r>
      <w:r>
        <w:rPr>
          <w:noProof/>
        </w:rPr>
        <w:t xml:space="preserve"> til den 31. oktober 2019 af den frist, der er fastsat i artikel 50, stk. 3, i TEU. Medmindre Det Forenede Kongerige ratificerer udtrædelsesaftalen</w:t>
      </w:r>
      <w:r>
        <w:rPr>
          <w:rStyle w:val="FootnoteReference"/>
          <w:noProof/>
        </w:rPr>
        <w:footnoteReference w:id="11"/>
      </w:r>
      <w:r>
        <w:rPr>
          <w:noProof/>
        </w:rPr>
        <w:t xml:space="preserve"> inden den 31. oktober 2019 eller anmoder om en tredje forlængelse, som Det Europæiske Råd vedtager enstemmigt, vil Det Forenede Kongerige udtræde af Unionen uden en aftale og vil blive et tredjeland fra den 1. november 2019. Hvis der ikke indgås nogen udtrædelsesaftale, vil en sådan udtræden sandsynligvis få betydelige negative konsekvenser for visse erhvervsgrene og tjenesteydelser, hvilket vil medføre afskedigelser inden for de pågældende sektorer.</w:t>
      </w:r>
    </w:p>
    <w:p>
      <w:pPr>
        <w:pStyle w:val="ManualConsidrant"/>
        <w:rPr>
          <w:noProof/>
        </w:rPr>
      </w:pPr>
      <w:r>
        <w:rPr>
          <w:noProof/>
        </w:rPr>
        <w:t>(6)</w:t>
      </w:r>
      <w:r>
        <w:rPr>
          <w:noProof/>
        </w:rPr>
        <w:tab/>
        <w:t>Denne forordning er en beredskabsforanstaltning og bør ændre forordning (EU) nr. 1309/2013 med henblik på at præcisere, at afskedigelser som følge af Det Forenede Kongeriges udtræden uden en udtrædelsesaftale er omfattet af Globaliseringsfondens anvendelsesområde. Herigennem sikres det, at Globaliseringsfonden kan mobiliseres effektivt ved at yde støtte til afskedigede arbejdstagere i områder, sektorer, geografiske områder eller arbejdsmarkeder, der vil lide alvorlige økonomiske forstyrrelser som følge af Det Forenede Kongeriges udtræden af Unionen uden en udtrædelsesaftale.</w:t>
      </w:r>
    </w:p>
    <w:p>
      <w:pPr>
        <w:pStyle w:val="ManualConsidrant"/>
        <w:rPr>
          <w:noProof/>
        </w:rPr>
      </w:pPr>
      <w:r>
        <w:rPr>
          <w:noProof/>
        </w:rPr>
        <w:t>(7)</w:t>
      </w:r>
      <w:r>
        <w:rPr>
          <w:noProof/>
        </w:rPr>
        <w:tab/>
        <w:t xml:space="preserve">Denne forordning bør på grund af sagens hastende karakter træde i kraft på dagen efter offentliggørelsen i </w:t>
      </w:r>
      <w:r>
        <w:rPr>
          <w:i/>
          <w:noProof/>
        </w:rPr>
        <w:t>Den Europæiske Unions Tidende</w:t>
      </w:r>
      <w:r>
        <w:rPr>
          <w:noProof/>
        </w:rPr>
        <w:t xml:space="preserve"> og bør anvendes fra datoen efter den dag, hvor traktaterne ophører med at finde anvendelse på Det Forenede Kongerige. Den bør dog ikke finde anvendelse, hvis en udtrædelsesaftale med Det </w:t>
      </w:r>
      <w:r>
        <w:rPr>
          <w:noProof/>
        </w:rPr>
        <w:lastRenderedPageBreak/>
        <w:t>Forenede Kongerige i henhold til artikel 50, stk. 2, i TEU er trådt i kraft på denne dato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I forordning (EU) nr. 1309/2013 affattes artikel 2, litra a), således:</w:t>
      </w:r>
    </w:p>
    <w:p>
      <w:pPr>
        <w:ind w:left="850"/>
        <w:rPr>
          <w:rFonts w:eastAsia="Calibri"/>
          <w:noProof/>
        </w:rPr>
      </w:pPr>
      <w:r>
        <w:rPr>
          <w:noProof/>
        </w:rPr>
        <w:t>"a) arbejdstagere, der er blevet afskediget, og selvstændige, hvis aktivitet er ophørt, som følge af gennemgribende strukturelle ændringer i verdenshandelsmønstrene, der kan tilskrives globaliseringen, og som især har givet sig udslag i en væsentlig stigning i importen til Unionen, en alvorlig forskydning i Unionens handel med varer og tjenesteydelser, et hurtigt fald i Unionens markedsandel i en given sektor, udflytning af aktiviteter til tredjelande, eller som følge af Det Forenede Kongeriges udtræden af Unionen uden en udtrædelsesaftale, forudsat at disse afskedigelser har en betydelig negativ indvirkning på den lokale, regionale eller nationale økonomi".</w:t>
      </w:r>
    </w:p>
    <w:p>
      <w:pPr>
        <w:pStyle w:val="Titrearticle"/>
        <w:rPr>
          <w:noProof/>
        </w:rPr>
      </w:pPr>
      <w:r>
        <w:rPr>
          <w:noProof/>
        </w:rPr>
        <w:t>Artikel 2</w:t>
      </w:r>
    </w:p>
    <w:p>
      <w:pPr>
        <w:rPr>
          <w:noProof/>
        </w:rPr>
      </w:pPr>
      <w:r>
        <w:rPr>
          <w:noProof/>
        </w:rPr>
        <w:t xml:space="preserve">Denne forordning træder i kraft dagen efter offentliggørelsen i </w:t>
      </w:r>
      <w:r>
        <w:rPr>
          <w:i/>
          <w:noProof/>
        </w:rPr>
        <w:t>Den Europæiske Unions Tidende</w:t>
      </w:r>
      <w:r>
        <w:rPr>
          <w:noProof/>
        </w:rPr>
        <w:t>.</w:t>
      </w:r>
    </w:p>
    <w:p>
      <w:pPr>
        <w:rPr>
          <w:noProof/>
        </w:rPr>
      </w:pPr>
      <w:r>
        <w:rPr>
          <w:noProof/>
        </w:rPr>
        <w:t>Den finder anvendelse fra dagen efter den dag, hvor traktaterne ophører med at finde anvendelse på Det Forenede Kongerige, jf. artikel 50, stk. 3, i traktaten om Den Europæiske Union.</w:t>
      </w:r>
    </w:p>
    <w:p>
      <w:pPr>
        <w:rPr>
          <w:noProof/>
        </w:rPr>
      </w:pPr>
      <w:r>
        <w:rPr>
          <w:noProof/>
        </w:rPr>
        <w:t>Denne forordning finder dog ikke anvendelse, hvis en udtrædelsesaftale, som indgås med Det Forenede Kongerige i henhold til artikel 50, stk. 2, i traktaten om Den Europæiske Union, er trådt i kraft senest på dagen efter den dato, hvor traktaterne ophører med at finde anvendelse på Det Forenede Kongerige.</w:t>
      </w:r>
    </w:p>
    <w:p>
      <w:pPr>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Det Europæiske Råds afgørelse (EU) 2019/584 (EUT L 101 af 11.4.2019, s. 1).</w:t>
      </w:r>
    </w:p>
  </w:footnote>
  <w:footnote w:id="2">
    <w:p>
      <w:pPr>
        <w:pStyle w:val="FootnoteText"/>
      </w:pPr>
      <w:r>
        <w:rPr>
          <w:rStyle w:val="FootnoteReference"/>
        </w:rPr>
        <w:footnoteRef/>
      </w:r>
      <w:r>
        <w:tab/>
        <w:t>Efter anmodning fra Det Forenede Kongerige traf Det Europæiske Råd afgørelse om en første forlængelse den 22. marts 2019 (Det Europæiske Råds afgørelse (EU) 2019/476 (EUT L 80I af 22.3.2019, s. 1)).</w:t>
      </w:r>
    </w:p>
  </w:footnote>
  <w:footnote w:id="3">
    <w:p>
      <w:pPr>
        <w:pStyle w:val="FootnoteText"/>
      </w:pPr>
      <w:r>
        <w:rPr>
          <w:rStyle w:val="FootnoteReference"/>
        </w:rPr>
        <w:footnoteRef/>
      </w:r>
      <w:r>
        <w:tab/>
        <w:t>Aftale om Det Forenede Kongerige Storbritannien og Nordirlands udtræden af Den Europæiske Union og Det Europæiske Atomenergifællesskab (EUT C 144I af 25.4.2019, s. 1).</w:t>
      </w:r>
    </w:p>
  </w:footnote>
  <w:footnote w:id="4">
    <w:p>
      <w:pPr>
        <w:pStyle w:val="FootnoteText"/>
      </w:pPr>
      <w:r>
        <w:rPr>
          <w:rStyle w:val="FootnoteReference"/>
        </w:rPr>
        <w:footnoteRef/>
      </w:r>
      <w:r>
        <w:tab/>
        <w:t>Europa-Parlamentets og Rådets forordning (EF) nr. 1927/2006 af 20. december 2006 om oprettelse af Den Europæiske Fond for Tilpasning til Globaliseringen (</w:t>
      </w:r>
      <w:hyperlink r:id="rId1" w:history="1">
        <w:r>
          <w:rPr>
            <w:color w:val="0000FF"/>
            <w:u w:val="single"/>
          </w:rPr>
          <w:t>EUT L 406 af 30.12.2006, s. 1</w:t>
        </w:r>
      </w:hyperlink>
      <w:r>
        <w:t>).</w:t>
      </w:r>
    </w:p>
  </w:footnote>
  <w:footnote w:id="5">
    <w:p>
      <w:pPr>
        <w:pStyle w:val="FootnoteText"/>
      </w:pPr>
      <w:r>
        <w:rPr>
          <w:rStyle w:val="FootnoteReference"/>
        </w:rPr>
        <w:footnoteRef/>
      </w:r>
      <w:r>
        <w:tab/>
        <w:t>Europa-Parlamentets og Rådets forordning (EF) nr. 546/2009 af 18. juni 2009 om ændring af forordning (EF) nr. 1927/2006 om oprettelse af Den Europæiske Fond for Tilpasning til Globaliseringen (</w:t>
      </w:r>
      <w:hyperlink r:id="rId2" w:history="1">
        <w:r>
          <w:rPr>
            <w:color w:val="0000FF"/>
            <w:u w:val="single"/>
          </w:rPr>
          <w:t>EUT L 167 af 29.6.2009, s. 26</w:t>
        </w:r>
      </w:hyperlink>
      <w:r>
        <w:t>).</w:t>
      </w:r>
    </w:p>
  </w:footnote>
  <w:footnote w:id="6">
    <w:p>
      <w:pPr>
        <w:pStyle w:val="FootnoteText"/>
      </w:pPr>
      <w:r>
        <w:rPr>
          <w:rStyle w:val="FootnoteReference"/>
        </w:rPr>
        <w:footnoteRef/>
      </w:r>
      <w:r>
        <w:tab/>
        <w:t>Europa-Parlamentets og Rådets forordning (EU) nr. 1309/2013 af 17. december 2013 om Den Europæiske Fond for Tilpasning til Globaliseringen (2014-2020) og ophævelse af forordning (EF) nr. 1927/2006 (</w:t>
      </w:r>
      <w:hyperlink r:id="rId3" w:history="1">
        <w:r>
          <w:rPr>
            <w:rStyle w:val="Hyperlink"/>
          </w:rPr>
          <w:t>EUT L 347 af 20.12.2013, s. 855</w:t>
        </w:r>
      </w:hyperlink>
      <w:r>
        <w:t>).</w:t>
      </w:r>
    </w:p>
  </w:footnote>
  <w:footnote w:id="7">
    <w:p>
      <w:pPr>
        <w:pStyle w:val="FootnoteText"/>
      </w:pPr>
      <w:r>
        <w:rPr>
          <w:rStyle w:val="FootnoteReference"/>
        </w:rPr>
        <w:footnoteRef/>
      </w:r>
      <w:r>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w:t>
      </w:r>
      <w:hyperlink r:id="rId4" w:history="1">
        <w:r>
          <w:rPr>
            <w:rStyle w:val="Hyperlink"/>
          </w:rPr>
          <w:t>EUT L 193 af 30.7.2018, s. 1</w:t>
        </w:r>
      </w:hyperlink>
      <w:r>
        <w:t>).</w:t>
      </w:r>
    </w:p>
  </w:footnote>
  <w:footnote w:id="8">
    <w:p>
      <w:pPr>
        <w:pStyle w:val="FootnoteText"/>
      </w:pPr>
      <w:r>
        <w:rPr>
          <w:rStyle w:val="FootnoteReference"/>
        </w:rPr>
        <w:footnoteRef/>
      </w:r>
      <w:r>
        <w:tab/>
        <w:t>Europa-Parlamentets og Rådets forordning (EF) nr. 1893/2006 af 20. december 2006 om oprettelse af den statistiske nomenklatur for økonomiske aktiviteter NACE rev. 2 og om ændring af Rådets forordning (EØF) nr. 3037/90 og visse EF-forordninger om bestemte statistiske områder (EØS-relevant tekst) (</w:t>
      </w:r>
      <w:hyperlink r:id="rId5" w:history="1">
        <w:r>
          <w:rPr>
            <w:rStyle w:val="Hyperlink"/>
          </w:rPr>
          <w:t>EUT L 393 af 30.12.2006, s. 1</w:t>
        </w:r>
      </w:hyperlink>
      <w:r>
        <w:t>).</w:t>
      </w:r>
    </w:p>
  </w:footnote>
  <w:footnote w:id="9">
    <w:p>
      <w:pPr>
        <w:pStyle w:val="FootnoteText"/>
      </w:pPr>
      <w:r>
        <w:rPr>
          <w:rStyle w:val="FootnoteReference"/>
        </w:rPr>
        <w:footnoteRef/>
      </w:r>
      <w:r>
        <w:tab/>
        <w:t>Det Europæiske Råds afgørelse (EU) 2019/584 (EUT L 101 af 11.4.2019, s. 1).</w:t>
      </w:r>
    </w:p>
  </w:footnote>
  <w:footnote w:id="10">
    <w:p>
      <w:pPr>
        <w:pStyle w:val="FootnoteText"/>
      </w:pPr>
      <w:r>
        <w:rPr>
          <w:rStyle w:val="FootnoteReference"/>
        </w:rPr>
        <w:footnoteRef/>
      </w:r>
      <w:r>
        <w:tab/>
        <w:t>Efter anmodning fra Det Forenede Kongerige traf Det Europæiske Råd afgørelse om en første forlængelse den 22. marts 2019 (Det Europæiske Råds afgørelse (EU) 2019/476 (EUT L 80I af 22.3.2019, s. 1)).</w:t>
      </w:r>
    </w:p>
  </w:footnote>
  <w:footnote w:id="11">
    <w:p>
      <w:pPr>
        <w:pStyle w:val="FootnoteText"/>
      </w:pPr>
      <w:r>
        <w:rPr>
          <w:rStyle w:val="FootnoteReference"/>
        </w:rPr>
        <w:footnoteRef/>
      </w:r>
      <w:r>
        <w:tab/>
        <w:t>Aftale om Det Forenede Kongerige Storbritannien og Nordirlands udtræden af Den Europæiske Union og Det Europæiske Atomenergifællesskab (EUT C 144I af 25.4.2019,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5633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EAC2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3890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4C1F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C08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60E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EE78CE"/>
    <w:lvl w:ilvl="0">
      <w:start w:val="1"/>
      <w:numFmt w:val="decimal"/>
      <w:pStyle w:val="ListNumber"/>
      <w:lvlText w:val="%1."/>
      <w:lvlJc w:val="left"/>
      <w:pPr>
        <w:tabs>
          <w:tab w:val="num" w:pos="360"/>
        </w:tabs>
        <w:ind w:left="360" w:hanging="360"/>
      </w:pPr>
    </w:lvl>
  </w:abstractNum>
  <w:abstractNum w:abstractNumId="7">
    <w:nsid w:val="FFFFFF89"/>
    <w:multiLevelType w:val="singleLevel"/>
    <w:tmpl w:val="E74AB1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09 10:49: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DE40137-BB0D-480D-8491-93DF0CBEC24B"/>
    <w:docVar w:name="LW_COVERPAGE_TYPE" w:val="1"/>
    <w:docVar w:name="LW_CROSSREFERENCE" w:val="&lt;UNUSED&gt;"/>
    <w:docVar w:name="LW_DocType" w:val="COM"/>
    <w:docVar w:name="LW_EMISSION" w:val="4.9.2019"/>
    <w:docVar w:name="LW_EMISSION_ISODATE" w:val="2019-09-04"/>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80"/>
    <w:docVar w:name="LW_REF.II.NEW.CP_YEAR" w:val="2019"/>
    <w:docVar w:name="LW_REF.INST.NEW" w:val="COM"/>
    <w:docVar w:name="LW_REF.INST.NEW_ADOPTED" w:val="final"/>
    <w:docVar w:name="LW_REF.INST.NEW_TEXT" w:val="(2019) 3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U) nr. 1309/2013 om oprettelse af Den Europæiske Fond for Tilpasning til Globaliseringen (2014-2020)"/>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51">
      <w:bodyDiv w:val="1"/>
      <w:marLeft w:val="0"/>
      <w:marRight w:val="0"/>
      <w:marTop w:val="0"/>
      <w:marBottom w:val="0"/>
      <w:divBdr>
        <w:top w:val="none" w:sz="0" w:space="0" w:color="auto"/>
        <w:left w:val="none" w:sz="0" w:space="0" w:color="auto"/>
        <w:bottom w:val="none" w:sz="0" w:space="0" w:color="auto"/>
        <w:right w:val="none" w:sz="0" w:space="0" w:color="auto"/>
      </w:divBdr>
    </w:div>
    <w:div w:id="727654056">
      <w:bodyDiv w:val="1"/>
      <w:marLeft w:val="0"/>
      <w:marRight w:val="0"/>
      <w:marTop w:val="0"/>
      <w:marBottom w:val="0"/>
      <w:divBdr>
        <w:top w:val="none" w:sz="0" w:space="0" w:color="auto"/>
        <w:left w:val="none" w:sz="0" w:space="0" w:color="auto"/>
        <w:bottom w:val="none" w:sz="0" w:space="0" w:color="auto"/>
        <w:right w:val="none" w:sz="0" w:space="0" w:color="auto"/>
      </w:divBdr>
    </w:div>
    <w:div w:id="13218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reg/2013/1309/oj?locale=da" TargetMode="External"/><Relationship Id="rId2" Type="http://schemas.openxmlformats.org/officeDocument/2006/relationships/hyperlink" Target="http://eur-lex.europa.eu/legal-content/DA/AUTO/?uri=OJ:L:2009:167:TOC" TargetMode="External"/><Relationship Id="rId1" Type="http://schemas.openxmlformats.org/officeDocument/2006/relationships/hyperlink" Target="http://eur-lex.europa.eu/legal-content/DA/AUTO/?uri=OJ:L:2006:406:TOC" TargetMode="External"/><Relationship Id="rId5" Type="http://schemas.openxmlformats.org/officeDocument/2006/relationships/hyperlink" Target="https://eur-lex.europa.eu/legal-content/DA/ALL/?uri=CELEX:32006R1893" TargetMode="External"/><Relationship Id="rId4" Type="http://schemas.openxmlformats.org/officeDocument/2006/relationships/hyperlink" Target="http://data.europa.eu/eli/reg/2018/1046/oj?locale=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C948BD-EA73-42CC-9A69-A97C654F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1902</Words>
  <Characters>11967</Characters>
  <Application>Microsoft Office Word</Application>
  <DocSecurity>0</DocSecurity>
  <Lines>199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2019-09-06T07:58:00Z</dcterms:created>
  <dcterms:modified xsi:type="dcterms:W3CDTF">2019-09-09T08:49:00Z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