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B8755A28-9B80-45EA-B3E4-68A50B36258A" style="width:450.45pt;height:351.9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Raġunijiet u għanijiet tal-proposta</w:t>
      </w:r>
    </w:p>
    <w:p>
      <w:pPr>
        <w:rPr>
          <w:noProof/>
          <w:sz w:val="23"/>
          <w:szCs w:val="23"/>
        </w:rPr>
      </w:pPr>
      <w:r>
        <w:rPr>
          <w:noProof/>
        </w:rPr>
        <w:t>L-għan ta’ din il-proposta huwa li tippermetti lill-Fond Ewropew ta’ Aġġustament għall-Globalizzazzjoni (“l-FEG”) jagħti sostenn lill-ħaddiema li jingħataw is-sensja minħabba t-taqlib ekonomiku li x’aktarx jiġi kkawżat mill-ħruġ tar-Renju Unit tal-Gran Brittanja u l-Irlanda ta’ Fuq (ir-“Renju Unit”) mill-Unjoni mingħajr ftehim dwar il-ħruġ.</w:t>
      </w:r>
    </w:p>
    <w:p>
      <w:pPr>
        <w:rPr>
          <w:noProof/>
        </w:rPr>
      </w:pPr>
      <w:r>
        <w:rPr>
          <w:noProof/>
        </w:rPr>
        <w:t>Fid-29 ta’ Marzu 2017, ir-Renju Unit ressaq in-notifika tal-intenzjoni tiegħu li joħroġ mill-Unjoni skont l-Artikolu 50 tat-Trattat dwar l-Unjoni Ewropea (TUE). Wara talba mir-Renju Unit, fil-11 ta’ April 2019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il-Kunsill Ewropew (l-Artikolu 50) qabel li jestendi ulterjorment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il-perjodu previst fl-Artikolu 50(3) tat-TUE sal-31 ta’ Ottubru 2019. Sakemm ir-Renju Unit ma jirratifikax il-Ftehim dwar il-Ħruġ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sal-31 ta’ Ottubru 2019 jew ma jitlobx it-tielet estensjoni, li dwarha l-Kunsill Ewropew (l-Artikolu 50) irid jaqbel b’unanimità, ir-Renju Unit se jitlaq mill-Unjoni mingħajr ftehim u suċċessivament isir pajjiż terz mill-1 ta’ Novembru 2019. Fin-nuqqas ta’ ftehim dwar il-ħruġ, tali ħruġ x’aktarx ikollu effetti negattivi sinifikanti fuq ċerti industriji u servizzi li se jwasslu biex in-nies li jaħdmu f’dawk is-setturi jingħataw is-sensja.</w:t>
      </w:r>
    </w:p>
    <w:p>
      <w:pPr>
        <w:rPr>
          <w:noProof/>
        </w:rPr>
      </w:pPr>
      <w:r>
        <w:rPr>
          <w:noProof/>
        </w:rPr>
        <w:t>L-iskop tal-FEG huwa li jagħti sostenn lill-ħaddiema li jingħataw is-sensja u lill-persuni li jaħdmu għal rashom li l-attività tagħhom tkun waqfet bħala riżultat ta’ bidliet strutturali kbar fix-xejriet kummerċjali dinjija minħabba l-globalizzazzjoni jew bħala riżultat ta’ kriżi finanzjarja u ekonomika globali.</w:t>
      </w:r>
    </w:p>
    <w:p>
      <w:pPr>
        <w:rPr>
          <w:noProof/>
          <w:sz w:val="22"/>
        </w:rPr>
      </w:pPr>
      <w:r>
        <w:rPr>
          <w:noProof/>
        </w:rPr>
        <w:t>Taħt il-kriterju tal-globalizzazzjoni, il-kamp ta’ applikazzjoni tal-FEG ikopri s-sensji kkawżati mid-delokalizzazzjoni tal-impjiegi lejn pajjiżi terzi, minn bidla serja fil-kummerċ tal-oġġetti jew tas-servizzi tal-Unjoni, jew minn tnaqqis rapidu tas-sehem mis-suq tal-Unjoni f’settur partikolari. Din il-proposta tispeċifika li l-iskop tal-FEG jinkludi l-ħaddiema li jingħataw is-sensja f’oqsma, setturi, territorji jew swieq tax-xogħol li jsofru minn taqlib ekonomiku serju minħabba l-ħruġ tar-Renju Unit mill-Unjoni mingħajr ftehim dwar il-ħruġ. Tali ħruġ se jikkostitwixxi bidla importanti fir-relazzjonijiet kummerċjali tal-UE u fil-kompożizzjoni tas-suq intern, u għalhekk jista’ jkun mistenni li se jkollu impatt sinifikanti fuq ix-xejriet tan-negozju, tat-tkabbir u tal-impjiegi.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mad-dispożizzjonijiet eżistenti fil-qasam ta’ politika u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parti mill-pjan ta’ tħejjija u ta’ kontinġenza tal-Unjoni biex jiġi mitigat l-aktar taqlib sinifikanti kkawżat mill-ħruġ tar-Renju Unit mill-Unjoni mingħajr ftehim dwar il-ħruġ.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rPr>
          <w:noProof/>
        </w:rPr>
      </w:pPr>
      <w:r>
        <w:rPr>
          <w:noProof/>
        </w:rPr>
        <w:t>Il-bażi ġuridika hija t-Trattat dwar il-Funzjonament tal-Unjoni Ewropea (TFUE), u b’mod partikolari t-tielet paragrafu tal-Artikolu 175.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Jekk jinħass il-bżonn li jkun hemm azzjonijiet speċifiċi barra mill-Fondi Strutturali u bla preġudizzju għall-miżuri deċiżi fil-qafas tal-politiki l-oħra tal-Unjoni, l-Artikolu 175(3) jippermetti lill-Parlament Ewropew u l-Kunsill jieħdu azzjoni skont il-proċedura leġiżlattiva ordinarja u wara li jikkonsultaw il-Kumitat Ekonomiku u Soċjali u l-Kumitat Ewropew tar-Reġjuni.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 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Il-finanzjament mill-baġit tal-Unjoni jikkonċentra fuq attivitajiet li l-objettivi tagħhom ma jistgħux jintlaħqu b’mod suffiċjenti mill-Istati Membri waħedhom, u fejn l-intervent tal-Unjoni jista’ jġib valur addizzjonali meta mqabbel ma’ azzjoni mill-Istati Membri waħedhom. Il-mobilizzazzjoni tal-FEG sabiex jiffinanzja miżuri mmirati biex jgħinu lill-ħaddiema ssensjati jsibu impjieg ġdid tirrispetta l-prinċipju tas-sussidjarjetà, u toħloq valur miżjud Ewropew.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Hija prattika standard li l-programmi nazzjonali tas-suq tax-xogħol jgħinu lill-ħaddiema ssensjati, u l-FEG m’għandux l-għan li jissostitwixxi dawn il-programmi. F’każ ta’ avvenimenti ta’ ristrutturar mhux mistennija li jkollhom impatt sinifikanti fuq is-suq tax-xogħol, il-programmi nazzjonali regolari jgħaddu minn prova. Għaldaqstant, minħabba l-iskala u l-effetti ta’ avvenimenti ta’ ristrutturar ta’ skala kbira mhux mistennija, u billi l-FEG huwa espressjoni ta’ solidarjetà fost l-Istati Membri, l-għoti ta’ assistenza jista’ jinkiseb aħjar fil-livell tal-Unjoni. Is-sostenn mill-FEG se jagħmel is-solidarjetà tal-Unjoni f’ċirkostanzi eċċezzjonali aktar tanġibbli għall-ħaddiema affettwati u għaċ-ċittadini tal-Unjoni inġenerali.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Il-mobilizzazzjoni tal-FEG toħloq valur addizzjonali billi żżid in-numru totali ta’ servizzi offruti lill-ħaddiema ssensjati, u kif wkoll il-varjetà ta’ servizzi offruti u l-livell tal-intensità tagħhom. L-FEG jippermetti wkoll li jiġu pprovati ideat innovattivi, li jiġu identifikati l-aħjar prattiċi u li jiġu inkorporati fil-pakkett ta’ sostenn nazzjonali. Il-miżuri kkofinanzjati tal-FEG jikkontribwixxu wkoll b’mod ġenerali għat-titjib fl-għoti ta’ sostenn lill-ħaddiema ssensjati.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F’konformità mal-prinċipju tal-proporzjonalità, id-dispożizzjonijiet ta’ din il-proposta ma jmorrux lil hinn minn dak li huwa meħtieġ biex jintlaħqu l-għanijiet tiegħu. Il-piż amministrattiv fuq l-Unjoni u fuq l-awtoritajiet nazzjonali li japplikaw għas-sostenn tal-FEG ġie limitat għal dak li huwa meħtieġ mill-Kummissjoni biex teżerċita r-responsabbiltà tagħha għall-implimentazzjoni tal-baġit tal-Unjoni. Peress li l-kontribuzzjoni finanzjarja ssir lill-Istat Membru skont il-prinċipju ta’ ġestjoni kondiviża, l-Istat Membru se jintalab jirrapporta dwar kif intużat il-kontribuzzjoni finanzjarja.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rPr>
          <w:rFonts w:eastAsia="Arial Unicode MS"/>
          <w:noProof/>
        </w:rPr>
      </w:pPr>
      <w:r>
        <w:rPr>
          <w:noProof/>
        </w:rPr>
        <w:t>Peress li din il-proposta hija emenda tar-Regolament (UE) Nru 1309/2013, jenħtieġ li l-istrument użat ikun Regolament.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adottata fil-kuntest tal-miżuri ta’ kontinġenza biex jiġi mitigat l-aktar taqlib sinifikanti kkawżat mill-ħruġ tar-Renju Unit mill-Unjoni mingħajr ftehim dwar il-ħruġ. Il-Kummissjoni Ewropea analizzat ir-riskji u kkonkludiet li din il-proposta hija meħtieġa sabiex tiġi żgurata reazzjoni effettiva tal-EGF sabiex tintwera solidarjetà mal-ħaddiema li jingħataw is-sensja fl-Unjoni bħala konsegwenza tal-ħruġ tar-Renju Unit mill-Unjoni mingħajr ftehim dwar il-ħruġ.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>
      <w:pPr>
        <w:rPr>
          <w:noProof/>
        </w:rPr>
      </w:pPr>
      <w:r>
        <w:rPr>
          <w:noProof/>
        </w:rPr>
        <w:t>L-Artikolu 12 tar-Regolament tal-Kunsill (UE, EURATOM) Nru 1311/2013 tat-2 ta’ Diċembru 2013 li jistabbilixxi l-qafas finanzjarju pluriennali għas-snin 2014-2020 jipprevedi li l-FEG ma jistax jaqbeż l-ammont annwali massimu ta’ EUR 150 miljun (fi prezzijiet tal-2011).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preżenti ma timmodifikax l-ammont massimu annwali tal-FEG.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L-emenda proposta għall-Artikolu 2 tispeċifika li l-ħruġ tar-Renju Unit mill-Unjoni mingħajr ftehim dwar il-ħruġ jaqa’ fi ħdan il-kamp ta’ applikazzjoni tal-FEG. L-għan huwa li jiġi żgurat li l-FEG ikun jista’ jirrispondi b’mod effettiv billi jipprovdi sostenn  lill-ħaddiema li jingħataw is-sensja fl-Unjoni bħala riżultat tal-ħruġ tar-Renju Unit mingħajr ftehim dwar il-ħruġ.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2019/0180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(KE) Nru 1309/2013 dwar il-Fond Ewropew ta’ Aġġustament għall-Globalizzazzjoni (2014-2020)</w:t>
      </w:r>
    </w:p>
    <w:p>
      <w:pPr>
        <w:pStyle w:val="Institutionquiagit"/>
        <w:rPr>
          <w:noProof/>
        </w:rPr>
      </w:pPr>
      <w:r>
        <w:rPr>
          <w:noProof/>
        </w:rPr>
        <w:t>IL-PARLAMENT EWROPEW U 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t-tielet paragrafu tal-Artikolu 175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kkonsultaw lill-Kumitat Ekonomiku u Soċjali Ewropew,</w:t>
      </w:r>
    </w:p>
    <w:p>
      <w:pPr>
        <w:rPr>
          <w:noProof/>
        </w:rPr>
      </w:pPr>
      <w:r>
        <w:rPr>
          <w:noProof/>
        </w:rPr>
        <w:t>Wara li kkonsultaw lill-Kumitat tar-Reġjuni,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Ir-Regolament (KE) Nru 1927/2006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stabbilixxa l-Fond Ewropew ta’ Aġġustament għall-Globalizzazzjoni (FEG) għall-qafas finanzjarju pluriennali mill-1 ta’ Jannar 2007 sal-31 ta’ Diċembru 2013. L-FEG ġie stabbilit biex jippermetti lill-Unjoni turi solidarjetà mal-ħaddiema li tilfu l-impjiegi tagħhom b’riżultat ta’ bidliet strutturali kbar fix-xejriet kummerċjali dinjija minħabba l-globalizzazzjoni.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Il-kamp ta’ applikazzjoni tal-FEG twessa’ fl-2009 bir-Regolament (KE) Nru 546/2009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bħala parti mill-Pjan Ewropew ta’ Rkupru Ekonomiku biex jinkludi sostenn lill-ħaddiema li jingħataw is-sensja bħala riżultat dirett tal-kriżi ekonomika u finanzjarja globali.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Ir-Regolament (UE) Nru 1309/2013 tal-Parlament Ewropew u tal-Kunsill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stabbilixxa l-FEG għall-perjodu tal-qafas finanzjarju pluriennali mill-1 ta’ Jannar 2014 sal-31 ta’ Diċembru 2020. Ir-Regolament estenda wkoll il-kamp ta’ applikazzjoni tal-FEG biex ma jkoprix biss is-sensji li jirriżultaw minn bidliet strutturali maġġuri fix-xejriet kummerċjali dinjija minħabba l-globalizzazzjoni u s-sensji li jirriżultaw minn taqlib ekonomiku serju kkawżat minn kontinwazzjoni tal-kriżi finanzjarja u ekonomika globali indirizzata fir-Regolament (KE) Nru 546/2009, iżda wkoll is-sensji li jirriżultaw minn kwalunkwe kriżi finanzjarja u ekonomika globali ġdida. Barra minn </w:t>
      </w:r>
      <w:r>
        <w:rPr>
          <w:noProof/>
        </w:rPr>
        <w:lastRenderedPageBreak/>
        <w:t>hekk, ir-Regolament (UE, Euratom) 2018/1046 tal-Parlament Ewropew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emenda r-Regolament (UE) Nru 1309/2013 sabiex jintroduċi, fost oħrajn, regoli li jippermettu lill-FEG ikopri eċċezzjonalment l-applikazzjonijiet kollettivi li jinvolvu lill-intrapriżi żgħar u medji li jinsabu f’reġjun wieħed u li joperaw f’setturi ekonomiċi differenti definiti fil-livell tad-diviżjoni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tan-NACE Reviżjoni 2, fejn l-Istat Membru applikant juri li l-intrapriżi żgħar u medji huma t-tip ewlieni jew esklużiv ta’ negozju f’dak ir-reġjun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Fid-29 ta’ Marzu 2017, ir-Renju Unit ippreżenta n-notifika tal-intenzjoni tiegħu li joħroġ mill-Unjoni skont l-Artikolu 50 tat-Trattat dwar l-Unjoni Ewropea (TUE). It-Trattati se jieqfu japplikaw għar-Renju Unit mid-data tad-dħul fis-seħħ ta’ ftehim dwar il-ħruġ jew, fin-nuqqas ta’ dan, sentejn wara li tkun saret in-notifika, sakemm il-Kunsill Ewropew, bi qbil mar-Renju Unit, ma jiddeċidix b’mod unanimu li jestendi dak il-perjodu.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Fil-11 ta’ April 2019, wara talba mir-Renju Unit, il-Kunsill Ewropew qabel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li jestendi ulterjorment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il-perjodu previst fl-Artikolu 50(3) tat-TUE sal-31 ta’ Ottubru 2019. Sakemm ir-Renju Unit ma jirratifikax il-Ftehim dwar il-Ħruġ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sal-31 ta’ Ottubru 2019 jew ma jitlobx it-tielet estensjoni, li dwarha l-Kunsill Ewropew irid jaqbel b’unanimità, ir-Renju Unit se jitlaq mill-Unjoni mingħajr ftehim u se jsir pajjiż terz mill-1 ta’ Novembru 2019. Tali ħruġ mingħajr ftehim x’aktarx jaffettwa b’mod negattiv lil ċerti industriji u servizzi u dan se jwassal biex in-nies li jaħdmu f’dawk is-setturi jingħataw is-sensja.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Dan ir-Regolament ta’ kontinġenza jenħtieġ li jemenda r-Regolament (UE) Nru 1309/2013 sabiex jispeċifika li s-sensji li jirriżultaw mill-ħruġ tar-Renju Unit mill-Unjoni mingħajr ftehim dwar il-ħruġ jaqgħu fi ħdan il-kamp ta’ applikazzjoni tal-FEG. Dan jiżgura li l-FEG ikun jista’ jirrispondi b’mod effettiv billi jipprovdi assistenza lill-ħaddiema li jingħataw is-sensja f’oqsma, setturi, territorji jew swieq tax-xogħol li jsofru minn taqlib ekonomiku serju minħabba l-ħruġ tar-Renju Unit mill-Unjoni mingħajr ftehim dwar il-ħruġ.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Jenħtieġ li dan ir-Regolament jidħol fis-seħħ bħala kwistjoni ta’ urġenza fil-jum wara dak tal-pubblikazzjoni tiegħu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 xml:space="preserve"> u jenħtieġ li japplika mid-data ta’ wara dik li fiha t-Trattati ma jibqgħux japplikaw għar-Renju Unit. Madankollu, jenħtieġ li dan ir-Regolament ma japplikax jekk sa dik id-data jkun daħal fis-seħħ ftehim dwar l-ħruġ konkluż mar-Renju Unit f’konformità mal-Artikolu 50(2) TUE.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Fir-Regolament (UE) Nru 1309/2013, fl-Artikolu 2, il-punt (a) huwa sostitwit b’dan li ġej:</w:t>
      </w:r>
    </w:p>
    <w:p>
      <w:pPr>
        <w:ind w:left="850"/>
        <w:rPr>
          <w:rFonts w:eastAsia="Calibri"/>
          <w:noProof/>
        </w:rPr>
      </w:pPr>
      <w:r>
        <w:rPr>
          <w:noProof/>
        </w:rPr>
        <w:t>“(a) ħaddiema li jkunu ngħataw is-sensja u persuni li jaħdmu għal rashom li l-attività tagħhom tkun waqfet b’riżultat tal-bidliet strutturali ewlenin fix-xejriet kummerċjali dinjin minħabba l-globalizzazzjoni, li jidhru, b’mod partikolari, minn żieda sostanzjali fl-importazzjonijiet lejn l-Unjoni, bidla serja fil-kummerċ ta’ oġġetti u servizzi fl-Unjoni, minn tnaqqis rapidu tas-sehem mis-suq tal-Unjoni f’settur partikolari jew minn delokalizzazzjoni ta’ attivitajiet lejn pajjiżi terzi jew bħala riżultat tal-ħruġ tar-Renju Unit mill-Unjoni mingħajr ftehim dwar il-ħruġ, sakemm dawn is-sensji jkollhom impatt negattiv sinifikanti fuq l-ekonomija lokali, reġjonali jew nazzjonali;”.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fil-jum wara dak tal-pubblikazzjoni tiegħu f’</w:t>
      </w:r>
      <w:r>
        <w:rPr>
          <w:i/>
          <w:noProof/>
        </w:rPr>
        <w:t>Il-Ġurnal Uffiċjali tal-Unjoni Ewropea.</w:t>
      </w:r>
    </w:p>
    <w:p>
      <w:pPr>
        <w:rPr>
          <w:noProof/>
        </w:rPr>
      </w:pPr>
      <w:r>
        <w:rPr>
          <w:noProof/>
        </w:rPr>
        <w:t>Għandu japplika mill-jum ta’ wara meta t-Trattati ma jibqgħux japplikaw għar-Renju Unit skont l-Artikolu 50(3) tat-Trattat dwar l-Unjoni Ewropea.</w:t>
      </w:r>
    </w:p>
    <w:p>
      <w:pPr>
        <w:rPr>
          <w:noProof/>
        </w:rPr>
      </w:pPr>
      <w:r>
        <w:rPr>
          <w:noProof/>
        </w:rPr>
        <w:t>Madankollu, dan ir-Regolament ma għandux japplika jekk ftehim dwar il-ħruġ konkluż mar-Renju Unit f’konformità mal-Artikolu 50(2) Trattat dwar l-Unjoni Ewropea jkun daħal fis-seħħ sal-ġurnata wara dik li fiha t-Trattati ma jibqgħux japplikaw għar-Renju Unit.</w:t>
      </w:r>
    </w:p>
    <w:p>
      <w:pPr>
        <w:rPr>
          <w:noProof/>
        </w:rPr>
      </w:pPr>
      <w:r>
        <w:rPr>
          <w:noProof/>
        </w:rPr>
        <w:t>Dan ir-Regolament għandu jorbot fl-intier tiegħu u 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 2019/584, ĠU L 101, 11.4.2019, p.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Wara talba mir-Renju Unit, il-Kunsill Ewropew iddeċieda dwar l-ewwel estensjoni fit-22 ta’ Marzu 2019 (id-Deċiżjoni tal-Kunsill Ewropew (UE) 2019/476, ĠU L 80I, 22.3.2019, p.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Il-Ftehim dwar il-ħruġ tar-Renju Unit tal-Gran Brittanja u l-Irlanda ta’ Fuq mill-Unjoni Ewropea u mill-Komunità Ewropea tal-Enerġija Atomika, ĠU C 144I, 25.4.2019, p. 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1927/2006 tal-Parlament Ewropew u tal-Kunsill tal-20 ta’ Diċembru 2006 li jistabbilixxi l-Fond Ewropew ta’ Aġġustament għall-Globalizzazzjoni (</w:t>
      </w:r>
      <w:hyperlink r:id="rId1" w:history="1">
        <w:r>
          <w:rPr>
            <w:color w:val="0000FF"/>
            <w:u w:val="single"/>
          </w:rPr>
          <w:t>ĠU L 406, 30.12.2006, p. 1</w:t>
        </w:r>
      </w:hyperlink>
      <w:r>
        <w:t>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546/2009 tal-Parlament Ewropew u tal-Kunsill tat-18 ta’ Ġunju 2009 li jemenda r-Regolament (KE) Nru 1927/2006 dwar l-istabbiliment tal-Fond Ewropew ta’ Aġġustament għall-Globalizzazzjoni (</w:t>
      </w:r>
      <w:hyperlink r:id="rId2" w:history="1">
        <w:r>
          <w:rPr>
            <w:color w:val="0000FF"/>
            <w:u w:val="single"/>
          </w:rPr>
          <w:t>ĠU L 167, 29.6.2009, p. 26</w:t>
        </w:r>
      </w:hyperlink>
      <w:r>
        <w:t>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1309/2013 tal-Parlament Ewropew u tal-Kunsill tas-17 ta’ Diċembru 2013 dwar il-Fond Ewropew ta’ Aġġustament għall-Globalizzazzjoni (2014-2020) u li jħassar ir-Regolament (KE) Nru 1927/2006 (</w:t>
      </w:r>
      <w:hyperlink r:id="rId3" w:history="1">
        <w:r>
          <w:rPr>
            <w:rStyle w:val="Hyperlink"/>
          </w:rPr>
          <w:t>ĠU L 347, 20.12.2013, p. 855</w:t>
        </w:r>
      </w:hyperlink>
      <w:r>
        <w:t>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Ir-Regolament (UE, Euratom) 2018/1046 tal-Parlament Ewropew u tal-Kunsill tat-18 ta’ Lulju 2018 dwar ir-regoli finanzjarji applikabbli għall-baġit ġenerali tal-Unjoni, li jemenda r-Regolamenti (UE) Nru 1296/2013, (UE) Nru 1301/2013, (UE) Nru 1303/2013, (UE) Nru 1304/2013, (UE) Nru 1309/2013, (UE) Nru 1316/2013, (UE) Nru 223/2014, (UE) Nru 283/2014, u d-Deċiżjoni Nru 541/2014/UE u li jħassar ir-Regolament (UE, Euratom) Nru 966/2012 (</w:t>
      </w:r>
      <w:hyperlink r:id="rId4" w:history="1">
        <w:r>
          <w:rPr>
            <w:rStyle w:val="Hyperlink"/>
          </w:rPr>
          <w:t>ĠU L 193, 30.7.2018, p. 1</w:t>
        </w:r>
      </w:hyperlink>
      <w:r>
        <w:t>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Ir-Regolament Nru 1893/2006 tal-Parlament Ewropew u tal-Kunsill tal-20 ta’ Diċembru 2006 li jistabbilixxi l-klassifikazzjoni tal-istatistika ta’ attivitajiet ekonomiċi tan-NACE Reviżjoni 2 u li jemenda r-Regolament tal-Kunsill (KEE) Nru 3037/90 kif ukoll ċerti Regolamenti tal-KE dwar setturi speċifiċi tal-istatistika (Test b’rilevanza għaż-ŻEE) (</w:t>
      </w:r>
      <w:hyperlink r:id="rId5" w:history="1">
        <w:r>
          <w:rPr>
            <w:rStyle w:val="Hyperlink"/>
          </w:rPr>
          <w:t>ĠU L 393, 30.12.2006, p. 1</w:t>
        </w:r>
      </w:hyperlink>
      <w:r>
        <w:t>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 2019/584, ĠU L 101, 11.4.2019, p. 1.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Wara talba mir-Renju Unit, il-Kunsill Ewropew iddeċieda dwar l-ewwel estensjoni fit-22 ta’ Marzu 2019 (id-Deċiżjoni tal-Kunsill Ewropew (UE) 2019/476, ĠU L 80I, 22.3.2019, p. 1).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Il-Ftehim dwar il-ħruġ tar-Renju Unit tal-Gran Brittanja u l-Irlanda ta’ Fuq mill-Unjoni Ewropea u mill-Komunità Ewropea tal-Enerġija Atomika, ĠU C 144I, 25.4.2019, p.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5633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EAC2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63890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94C1F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5C08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60E7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EE78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4AB1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09-09 10:48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8755A28-9B80-45EA-B3E4-68A50B36258A"/>
    <w:docVar w:name="LW_COVERPAGE_TYPE" w:val="1"/>
    <w:docVar w:name="LW_CROSSREFERENCE" w:val="&lt;UNUSED&gt;"/>
    <w:docVar w:name="LW_DocType" w:val="COM"/>
    <w:docVar w:name="LW_EMISSION" w:val="4.9.2019"/>
    <w:docVar w:name="LW_EMISSION_ISODATE" w:val="2019-09-04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80"/>
    <w:docVar w:name="LW_REF.II.NEW.CP_YEAR" w:val="2019"/>
    <w:docVar w:name="LW_REF.INST.NEW" w:val="COM"/>
    <w:docVar w:name="LW_REF.INST.NEW_ADOPTED" w:val="final"/>
    <w:docVar w:name="LW_REF.INST.NEW_TEXT" w:val="(2019) 3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KE) Nru 1309/2013 dwar il-Fond Ewropew ta\u8217? A\u289?\u289?ustament g\u295?all-Globalizzazzjoni (2014-2020)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aliases w:val="footnote text,footnote,fn,Fußnote,stile 1"/>
    <w:basedOn w:val="Normal"/>
    <w:uiPriority w:val="99"/>
    <w:semiHidden/>
    <w:unhideWhenUsed/>
    <w:qFormat/>
    <w:pPr>
      <w:spacing w:before="0" w:after="0"/>
      <w:ind w:left="720" w:hanging="720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aliases w:val="footnote text,footnote,fn,Fußnote,stile 1"/>
    <w:basedOn w:val="Normal"/>
    <w:uiPriority w:val="99"/>
    <w:semiHidden/>
    <w:unhideWhenUsed/>
    <w:qFormat/>
    <w:pPr>
      <w:spacing w:before="0" w:after="0"/>
      <w:ind w:left="720" w:hanging="720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ata.europa.eu/eli/reg/2013/1309/oj" TargetMode="External"/><Relationship Id="rId2" Type="http://schemas.openxmlformats.org/officeDocument/2006/relationships/hyperlink" Target="http://eur-lex.europa.eu/legal-content/MT/AUTO/?uri=OJ:L:2009:167:TOC" TargetMode="External"/><Relationship Id="rId1" Type="http://schemas.openxmlformats.org/officeDocument/2006/relationships/hyperlink" Target="http://eur-lex.europa.eu/legal-content/MT/AUTO/?uri=OJ:L:2006:406:TOC" TargetMode="External"/><Relationship Id="rId5" Type="http://schemas.openxmlformats.org/officeDocument/2006/relationships/hyperlink" Target="https://eur-lex.europa.eu/legal-content/MT/ALL/?uri=CELEX:32006R1893" TargetMode="External"/><Relationship Id="rId4" Type="http://schemas.openxmlformats.org/officeDocument/2006/relationships/hyperlink" Target="http://data.europa.eu/eli/reg/2018/1046/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464DAB-785B-4FD8-9936-13B3A54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7</Pages>
  <Words>1666</Words>
  <Characters>11829</Characters>
  <Application>Microsoft Office Word</Application>
  <DocSecurity>0</DocSecurity>
  <Lines>193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2019-09-06T12:01:00Z</dcterms:created>
  <dcterms:modified xsi:type="dcterms:W3CDTF">2019-09-09T08:48:00Z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LWTemplateID">
    <vt:lpwstr>SJ-023</vt:lpwstr>
  </property>
  <property fmtid="{D5CDD505-2E9C-101B-9397-08002B2CF9AE}" pid="7" name="Category">
    <vt:lpwstr>COM/PL/ORG</vt:lpwstr>
  </property>
  <property fmtid="{D5CDD505-2E9C-101B-9397-08002B2CF9AE}" pid="8" name="DQCStatus">
    <vt:lpwstr>Green (DQC version 03)</vt:lpwstr>
  </property>
</Properties>
</file>