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48D9C00F-503A-4A87-8F8A-6F7232D13F16" style="width:450.55pt;height:395.35pt">
            <v:imagedata r:id="rId13" o:title=""/>
          </v:shape>
        </w:pict>
      </w:r>
    </w:p>
    <w:p>
      <w:pPr>
        <w:rPr>
          <w:noProof/>
        </w:rPr>
        <w:sectPr>
          <w:footerReference w:type="defaul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u w:color="000000"/>
          <w:bdr w:val="nil"/>
        </w:rPr>
        <w:t>•</w:t>
      </w:r>
      <w:r>
        <w:rPr>
          <w:noProof/>
          <w:u w:color="000000"/>
          <w:bdr w:val="nil"/>
        </w:rPr>
        <w:tab/>
      </w:r>
      <w:r>
        <w:rPr>
          <w:noProof/>
        </w:rPr>
        <w:t>Ehdotuksen perustelut ja tavoitteet</w:t>
      </w:r>
    </w:p>
    <w:p>
      <w:pPr>
        <w:pBdr>
          <w:top w:val="nil"/>
          <w:left w:val="nil"/>
          <w:bottom w:val="nil"/>
          <w:right w:val="nil"/>
          <w:between w:val="nil"/>
          <w:bar w:val="nil"/>
        </w:pBdr>
        <w:spacing w:before="0" w:after="240"/>
        <w:rPr>
          <w:noProof/>
        </w:rPr>
      </w:pPr>
      <w:r>
        <w:rPr>
          <w:noProof/>
        </w:rPr>
        <w:t>Yhdistynyt kuningaskunta ilmoitti 29. maaliskuuta 2017 aikomuksestaan erota unionista Euroopan unionista tehdyn sopimuksen 50 artiklan nojalla. Tämä tarkoittaa, että jos erosopimusta</w:t>
      </w:r>
      <w:r>
        <w:rPr>
          <w:rStyle w:val="FootnoteReference"/>
          <w:noProof/>
        </w:rPr>
        <w:footnoteReference w:id="1"/>
      </w:r>
      <w:r>
        <w:rPr>
          <w:noProof/>
        </w:rPr>
        <w:t xml:space="preserve"> ei ratifioida, unionin primaari- ja sekundaarilainsäädäntöä lakataan soveltamasta Yhdistyneeseen kuningaskuntaan eroamispäivästä alkaen. Tämän seurauksena Yhdistyneestä kuningaskunnasta tulee ns. kolmas maa.</w:t>
      </w:r>
    </w:p>
    <w:p>
      <w:pPr>
        <w:pBdr>
          <w:top w:val="nil"/>
          <w:left w:val="nil"/>
          <w:bottom w:val="nil"/>
          <w:right w:val="nil"/>
          <w:between w:val="nil"/>
          <w:bar w:val="nil"/>
        </w:pBdr>
        <w:spacing w:before="0" w:after="240"/>
        <w:rPr>
          <w:noProof/>
        </w:rPr>
      </w:pPr>
      <w:r>
        <w:rPr>
          <w:noProof/>
        </w:rPr>
        <w:t>Yhdistyneen kuningaskunnan ero unionista ilman sopimusta vaikuttaisi unionin ja Yhdistyneen kuningaskunnan välisten maantie- ja lentoliikennepalvelujen jatkuvuuteen, sillä liikenteellä ei enää olisi unionin oikeuden perustaa erohetkellä. Tämä johtaisi yhteyksien katkeamiseen ja vakaviin häiriöihin unionin ja Yhdistyneen kuningaskunnan välisessä maantie- ja lentoliikenteessä.</w:t>
      </w:r>
    </w:p>
    <w:p>
      <w:pPr>
        <w:pBdr>
          <w:top w:val="nil"/>
          <w:left w:val="nil"/>
          <w:bottom w:val="nil"/>
          <w:right w:val="nil"/>
          <w:between w:val="nil"/>
          <w:bar w:val="nil"/>
        </w:pBdr>
        <w:spacing w:before="0" w:after="240"/>
        <w:rPr>
          <w:noProof/>
        </w:rPr>
      </w:pPr>
      <w:r>
        <w:rPr>
          <w:noProof/>
        </w:rPr>
        <w:t>Komissio vahvisti 13. marraskuuta 2018 antamassaan tiedonannossa ”Valmistautuminen Yhdistyneen kuningaskunnan eroamiseen Euroopan unionista 30. maaliskuuta 2019: Varautumissuunnitelma”</w:t>
      </w:r>
      <w:r>
        <w:rPr>
          <w:rStyle w:val="FootnoteReference"/>
          <w:noProof/>
        </w:rPr>
        <w:footnoteReference w:id="2"/>
      </w:r>
      <w:r>
        <w:rPr>
          <w:noProof/>
        </w:rPr>
        <w:t xml:space="preserve"> varautumistoimenpiteiden perustana olevat periaatteet ja sen, että toimenpiteet ovat ajallisesti tiukasti rajattuja.</w:t>
      </w:r>
    </w:p>
    <w:p>
      <w:pPr>
        <w:pBdr>
          <w:top w:val="nil"/>
          <w:left w:val="nil"/>
          <w:bottom w:val="nil"/>
          <w:right w:val="nil"/>
          <w:between w:val="nil"/>
          <w:bar w:val="nil"/>
        </w:pBdr>
        <w:spacing w:before="0" w:after="240"/>
        <w:rPr>
          <w:noProof/>
        </w:rPr>
      </w:pPr>
      <w:r>
        <w:rPr>
          <w:noProof/>
        </w:rPr>
        <w:t xml:space="preserve">Eurooppa-neuvosto (50 artikla) kehotti uudelleen 13. joulukuuta 2018 valmistautumaan kaikilla tasoilla entistä vahvemmin Yhdistyneen kuningaskunnan eron seurauksiin ja ottamaan huomioon kaikki mahdolliset tulokset. </w:t>
      </w:r>
    </w:p>
    <w:p>
      <w:pPr>
        <w:pBdr>
          <w:top w:val="nil"/>
          <w:left w:val="nil"/>
          <w:bottom w:val="nil"/>
          <w:right w:val="nil"/>
          <w:between w:val="nil"/>
          <w:bar w:val="nil"/>
        </w:pBdr>
        <w:spacing w:before="0" w:after="240"/>
        <w:rPr>
          <w:noProof/>
        </w:rPr>
      </w:pPr>
      <w:r>
        <w:rPr>
          <w:noProof/>
        </w:rPr>
        <w:t>Sen vuoksi Euroopan komissio hyväksyi 19. joulukuuta 2018 useita ehdotuksia varautumistoimenpiteistä, joilla varmistetaan perusluonteiset yhteydet unionin ja Yhdistyneen kuningaskunnan välillä, mukaan lukien ehdotukset asetuksiksi, joilla varmistetaan maantieliikenteen perusluonteiset yhteydet</w:t>
      </w:r>
      <w:r>
        <w:rPr>
          <w:rStyle w:val="FootnoteReference"/>
          <w:noProof/>
        </w:rPr>
        <w:footnoteReference w:id="3"/>
      </w:r>
      <w:r>
        <w:rPr>
          <w:noProof/>
        </w:rPr>
        <w:t xml:space="preserve"> ja lentoliikenteen perusluonteiset yhteydet</w:t>
      </w:r>
      <w:r>
        <w:rPr>
          <w:rStyle w:val="FootnoteReference"/>
          <w:noProof/>
        </w:rPr>
        <w:footnoteReference w:id="4"/>
      </w:r>
      <w:r>
        <w:rPr>
          <w:noProof/>
        </w:rPr>
        <w:t>. Koska Yhdistyneen kuningaskunnan oli määrä erota unionista 30 päivänä maaliskuuta 2019, Euroopan parlamentti ja neuvosto hyväksyivät 25. maaliskuuta 2019 asetuksen (EU) 2019/501</w:t>
      </w:r>
      <w:r>
        <w:rPr>
          <w:rStyle w:val="FootnoteReference"/>
          <w:noProof/>
        </w:rPr>
        <w:footnoteReference w:id="5"/>
      </w:r>
      <w:r>
        <w:rPr>
          <w:noProof/>
        </w:rPr>
        <w:t>, jolla varmistetaan perusluonteiset maantieyhteydet (jäljempänä ’asetus (EU) 2019/501’), ja asetuksen (EU) 2019/502</w:t>
      </w:r>
      <w:r>
        <w:rPr>
          <w:rStyle w:val="FootnoteReference"/>
          <w:noProof/>
        </w:rPr>
        <w:footnoteReference w:id="6"/>
      </w:r>
      <w:r>
        <w:rPr>
          <w:noProof/>
        </w:rPr>
        <w:t xml:space="preserve">, jolla varmistetaan perusluonteiset lentoyhteydet (jäljempänä ’asetus (EU) 2019/502’). </w:t>
      </w:r>
    </w:p>
    <w:p>
      <w:pPr>
        <w:pBdr>
          <w:top w:val="nil"/>
          <w:left w:val="nil"/>
          <w:bottom w:val="nil"/>
          <w:right w:val="nil"/>
          <w:between w:val="nil"/>
          <w:bar w:val="nil"/>
        </w:pBdr>
        <w:spacing w:before="0" w:after="240"/>
        <w:rPr>
          <w:noProof/>
        </w:rPr>
      </w:pPr>
      <w:r>
        <w:rPr>
          <w:noProof/>
        </w:rPr>
        <w:t xml:space="preserve">Varautumistoimenpiteiden taustalla olevien periaatteiden mukaisesti molemmat asetukset ovat soveltamisalaltaan rajattuja, ja niitä on määrä soveltaa rajoitetun ajan. Alkuperäisen eropäivän perusteella asetusta (EU) 2019/501 sovelletaan 31. päivään joulukuuta 2019 ottaen myös huomioon Euroopan liikenneministerikonferenssin (ECMT) monenvälisissä </w:t>
      </w:r>
      <w:r>
        <w:rPr>
          <w:noProof/>
        </w:rPr>
        <w:lastRenderedPageBreak/>
        <w:t>kiintiöjärjestelmissä mahdollisesti toteutettavat perusluonteisia yhteyksiä koskevat järjestelyt. Ilmailualan kausittaisten erityispiirteiden huomioon ottamiseksi ja lentoliikennepalvelujen tarjonnan helpottamiseksi asetuksen (EU) 2019/502 soveltamisaika mukautettiin IATA:n talvikauden 2019/20 päättymiseen.</w:t>
      </w:r>
    </w:p>
    <w:p>
      <w:pPr>
        <w:pBdr>
          <w:top w:val="nil"/>
          <w:left w:val="nil"/>
          <w:bottom w:val="nil"/>
          <w:right w:val="nil"/>
          <w:between w:val="nil"/>
          <w:bar w:val="nil"/>
        </w:pBdr>
        <w:spacing w:before="0" w:after="240"/>
        <w:rPr>
          <w:noProof/>
        </w:rPr>
      </w:pPr>
      <w:r>
        <w:rPr>
          <w:noProof/>
        </w:rPr>
        <w:t>Asetus (EU) 2019/501 ja asetus (EU) 2019/502 hyväksyttiin pian sen jälkeen, kun SEU-sopimuksen 50 artiklan 3 kohdassa tarkoitettua ajanjaksoa oli ensimmäisen kerran pidennetty lyhyeksi ajaksi 12. päivään huhtikuuta 2019 asti. Sen jälkeen, kun nämä säädökset oli hyväksytty, Eurooppa-neuvosto (50 artikla) suostui Yhdistyneen kuningaskunnan pyynnöstä 11. huhtikuuta 2019</w:t>
      </w:r>
      <w:r>
        <w:rPr>
          <w:rStyle w:val="FootnoteReference"/>
          <w:noProof/>
        </w:rPr>
        <w:footnoteReference w:id="7"/>
      </w:r>
      <w:r>
        <w:rPr>
          <w:noProof/>
        </w:rPr>
        <w:t xml:space="preserve"> jatkamaan SEU-sopimuksen 50 artiklan 3 kohdan mukaista ajanjaksoa 31. päivään lokakuuta 2019. </w:t>
      </w:r>
    </w:p>
    <w:p>
      <w:pPr>
        <w:pBdr>
          <w:top w:val="nil"/>
          <w:left w:val="nil"/>
          <w:bottom w:val="nil"/>
          <w:right w:val="nil"/>
          <w:between w:val="nil"/>
          <w:bar w:val="nil"/>
        </w:pBdr>
        <w:spacing w:before="0" w:after="240"/>
        <w:rPr>
          <w:noProof/>
        </w:rPr>
      </w:pPr>
      <w:r>
        <w:rPr>
          <w:noProof/>
        </w:rPr>
        <w:t>Ellei Yhdistynyt kuningaskunta ratifioi erosopimusta 31. lokakuuta 2019 mennessä tai pyydä kolmatta pidennystä, jonka Eurooppa-neuvosto (50 artikla) hyväksyy yksimielisesti, SEU-sopimuksen 50 artiklan 3 kohdassa tarkoitettu määräaika umpeutuu tuona päivänä. Siinä tapauksessa Yhdistyneestä kuningaskunnasta tulee 1. marraskuuta 2019 alkaen kolmas maa ilman sopimusta, jolla varmistettaisiin hallittu eroaminen.</w:t>
      </w:r>
    </w:p>
    <w:p>
      <w:pPr>
        <w:pBdr>
          <w:top w:val="nil"/>
          <w:left w:val="nil"/>
          <w:bottom w:val="nil"/>
          <w:right w:val="nil"/>
          <w:between w:val="nil"/>
          <w:bar w:val="nil"/>
        </w:pBdr>
        <w:spacing w:before="0" w:after="240"/>
        <w:rPr>
          <w:noProof/>
        </w:rPr>
      </w:pPr>
      <w:r>
        <w:rPr>
          <w:noProof/>
        </w:rPr>
        <w:t>Komission 12. kesäkuuta 2019 antamassa tiedonannossa ”Yhdistyneen kuningaskunnan eroamista Euroopan unionista koskevien varautumistoimenpiteiden valmistelun tilanne”</w:t>
      </w:r>
      <w:r>
        <w:rPr>
          <w:rStyle w:val="FootnoteReference"/>
          <w:noProof/>
        </w:rPr>
        <w:footnoteReference w:id="8"/>
      </w:r>
      <w:r>
        <w:rPr>
          <w:noProof/>
        </w:rPr>
        <w:t xml:space="preserve"> komissio totesi, että kaikki EU:n tason valmistautumis- ja varautumistoimenpiteet ovat edelleen tarkoituksenmukaisia. On kuitenkin selvää, että SEU-sopimuksen 50 artiklan 3 kohdan mukaisen ajanjakson pidentäminen seitsemällä kuukaudella 31. päivään lokakuuta 2019 asti vaikuttaa tiettyihin jo hyväksyttyihin varautumistoimenpiteisiin. Tämä koskee erityisesti sellaisia varautumistoimenpiteitä, kuten asetuksia (EU) 2019/501 ja (EU) 2019/502, joita lakataan soveltamasta määrättynä päivänä. Komissio sitoutui jo 12. kesäkuuta 2019 antamassaan tiedonannossa tarkastelemaan, tarvitaanko näihin toimiin teknistä mukautusta Yhdistyneen kuningaskunnan eron uuden aikataulun huomioon ottamiseksi.</w:t>
      </w:r>
    </w:p>
    <w:p>
      <w:pPr>
        <w:pBdr>
          <w:top w:val="nil"/>
          <w:left w:val="nil"/>
          <w:bottom w:val="nil"/>
          <w:right w:val="nil"/>
          <w:between w:val="nil"/>
          <w:bar w:val="nil"/>
        </w:pBdr>
        <w:spacing w:before="0" w:after="240"/>
        <w:rPr>
          <w:noProof/>
        </w:rPr>
      </w:pPr>
      <w:r>
        <w:rPr>
          <w:noProof/>
        </w:rPr>
        <w:t xml:space="preserve">Jos alkuperäinen soveltamisen alkamispäivä eli 31. joulukuuta 2019 säilytettäisiin ja Yhdistynyt kuningaskunta eroaisi unionista ilman sopimusta 1. marraskuuta 2019, etenkin asetuksen (EU) 2019/501 soveltamisaika olisi vain kaksi kuukautta, eikä asetus täyttäisi tarkoitustaan sen soveltamisajan osalta. </w:t>
      </w:r>
    </w:p>
    <w:p>
      <w:pPr>
        <w:pBdr>
          <w:top w:val="nil"/>
          <w:left w:val="nil"/>
          <w:bottom w:val="nil"/>
          <w:right w:val="nil"/>
          <w:between w:val="nil"/>
          <w:bar w:val="nil"/>
        </w:pBdr>
        <w:spacing w:before="0" w:after="240"/>
        <w:rPr>
          <w:noProof/>
        </w:rPr>
      </w:pPr>
      <w:r>
        <w:rPr>
          <w:noProof/>
        </w:rPr>
        <w:t>Myös asetusta (EU) 2019/502 sovellettaisiin alle puolet alun perin tarkoitetusta soveltamisajasta, jos sitä lakattaisiin soveltamasta 30. maaliskuuta 2020, kuten tilanne nyt on. Tämä rajoittaisi merkittävästi aikaa, jona Yhdistyneen kuningaskunnan lentoyhtiöt voisivat liikennöidä unioniin.</w:t>
      </w:r>
    </w:p>
    <w:p>
      <w:pPr>
        <w:pBdr>
          <w:top w:val="nil"/>
          <w:left w:val="nil"/>
          <w:bottom w:val="nil"/>
          <w:right w:val="nil"/>
          <w:between w:val="nil"/>
          <w:bar w:val="nil"/>
        </w:pBdr>
        <w:spacing w:before="0" w:after="240"/>
        <w:rPr>
          <w:noProof/>
        </w:rPr>
      </w:pPr>
      <w:r>
        <w:rPr>
          <w:noProof/>
        </w:rPr>
        <w:t>On tarpeen varmistaa, että jo hyväksytyillä varautumisasetuksilla saavutetaan niille alun perin, siltä osin kuin ne kyse niiden soveltamisajasta, määritellyt tavoitteet, vaikka Yhdistyneen kuningaskunnan eroamispäivää lykättäisiin. Tämän vuoksi tällä ehdotuksella on tarkoitus pidentää asetusten (EU) 2019/501 ja (EU) 2019/502 voimassaoloaikaa seitsemällä kuukaudella, mikä vastaa SEU-sopimuksen 50 artiklan 3 kohdan mukaisen ajanjakson pidennystä. Tämä on sopusoinnussa varautumistoimenpiteiden perustana olevien periaatteiden ja erityisesti sen periaatteen kanssa, että varautumistoimenpiteiden olisi oltava ajallisesti tiukasti rajattuja.</w:t>
      </w:r>
    </w:p>
    <w:p>
      <w:pPr>
        <w:pBdr>
          <w:top w:val="nil"/>
          <w:left w:val="nil"/>
          <w:bottom w:val="nil"/>
          <w:right w:val="nil"/>
          <w:between w:val="nil"/>
          <w:bar w:val="nil"/>
        </w:pBdr>
        <w:spacing w:before="0" w:after="240"/>
        <w:rPr>
          <w:noProof/>
        </w:rPr>
      </w:pPr>
      <w:r>
        <w:rPr>
          <w:noProof/>
        </w:rPr>
        <w:lastRenderedPageBreak/>
        <w:t>Sen vuoksi ehdotetaan, että asetusta (EU) 2019/501 sovelletaan 31. päivään heinäkuuta 2020 eikä 31. päivään joulukuuta 2019. Sen varmistamiseksi, että asetuksen (EU) 2019/501 2 artiklan 3 kohdan d alakohdan mukainen mahdollisuus on käytettävissä mielekkään ajan, siten kuin alun perin tarkoitettiin, myös se ajanjakso, jonka aikana maanteiden matkustajaliikennettä (kabotaasiliikennettä) voidaan harjoittaa Irlannin raja-alueella, olisi määriteltävä kuudeksi kuukaudeksi mainitun asetuksen soveltamisen alkamispäivästä. Nykyinen viittaus 30. päivään syyskuuta 2019 olisi korvattava tällä säännöllä. Ajanjakso, jona komissio käyttää asetuksen 11 artiklan 1 kohdassa tarkoitettua siirrettyä säädösvaltaa, olisi mukautettava siihen uuteen päivämäärään, josta lähtien kyseistä asetusta ei enää sovelleta. Asetuksen 2 artiklan 2 kohdan b alakohdassa säädetyt määräajat olisi säilytettävä muuttumattomina.</w:t>
      </w:r>
    </w:p>
    <w:p>
      <w:pPr>
        <w:pBdr>
          <w:top w:val="nil"/>
          <w:left w:val="nil"/>
          <w:bottom w:val="nil"/>
          <w:right w:val="nil"/>
          <w:between w:val="nil"/>
          <w:bar w:val="nil"/>
        </w:pBdr>
        <w:spacing w:before="0" w:after="240"/>
        <w:rPr>
          <w:noProof/>
        </w:rPr>
      </w:pPr>
      <w:r>
        <w:rPr>
          <w:noProof/>
        </w:rPr>
        <w:t>Asetuksen (EU) 2019/502 soveltaminen lakkaa tämän ehdotuksen ehtojen mukaan viimeistään 24. lokakuuta 2020, jolloin IATA:n kesäkausi vuonna 2020 päättyy. Näin asetusta sovellettaisiin 12 kuukauden ajan, kuten alun perin suunniteltiin.</w:t>
      </w:r>
    </w:p>
    <w:p>
      <w:pPr>
        <w:pStyle w:val="ManualHeading2"/>
        <w:rPr>
          <w:rFonts w:eastAsia="Arial Unicode MS"/>
          <w:noProof/>
          <w:u w:color="000000"/>
          <w:bdr w:val="nil"/>
        </w:rPr>
      </w:pPr>
      <w:r>
        <w:rPr>
          <w:noProof/>
          <w:u w:color="000000"/>
          <w:bdr w:val="nil"/>
        </w:rPr>
        <w:t>•</w:t>
      </w:r>
      <w:r>
        <w:rPr>
          <w:noProof/>
          <w:u w:color="000000"/>
          <w:bdr w:val="nil"/>
        </w:rPr>
        <w:tab/>
      </w:r>
      <w:r>
        <w:rPr>
          <w:noProof/>
        </w:rPr>
        <w:t>Yhdenmukaisuus muiden alaa koskevien politiikkojen säännösten kanssa</w:t>
      </w:r>
    </w:p>
    <w:p>
      <w:pPr>
        <w:pBdr>
          <w:top w:val="nil"/>
          <w:left w:val="nil"/>
          <w:bottom w:val="nil"/>
          <w:right w:val="nil"/>
          <w:between w:val="nil"/>
          <w:bar w:val="nil"/>
        </w:pBdr>
        <w:spacing w:before="0" w:after="240"/>
        <w:rPr>
          <w:rFonts w:eastAsia="Arial Unicode MS"/>
          <w:noProof/>
        </w:rPr>
      </w:pPr>
      <w:r>
        <w:rPr>
          <w:noProof/>
        </w:rPr>
        <w:t xml:space="preserve">Tällä ehdotuksella muutetaan rajoitetusti tiettyjä säännöksiä, jotka koskevat kahden voimassa olevan </w:t>
      </w:r>
      <w:r>
        <w:rPr>
          <w:i/>
          <w:noProof/>
        </w:rPr>
        <w:t>lex specialis</w:t>
      </w:r>
      <w:r>
        <w:rPr>
          <w:noProof/>
        </w:rPr>
        <w:t xml:space="preserve"> -asetuksen soveltamisaikaa ja sillä puututaan joihinkin niistä seurauksista, joita aiheutuu siitä, ettei unionin lainsäädäntöä enää sovelleta Yhdistyneeseen kuningaskuntaan. Muutettujen säädösten olennaiset säännökset säilyvät muuttumattomina, ja niitä sovelletaan edelleen. Ehdotus on näin ollen täysin yhdenmukainen voimassa olevan lainsäädännön kanssa.  </w:t>
      </w:r>
    </w:p>
    <w:p>
      <w:pPr>
        <w:pStyle w:val="ManualHeading2"/>
        <w:rPr>
          <w:rFonts w:eastAsia="Arial Unicode MS"/>
          <w:noProof/>
        </w:rPr>
      </w:pPr>
      <w:r>
        <w:rPr>
          <w:noProof/>
          <w:u w:color="000000"/>
          <w:bdr w:val="nil"/>
        </w:rPr>
        <w:t>•</w:t>
      </w:r>
      <w:r>
        <w:rPr>
          <w:noProof/>
          <w:u w:color="000000"/>
          <w:bdr w:val="nil"/>
        </w:rPr>
        <w:tab/>
      </w:r>
      <w:r>
        <w:rPr>
          <w:noProof/>
        </w:rPr>
        <w:t>Yhdenmukaisuus unionin muiden politiikkojen kanssa</w:t>
      </w:r>
    </w:p>
    <w:p>
      <w:pPr>
        <w:pBdr>
          <w:top w:val="nil"/>
          <w:left w:val="nil"/>
          <w:bottom w:val="nil"/>
          <w:right w:val="nil"/>
          <w:between w:val="nil"/>
          <w:bar w:val="nil"/>
        </w:pBdr>
        <w:spacing w:before="0" w:after="240"/>
        <w:rPr>
          <w:rFonts w:eastAsia="Arial Unicode MS"/>
          <w:noProof/>
        </w:rPr>
      </w:pPr>
      <w:r>
        <w:rPr>
          <w:noProof/>
        </w:rPr>
        <w:t>Ehdotus on osa toimenpiteitä, joilla unioni varautuu Yhdistyneen kuningaskunnan eroamiseen unionista ilman erosopimusta, ja se on täysin linjassa niiden kanssa.</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u w:color="000000"/>
          <w:bdr w:val="nil"/>
        </w:rPr>
        <w:t>•</w:t>
      </w:r>
      <w:r>
        <w:rPr>
          <w:noProof/>
          <w:u w:color="000000"/>
          <w:bdr w:val="nil"/>
        </w:rPr>
        <w:tab/>
        <w:t>Oikeusperusta</w:t>
      </w:r>
    </w:p>
    <w:p>
      <w:pPr>
        <w:pBdr>
          <w:top w:val="nil"/>
          <w:left w:val="nil"/>
          <w:bottom w:val="nil"/>
          <w:right w:val="nil"/>
          <w:between w:val="nil"/>
          <w:bar w:val="nil"/>
        </w:pBdr>
        <w:spacing w:before="0" w:after="240"/>
        <w:rPr>
          <w:rFonts w:eastAsia="Arial Unicode MS"/>
          <w:noProof/>
        </w:rPr>
      </w:pPr>
      <w:r>
        <w:rPr>
          <w:noProof/>
        </w:rPr>
        <w:t>Koska näiden kahden muutettavan asetuksen oikeusperusta on Euroopan unionin toiminnasta tehdyn sopimuksen (SEUT) 91 artiklan 1 kohta ja 100 artiklan 2 kohta, tässä muutosasetuksessa olisi käytettävä samaa oikeusperustaa.</w:t>
      </w:r>
    </w:p>
    <w:p>
      <w:pPr>
        <w:pStyle w:val="ManualHeading2"/>
        <w:rPr>
          <w:rFonts w:eastAsia="Arial Unicode MS"/>
          <w:noProof/>
          <w:u w:color="000000"/>
          <w:bdr w:val="nil"/>
        </w:rPr>
      </w:pPr>
      <w:r>
        <w:rPr>
          <w:noProof/>
          <w:u w:color="000000"/>
          <w:bdr w:val="nil"/>
        </w:rPr>
        <w:t>•</w:t>
      </w:r>
      <w:r>
        <w:rPr>
          <w:noProof/>
          <w:u w:color="000000"/>
          <w:bdr w:val="nil"/>
        </w:rPr>
        <w:tab/>
        <w:t xml:space="preserve">Toissijaisuusperiaate (jaetun toimivallan osalta) </w:t>
      </w:r>
    </w:p>
    <w:p>
      <w:pPr>
        <w:pBdr>
          <w:top w:val="nil"/>
          <w:left w:val="nil"/>
          <w:bottom w:val="nil"/>
          <w:right w:val="nil"/>
          <w:between w:val="nil"/>
          <w:bar w:val="nil"/>
        </w:pBdr>
        <w:spacing w:before="0" w:after="240"/>
        <w:rPr>
          <w:rFonts w:eastAsia="Arial Unicode MS"/>
          <w:noProof/>
        </w:rPr>
      </w:pPr>
      <w:r>
        <w:rPr>
          <w:noProof/>
        </w:rPr>
        <w:t>Koska ehdotuksella muutetaan voimassa olevan unionin lainsäädännön säännöksiä, sen tavoite voidaan saavuttaa ainoastaan unionin tasolla annetulla säädöksellä.</w:t>
      </w:r>
    </w:p>
    <w:p>
      <w:pPr>
        <w:pStyle w:val="ManualHeading2"/>
        <w:rPr>
          <w:rFonts w:eastAsia="Arial Unicode MS"/>
          <w:noProof/>
          <w:u w:color="000000"/>
          <w:bdr w:val="nil"/>
        </w:rPr>
      </w:pPr>
      <w:r>
        <w:rPr>
          <w:noProof/>
          <w:u w:color="000000"/>
          <w:bdr w:val="nil"/>
        </w:rPr>
        <w:t>•</w:t>
      </w:r>
      <w:r>
        <w:rPr>
          <w:noProof/>
          <w:u w:color="000000"/>
          <w:bdr w:val="nil"/>
        </w:rPr>
        <w:tab/>
        <w:t>Suhteellisuusperiaate</w:t>
      </w:r>
    </w:p>
    <w:p>
      <w:pPr>
        <w:pBdr>
          <w:top w:val="nil"/>
          <w:left w:val="nil"/>
          <w:bottom w:val="nil"/>
          <w:right w:val="nil"/>
          <w:between w:val="nil"/>
          <w:bar w:val="nil"/>
        </w:pBdr>
        <w:spacing w:before="0" w:after="240"/>
        <w:rPr>
          <w:rFonts w:eastAsia="Arial Unicode MS"/>
          <w:noProof/>
        </w:rPr>
      </w:pPr>
      <w:r>
        <w:rPr>
          <w:noProof/>
        </w:rPr>
        <w:t>Ehdotettua asetusta pidetään oikeasuhteisena, koska siinä ei ylitetä sitä, mikä on tarpeen, jotta voidaan puuttua siihen, miten SEU-sopimuksen 50 artiklan 3 kohdan mukaisen Yhdistyneen kuningaskunnan unionista eroamisen määräajan lykkäys vaikuttaa voimassa oleviin maantie- ja lentoliikenneyhteyksiä koskeviin asetuksiin. Siinä pidättäydytään laajemmista muutoksista, jotka eivät liity SEU-sopimuksen 50 artiklan 3 kohdassa vahvistetun ajanjakson pidentämiseen.</w:t>
      </w:r>
    </w:p>
    <w:p>
      <w:pPr>
        <w:pStyle w:val="ManualHeading2"/>
        <w:rPr>
          <w:rFonts w:eastAsia="Arial Unicode MS"/>
          <w:noProof/>
          <w:u w:color="000000"/>
          <w:bdr w:val="nil"/>
        </w:rPr>
      </w:pPr>
      <w:r>
        <w:rPr>
          <w:noProof/>
          <w:u w:color="000000"/>
          <w:bdr w:val="nil"/>
        </w:rPr>
        <w:lastRenderedPageBreak/>
        <w:t>•</w:t>
      </w:r>
      <w:r>
        <w:rPr>
          <w:noProof/>
          <w:u w:color="000000"/>
          <w:bdr w:val="nil"/>
        </w:rPr>
        <w:tab/>
        <w:t>Toimintatavan valinta</w:t>
      </w:r>
    </w:p>
    <w:p>
      <w:pPr>
        <w:pBdr>
          <w:top w:val="nil"/>
          <w:left w:val="nil"/>
          <w:bottom w:val="nil"/>
          <w:right w:val="nil"/>
          <w:between w:val="nil"/>
          <w:bar w:val="nil"/>
        </w:pBdr>
        <w:spacing w:before="0" w:after="240"/>
        <w:rPr>
          <w:rFonts w:eastAsia="Arial Unicode MS"/>
          <w:noProof/>
        </w:rPr>
      </w:pPr>
      <w:r>
        <w:rPr>
          <w:noProof/>
        </w:rPr>
        <w:t>Koska ehdotuksen tarkoituksena on muuttaa kahta voimassa olevaa asetusta, valittu väline on myös asetus. Kun otetaan huomioon ehdotettujen muutosten vähäisyys, näitä kahta asetusta ei ole tarpeen laatia uudelleen.</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u w:color="000000"/>
          <w:bdr w:val="nil"/>
        </w:rPr>
        <w:t>•</w:t>
      </w:r>
      <w:r>
        <w:rPr>
          <w:noProof/>
          <w:u w:color="000000"/>
          <w:bdr w:val="nil"/>
        </w:rPr>
        <w:tab/>
        <w:t>Jälkiarvioinnit/toimivuustarkastukset</w:t>
      </w:r>
    </w:p>
    <w:p>
      <w:pPr>
        <w:pBdr>
          <w:top w:val="nil"/>
          <w:left w:val="nil"/>
          <w:bottom w:val="nil"/>
          <w:right w:val="nil"/>
          <w:between w:val="nil"/>
          <w:bar w:val="nil"/>
        </w:pBdr>
        <w:spacing w:before="0" w:after="240"/>
        <w:rPr>
          <w:rFonts w:eastAsia="Arial Unicode MS"/>
          <w:noProof/>
        </w:rPr>
      </w:pPr>
      <w:r>
        <w:rPr>
          <w:noProof/>
        </w:rPr>
        <w:t>Ei sovelleta, koska ehdotetun asetuksen soveltamisala on rajoitettu ja ehdotuksen taustalla on poikkeuksellinen ja kertaluonteinen tapahtuma pian sen jälkeen, kun kyseiset kaksi säädöstä on hyväksytty.</w:t>
      </w:r>
    </w:p>
    <w:p>
      <w:pPr>
        <w:pStyle w:val="ManualHeading2"/>
        <w:rPr>
          <w:rFonts w:eastAsia="Arial Unicode MS"/>
          <w:noProof/>
          <w:u w:color="000000"/>
          <w:bdr w:val="nil"/>
        </w:rPr>
      </w:pPr>
      <w:r>
        <w:rPr>
          <w:noProof/>
          <w:u w:color="000000"/>
          <w:bdr w:val="nil"/>
        </w:rPr>
        <w:t>•</w:t>
      </w:r>
      <w:r>
        <w:rPr>
          <w:noProof/>
          <w:u w:color="000000"/>
          <w:bdr w:val="nil"/>
        </w:rPr>
        <w:tab/>
        <w:t>Sidosryhmien kuuleminen</w:t>
      </w:r>
    </w:p>
    <w:p>
      <w:pPr>
        <w:pBdr>
          <w:top w:val="nil"/>
          <w:left w:val="nil"/>
          <w:bottom w:val="nil"/>
          <w:right w:val="nil"/>
          <w:between w:val="nil"/>
          <w:bar w:val="nil"/>
        </w:pBdr>
        <w:spacing w:before="0" w:after="240"/>
        <w:rPr>
          <w:noProof/>
        </w:rPr>
      </w:pPr>
      <w:r>
        <w:rPr>
          <w:noProof/>
        </w:rPr>
        <w:t>Ei sovelleta, koska ehdotetun asetuksen soveltamisala on rajoitettu ja ehdotuksen taustalla on poikkeuksellinen ja kertaluonteinen tapahtuma. Kuten edellä on selitetty, ehdotuksella pyritään ainoastaan noudattamaan kyseisten kahden säädöksen taustalla olevaa lähestymistapaa eri määräaikojen suhteen uudessa tilanteessa, joka toteutuu SEU-sopimuksen 50 artiklan 3 kohdassa vahvistetun ajanjakson pidennyksen jälkeen.</w:t>
      </w:r>
    </w:p>
    <w:p>
      <w:pPr>
        <w:pStyle w:val="ManualHeading2"/>
        <w:rPr>
          <w:rFonts w:eastAsia="Arial Unicode MS"/>
          <w:noProof/>
          <w:u w:color="000000"/>
          <w:bdr w:val="nil"/>
        </w:rPr>
      </w:pPr>
      <w:r>
        <w:rPr>
          <w:noProof/>
          <w:u w:color="000000"/>
          <w:bdr w:val="nil"/>
        </w:rPr>
        <w:t>•</w:t>
      </w:r>
      <w:r>
        <w:rPr>
          <w:noProof/>
          <w:u w:color="000000"/>
          <w:bdr w:val="nil"/>
        </w:rPr>
        <w:tab/>
        <w:t>Asiantuntijatiedon keruu ja käyttö</w:t>
      </w:r>
    </w:p>
    <w:p>
      <w:pPr>
        <w:pBdr>
          <w:top w:val="nil"/>
          <w:left w:val="nil"/>
          <w:bottom w:val="nil"/>
          <w:right w:val="nil"/>
          <w:between w:val="nil"/>
          <w:bar w:val="nil"/>
        </w:pBdr>
        <w:spacing w:before="0" w:after="240"/>
        <w:rPr>
          <w:rFonts w:eastAsia="Arial Unicode MS"/>
          <w:noProof/>
        </w:rPr>
      </w:pPr>
      <w:r>
        <w:rPr>
          <w:noProof/>
        </w:rPr>
        <w:t>Ehdotuksesta on tehty komission oma oikeudellinen ja tekninen analyysi sen varmistamiseksi, että ehdotettu toimenpide saavuttaa tavoitteensa mutta rajoittuu siihen, mikä on ehdottomasti tarpeen.</w:t>
      </w:r>
    </w:p>
    <w:p>
      <w:pPr>
        <w:pStyle w:val="ManualHeading2"/>
        <w:rPr>
          <w:rFonts w:eastAsia="Arial Unicode MS"/>
          <w:noProof/>
          <w:u w:color="000000"/>
          <w:bdr w:val="nil"/>
        </w:rPr>
      </w:pPr>
      <w:r>
        <w:rPr>
          <w:noProof/>
          <w:u w:color="000000"/>
          <w:bdr w:val="nil"/>
        </w:rPr>
        <w:t>•</w:t>
      </w:r>
      <w:r>
        <w:rPr>
          <w:noProof/>
          <w:u w:color="000000"/>
          <w:bdr w:val="nil"/>
        </w:rPr>
        <w:tab/>
        <w:t>Vaikutustenarviointi</w:t>
      </w:r>
    </w:p>
    <w:p>
      <w:pPr>
        <w:pBdr>
          <w:top w:val="nil"/>
          <w:left w:val="nil"/>
          <w:bottom w:val="nil"/>
          <w:right w:val="nil"/>
          <w:between w:val="nil"/>
          <w:bar w:val="nil"/>
        </w:pBdr>
        <w:spacing w:before="0" w:after="240"/>
        <w:rPr>
          <w:rFonts w:eastAsia="Arial Unicode MS"/>
          <w:noProof/>
        </w:rPr>
      </w:pPr>
      <w:r>
        <w:rPr>
          <w:noProof/>
        </w:rPr>
        <w:t xml:space="preserve">Vaikutusten arviointi ei ole tarpeen, koska tilanne on poikkeuksellinen ja ehdotuksen soveltamisala on rajoitettu. Kuten edellä on selitetty, ehdotuksella pyritään ainoastaan noudattamaan kyseisten kahden säädöksen taustalla olevaa lähestymistapaa eri määräaikojen suhteen uudessa tilanteessa, joka toteutuu SEU-sopimuksen 50 artiklan 3 kohdassa vahvistetun ajanjakson pidennyksen jälkeen. </w:t>
      </w:r>
    </w:p>
    <w:p>
      <w:pPr>
        <w:pStyle w:val="ManualHeading2"/>
        <w:rPr>
          <w:rFonts w:eastAsia="Arial Unicode MS"/>
          <w:noProof/>
          <w:u w:color="000000"/>
          <w:bdr w:val="nil"/>
        </w:rPr>
      </w:pPr>
      <w:r>
        <w:rPr>
          <w:noProof/>
          <w:u w:color="000000"/>
          <w:bdr w:val="nil"/>
        </w:rPr>
        <w:t>•</w:t>
      </w:r>
      <w:r>
        <w:rPr>
          <w:noProof/>
          <w:u w:color="000000"/>
          <w:bdr w:val="nil"/>
        </w:rPr>
        <w:tab/>
        <w:t>Perusoikeudet</w:t>
      </w:r>
    </w:p>
    <w:p>
      <w:pPr>
        <w:pBdr>
          <w:top w:val="nil"/>
          <w:left w:val="nil"/>
          <w:bottom w:val="nil"/>
          <w:right w:val="nil"/>
          <w:between w:val="nil"/>
          <w:bar w:val="nil"/>
        </w:pBdr>
        <w:spacing w:before="0" w:after="240"/>
        <w:rPr>
          <w:rFonts w:eastAsia="Arial Unicode MS"/>
          <w:noProof/>
        </w:rPr>
      </w:pPr>
      <w:r>
        <w:rPr>
          <w:noProof/>
        </w:rPr>
        <w:t xml:space="preserve">Tämä ehdotus ei vaikuta perusoikeuksien soveltamiseen eikä suojaamiseen. </w:t>
      </w:r>
    </w:p>
    <w:p>
      <w:pPr>
        <w:pStyle w:val="ManualHeading1"/>
        <w:rPr>
          <w:noProof/>
        </w:rPr>
      </w:pPr>
      <w:r>
        <w:rPr>
          <w:noProof/>
        </w:rPr>
        <w:t>4.</w:t>
      </w:r>
      <w:r>
        <w:rPr>
          <w:noProof/>
        </w:rPr>
        <w:tab/>
        <w:t>TALOUSARVIOVAIKUTUKSET</w:t>
      </w:r>
    </w:p>
    <w:p>
      <w:pPr>
        <w:pBdr>
          <w:top w:val="nil"/>
          <w:left w:val="nil"/>
          <w:bottom w:val="nil"/>
          <w:right w:val="nil"/>
          <w:between w:val="nil"/>
          <w:bar w:val="nil"/>
        </w:pBdr>
        <w:spacing w:before="0" w:after="240"/>
        <w:rPr>
          <w:rFonts w:eastAsia="Arial Unicode MS"/>
          <w:noProof/>
        </w:rPr>
      </w:pPr>
      <w:r>
        <w:rPr>
          <w:noProof/>
        </w:rPr>
        <w:t xml:space="preserve">Ei sovelleta. </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u w:color="000000"/>
          <w:bdr w:val="nil"/>
        </w:rPr>
        <w:t>•</w:t>
      </w:r>
      <w:r>
        <w:rPr>
          <w:noProof/>
          <w:u w:color="000000"/>
          <w:bdr w:val="nil"/>
        </w:rPr>
        <w:tab/>
        <w:t>Täytäntöönpanosuunnitelmat, seuranta, arviointi ja raportointijärjestelyt</w:t>
      </w:r>
    </w:p>
    <w:p>
      <w:pPr>
        <w:pBdr>
          <w:top w:val="nil"/>
          <w:left w:val="nil"/>
          <w:bottom w:val="nil"/>
          <w:right w:val="nil"/>
          <w:between w:val="nil"/>
          <w:bar w:val="nil"/>
        </w:pBdr>
        <w:spacing w:before="0" w:after="240"/>
        <w:rPr>
          <w:rFonts w:eastAsia="Arial Unicode MS"/>
          <w:noProof/>
        </w:rPr>
      </w:pPr>
      <w:r>
        <w:rPr>
          <w:noProof/>
        </w:rPr>
        <w:t xml:space="preserve">Ei sovelleta, koska ehdotetun toimenpiteen soveltamisala on suppea ja toimenpide on lyhytkestoinen.  </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2019/0179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asetuksen (EU) 2019/501 ja asetuksen (EU) 2019/502 muuttamisesta niiden soveltamisaikojen osalta</w:t>
      </w:r>
    </w:p>
    <w:p>
      <w:pPr>
        <w:pStyle w:val="IntrtEEE"/>
        <w:rPr>
          <w:noProof/>
        </w:rPr>
      </w:pPr>
      <w:r>
        <w:rPr>
          <w:noProof/>
        </w:rPr>
        <w:t>(ETA:n kannalta merkityksellinen teksti)</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91 artiklan 1 kohdan ja 100 artiklan 2 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9"/>
      </w:r>
      <w:r>
        <w:rPr>
          <w:noProof/>
        </w:rPr>
        <w:t xml:space="preserve">, </w:t>
      </w:r>
    </w:p>
    <w:p>
      <w:pPr>
        <w:rPr>
          <w:noProof/>
        </w:rPr>
      </w:pPr>
      <w:r>
        <w:rPr>
          <w:noProof/>
        </w:rPr>
        <w:t>ottavat huomioon alueiden komitean lausunnon</w:t>
      </w:r>
      <w:r>
        <w:rPr>
          <w:rStyle w:val="FootnoteReference"/>
          <w:noProof/>
        </w:rPr>
        <w:footnoteReference w:id="10"/>
      </w:r>
      <w:r>
        <w:rPr>
          <w:noProof/>
        </w:rPr>
        <w:t>,</w:t>
      </w:r>
    </w:p>
    <w:p>
      <w:pPr>
        <w:rPr>
          <w:noProof/>
        </w:rPr>
      </w:pPr>
      <w:r>
        <w:rPr>
          <w:noProof/>
        </w:rPr>
        <w:t>noudattavat tavallista lainsäätämisjärjestystä,</w:t>
      </w:r>
    </w:p>
    <w:p>
      <w:pPr>
        <w:rPr>
          <w:noProof/>
        </w:rPr>
      </w:pPr>
      <w:r>
        <w:rPr>
          <w:noProof/>
        </w:rPr>
        <w:t>sekä katsovat seuraavaa:</w:t>
      </w:r>
    </w:p>
    <w:p>
      <w:pPr>
        <w:pStyle w:val="ManualConsidrant"/>
        <w:rPr>
          <w:noProof/>
        </w:rPr>
      </w:pPr>
      <w:r>
        <w:rPr>
          <w:noProof/>
        </w:rPr>
        <w:t>1)</w:t>
      </w:r>
      <w:r>
        <w:rPr>
          <w:noProof/>
        </w:rPr>
        <w:tab/>
        <w:t>Ison-Britannian ja Pohjois-Irlannin yhdistynyt kuningaskunta, jäljempänä ’Yhdistynyt kuningaskunta’, ilmoitti 29 päivänä maaliskuuta 2017 aikomuksestaan erota unionista Euroopan unionista tehdyn sopimuksen 50 artiklan mukaisesti. Perussopimuksia lakataan soveltamasta Yhdistyneeseen kuningaskuntaan sinä päivänä, jona erosopimus tulee voimaan, tai, jollei sopimusta ole, kahden vuoden kuluttua edellä tarkoitetusta ilmoituksesta, ellei Eurooppa-neuvosto yhteisymmärryksessä Yhdistyneen kuningaskunnan kanssa päätä yksimielisesti pidentää tätä määräaikaa.</w:t>
      </w:r>
    </w:p>
    <w:p>
      <w:pPr>
        <w:pStyle w:val="ManualConsidrant"/>
        <w:rPr>
          <w:noProof/>
        </w:rPr>
      </w:pPr>
      <w:r>
        <w:rPr>
          <w:noProof/>
        </w:rPr>
        <w:t>2)</w:t>
      </w:r>
      <w:r>
        <w:rPr>
          <w:noProof/>
        </w:rPr>
        <w:tab/>
        <w:t>Euroopan parlamentin ja neuvoston asetus (EU) 2019/501</w:t>
      </w:r>
      <w:r>
        <w:rPr>
          <w:rStyle w:val="FootnoteReference"/>
          <w:noProof/>
        </w:rPr>
        <w:footnoteReference w:id="11"/>
      </w:r>
      <w:r>
        <w:rPr>
          <w:noProof/>
        </w:rPr>
        <w:t xml:space="preserve"> ja Euroopan parlamentin ja neuvoston asetus (EU) N:o 2019/502</w:t>
      </w:r>
      <w:r>
        <w:rPr>
          <w:rStyle w:val="FootnoteReference"/>
          <w:noProof/>
        </w:rPr>
        <w:t xml:space="preserve"> </w:t>
      </w:r>
      <w:r>
        <w:rPr>
          <w:rStyle w:val="FootnoteReference"/>
          <w:noProof/>
        </w:rPr>
        <w:footnoteReference w:id="12"/>
      </w:r>
      <w:r>
        <w:rPr>
          <w:noProof/>
        </w:rPr>
        <w:t xml:space="preserve"> annettiin 25 päivänä maaliskuuta 2019 siihen valmistautumiseksi, että Yhdistynyt kuningaskunta eroaisi unionista ilman sopimusta 30 päivänä maaliskuuta 2019, jotta voidaan varmistaa maanteiden tavara- ja henkilöliikenteen perusluonteiset yhteydet sekä perusluonteiset lentoliikenneyhteydet unionin ja Yhdistyneen kuningaskunnan välillä.</w:t>
      </w:r>
    </w:p>
    <w:p>
      <w:pPr>
        <w:pStyle w:val="ManualConsidrant"/>
        <w:rPr>
          <w:noProof/>
        </w:rPr>
      </w:pPr>
      <w:r>
        <w:rPr>
          <w:noProof/>
        </w:rPr>
        <w:lastRenderedPageBreak/>
        <w:t>3)</w:t>
      </w:r>
      <w:r>
        <w:rPr>
          <w:noProof/>
        </w:rPr>
        <w:tab/>
        <w:t>Mainitut säädökset hyväksyttiin pian sen jälkeen, kun SEU-sopimuksen 50 artiklan 3 kohdassa tarkoitettua ajanjaksoa oli ensimmäisen kerran pidennetty lyhyeksi ajaksi 12 päivään huhtikuuta 2019 asti. Yhdistyneen kuningaskunnan pyynnöstä Eurooppa-neuvosto suostui 11 päivänä huhtikuuta 2019</w:t>
      </w:r>
      <w:r>
        <w:rPr>
          <w:rStyle w:val="FootnoteReference"/>
          <w:noProof/>
        </w:rPr>
        <w:footnoteReference w:id="13"/>
      </w:r>
      <w:r>
        <w:rPr>
          <w:noProof/>
        </w:rPr>
        <w:t xml:space="preserve"> pidentämään ajanjaksoa vielä 31 päivään lokakuuta 2019 asti. Ellei Yhdistynyt kuningaskunta ratifioi erosopimusta</w:t>
      </w:r>
      <w:r>
        <w:rPr>
          <w:rStyle w:val="FootnoteReference"/>
          <w:noProof/>
        </w:rPr>
        <w:footnoteReference w:id="14"/>
      </w:r>
      <w:r>
        <w:rPr>
          <w:noProof/>
        </w:rPr>
        <w:t xml:space="preserve"> 31 päivään lokakuuta 2019 mennessä tai pyydä kolmatta pidennystä, joka Eurooppa-neuvoston on hyväksyttävä yksimielisesti, SEU-sopimuksen 50 artiklan 3 kohdassa tarkoitettu ajanjakso päättyy 31 päivänä lokakuuta 2019. Yhdistyneestä kuningaskunnasta tulee siten ns. kolmas maa 1 päivästä marraskuuta 2019.</w:t>
      </w:r>
    </w:p>
    <w:p>
      <w:pPr>
        <w:pStyle w:val="ManualConsidrant"/>
        <w:rPr>
          <w:noProof/>
        </w:rPr>
      </w:pPr>
      <w:r>
        <w:rPr>
          <w:noProof/>
        </w:rPr>
        <w:t>4)</w:t>
      </w:r>
      <w:r>
        <w:rPr>
          <w:noProof/>
        </w:rPr>
        <w:tab/>
        <w:t>Asetuksen (EU) 2019/501 soveltaminen lakkaa 31 päivänä joulukuuta 2019 ja asetuksen (EU) 2019/502 soveltaminen 30 päivänä maaliskuuta 2020. Jotta voitaisiin ottaa huomioon Yhdistyneen kuningaskunnan unionista eroamisen uuden aikataulun vaikutus, jos SEU-sopimuksen 50 artiklan 3 kohdan mukaista ajanjaksoa pidennetään seitsemällä kuukaudella, mainittujen asetusten soveltamisaikaa olisi jatkettava ottaen huomioon varautumistoimenpiteiden taustalla olevat keskeiset periaatteet ja asetusten alun perin suunnitellut soveltamisajat.</w:t>
      </w:r>
    </w:p>
    <w:p>
      <w:pPr>
        <w:pStyle w:val="ManualConsidrant"/>
        <w:rPr>
          <w:noProof/>
        </w:rPr>
      </w:pPr>
      <w:r>
        <w:rPr>
          <w:noProof/>
        </w:rPr>
        <w:t>5)</w:t>
      </w:r>
      <w:r>
        <w:rPr>
          <w:noProof/>
        </w:rPr>
        <w:tab/>
        <w:t>SEU-sopimuksen 50 artiklan 3 kohdassa tarkoitetun ajanjakson seitsemän kuukauden pituisen pidennyksen seurauksena asetuksen (EU) 2019/501 soveltamisaikaa olisi jatkettava seitsemällä kuukaudella 31 päivään heinäkuuta 2020 asti. Näin säilytettäisiin alun perin suunniteltu yhdeksän kuukauden soveltamisaika ja varmistettaisiin, että asetuksen tavoite säilyttää maantieyhteydet väliaikaisesti Yhdistyneen kuningaskunnan erotessa täyttyy sen soveltamisajan osalta.</w:t>
      </w:r>
    </w:p>
    <w:p>
      <w:pPr>
        <w:pStyle w:val="ManualConsidrant"/>
        <w:rPr>
          <w:noProof/>
        </w:rPr>
      </w:pPr>
      <w:r>
        <w:rPr>
          <w:noProof/>
        </w:rPr>
        <w:t>6)</w:t>
      </w:r>
      <w:r>
        <w:rPr>
          <w:noProof/>
        </w:rPr>
        <w:tab/>
        <w:t>On tarpeen varmistaa, että matkustajia voidaan ottaa kyytiin ja jättää kyydistä Irlannin raja-alueella kansainvälisessä säännöllisessä liikenteessä ja säännöllisessä erityisliikenteessä Irlannin ja Pohjois-Irlannin välillä alun perin tarkoitetun kuuden kuukauden ajanjakson ajan. Sen vuoksi asetuksen (EU) 2019/501 2 artiklan 3 kohdan d alakohdassa oleva viittaus päättymispäivään olisi korvattava viittauksella kuuden kuukauden ajanjaksoon kyseisen asetuksen soveltamisen alkamispäivästä.</w:t>
      </w:r>
    </w:p>
    <w:p>
      <w:pPr>
        <w:pStyle w:val="ManualConsidrant"/>
        <w:rPr>
          <w:noProof/>
        </w:rPr>
      </w:pPr>
      <w:r>
        <w:rPr>
          <w:noProof/>
        </w:rPr>
        <w:t>7)</w:t>
      </w:r>
      <w:r>
        <w:rPr>
          <w:noProof/>
        </w:rPr>
        <w:tab/>
        <w:t>Sen varmistamiseksi, että Irlannin raja-alueella matkustavia matkustajia voidaan edelleen ottaa kyytiin ja jättää kyydistä Irlannin raja-alueella kansainvälisessä säännöllisessä liikenteessä ja säännöllisessä erityisliikenteessä Irlannin ja Pohjois-Irlannin välillä, asetuksen (EU) 2019/501 4 artiklan 3 kohdassa tarkoitettujen Yhdistyneen kuningaskunnan linja-autoliikennöitsijöiden lupien voimassaoloaikaa olisi myös mukautettava siihen uuteen päivämäärään, josta lähtien kyseistä asetusta ei enää sovelleta.</w:t>
      </w:r>
    </w:p>
    <w:p>
      <w:pPr>
        <w:pStyle w:val="ManualConsidrant"/>
        <w:rPr>
          <w:noProof/>
        </w:rPr>
      </w:pPr>
      <w:r>
        <w:rPr>
          <w:noProof/>
        </w:rPr>
        <w:t>8)</w:t>
      </w:r>
      <w:r>
        <w:rPr>
          <w:noProof/>
        </w:rPr>
        <w:tab/>
        <w:t>Ajanjakso, jona komissio käyttää asetuksen (EU) 2019/501 11 artiklan 1 kohdassa tarkoitettua siirrettyä säädösvaltaa, olisi mukautettava siihen uuteen päivämäärään, josta lähtien kyseistä asetusta ei enää sovelleta.</w:t>
      </w:r>
    </w:p>
    <w:p>
      <w:pPr>
        <w:pStyle w:val="ManualConsidrant"/>
        <w:rPr>
          <w:noProof/>
        </w:rPr>
      </w:pPr>
      <w:r>
        <w:rPr>
          <w:noProof/>
        </w:rPr>
        <w:t>9)</w:t>
      </w:r>
      <w:r>
        <w:rPr>
          <w:noProof/>
        </w:rPr>
        <w:tab/>
        <w:t xml:space="preserve">SEU-sopimuksen 50 artiklan 3 kohdassa tarkoitetun ajanjakson seitsemän kuukauden pituisen pidennyksen seurauksena asetusta (EU) 2019/502 sovellettaisiin ilman mukautuksia alle puolet alun perin tarkoitetusta ajasta, jos sitä lakattaisiin soveltamasta 30 päivänä maaliskuuta 2020. Tämä rajoittaisi merkittävästi aikaa, jona Yhdistyneen kuningaskunnan lentoyhtiöt voisivat liikennöidä unioniin. Asetuksen (EU) 2019/502 soveltamisaikaa olisi siksi alun perin suunnitellun soveltamisajan </w:t>
      </w:r>
      <w:r>
        <w:rPr>
          <w:noProof/>
        </w:rPr>
        <w:lastRenderedPageBreak/>
        <w:t xml:space="preserve">huomioon ottamiseksi pidennettävä seitsemällä kuukaudella. Asetuksen (EU) 2019/502 soveltamisen olisi lakattava viimeistään 24 päivänä lokakuuta 2020, joka on IATA:n kesäkauden 2020 viimeinen päivä. </w:t>
      </w:r>
    </w:p>
    <w:p>
      <w:pPr>
        <w:pStyle w:val="ManualConsidrant"/>
        <w:rPr>
          <w:noProof/>
        </w:rPr>
      </w:pPr>
      <w:r>
        <w:rPr>
          <w:noProof/>
        </w:rPr>
        <w:t>10)</w:t>
      </w:r>
      <w:r>
        <w:rPr>
          <w:noProof/>
        </w:rPr>
        <w:tab/>
        <w:t>Asetuksen (EU) 2019/501 ja asetuksen (EU) 2019/502 soveltamisen alkamispäivään liittyvän epävarmuuden huomioon ottamiseksi ja sen varmistamiseksi, että tämän asetuksen säännöksiä sovelletaan oikea-aikaisesti kaikissa olosuhteissa, tämän asetuksen olisi tultava voimaan kiireellisesti,</w:t>
      </w:r>
    </w:p>
    <w:p>
      <w:pPr>
        <w:pStyle w:val="Formuledadoption"/>
        <w:rPr>
          <w:noProof/>
        </w:rPr>
      </w:pPr>
      <w:r>
        <w:rPr>
          <w:noProof/>
        </w:rPr>
        <w:t>OVAT HYVÄKSYNEET TÄMÄN ASETUKSEN:</w:t>
      </w:r>
    </w:p>
    <w:p>
      <w:pPr>
        <w:pStyle w:val="Titrearticle"/>
        <w:rPr>
          <w:noProof/>
        </w:rPr>
      </w:pPr>
      <w:r>
        <w:rPr>
          <w:noProof/>
        </w:rPr>
        <w:t>1 artikla</w:t>
      </w:r>
    </w:p>
    <w:p>
      <w:pPr>
        <w:pStyle w:val="Titrearticle"/>
        <w:rPr>
          <w:b/>
          <w:i w:val="0"/>
          <w:noProof/>
        </w:rPr>
      </w:pPr>
      <w:r>
        <w:rPr>
          <w:b/>
          <w:i w:val="0"/>
          <w:noProof/>
        </w:rPr>
        <w:t>Asetuksen (EU) 2019/501 muuttaminen</w:t>
      </w:r>
    </w:p>
    <w:p>
      <w:pPr>
        <w:rPr>
          <w:noProof/>
        </w:rPr>
      </w:pPr>
      <w:r>
        <w:rPr>
          <w:noProof/>
        </w:rPr>
        <w:t>Muutetaan asetus (EU) 2019/501 seuraavasti:</w:t>
      </w:r>
    </w:p>
    <w:p>
      <w:pPr>
        <w:pStyle w:val="Point0"/>
        <w:rPr>
          <w:noProof/>
        </w:rPr>
      </w:pPr>
      <w:r>
        <w:rPr>
          <w:noProof/>
        </w:rPr>
        <w:t>1)</w:t>
      </w:r>
      <w:r>
        <w:rPr>
          <w:noProof/>
        </w:rPr>
        <w:tab/>
        <w:t>Korvataan 2 artiklan 3 kohdan d alakohta seuraavasti:</w:t>
      </w:r>
    </w:p>
    <w:p>
      <w:pPr>
        <w:ind w:left="720"/>
        <w:rPr>
          <w:noProof/>
        </w:rPr>
      </w:pPr>
      <w:r>
        <w:rPr>
          <w:noProof/>
        </w:rPr>
        <w:t>”d) matkustajien kyytiin ottamista ja kyydistä jättämistä Irlannin raja-alueella Irlannin ja Pohjois-Irlannin välisessä kansainvälisessä säännöllisessä liikenteessä ja säännöllisessä erityisliikenteessä kuuden kuukauden ajan 12 artiklan toisen kohdan mukaisesta tämän asetuksen soveltamisen alkamispäivästä;”</w:t>
      </w:r>
    </w:p>
    <w:p>
      <w:pPr>
        <w:pStyle w:val="Point0"/>
        <w:rPr>
          <w:noProof/>
        </w:rPr>
      </w:pPr>
      <w:r>
        <w:rPr>
          <w:noProof/>
        </w:rPr>
        <w:t>2)</w:t>
      </w:r>
      <w:r>
        <w:rPr>
          <w:noProof/>
        </w:rPr>
        <w:tab/>
        <w:t>Korvataan 4 artiklan 3 kohta seuraavasti:</w:t>
      </w:r>
    </w:p>
    <w:p>
      <w:pPr>
        <w:ind w:left="720"/>
        <w:rPr>
          <w:noProof/>
        </w:rPr>
      </w:pPr>
      <w:r>
        <w:rPr>
          <w:noProof/>
        </w:rPr>
        <w:t>”3. Tämän artiklan 2 kohdan mukaisesti voimassa pysyviä lupia voi edelleen käyttää tämän artiklan 1 kohdassa määritettyihin tarkoituksiin, jos ne on uusittu samoin ehdoin tai jos niitä on muutettu pysähdyspaikkojen, maksujen tai aikataulun osalta ja asetuksen (EY) N:o 1073/2009 6–11 artiklan sääntöjen ja menettelyjen mukaisesti, siten että niiden voimassaoloaika päättyy viimeistään 31 päivänä heinäkuuta 2020.”</w:t>
      </w:r>
    </w:p>
    <w:p>
      <w:pPr>
        <w:pStyle w:val="Point0"/>
        <w:rPr>
          <w:noProof/>
        </w:rPr>
      </w:pPr>
      <w:r>
        <w:rPr>
          <w:noProof/>
        </w:rPr>
        <w:t>3)</w:t>
      </w:r>
      <w:r>
        <w:rPr>
          <w:noProof/>
        </w:rPr>
        <w:tab/>
        <w:t>Korvataan 11 artiklan 1 kohta seuraavasti:</w:t>
      </w:r>
    </w:p>
    <w:p>
      <w:pPr>
        <w:ind w:left="720"/>
        <w:rPr>
          <w:noProof/>
        </w:rPr>
      </w:pPr>
      <w:r>
        <w:rPr>
          <w:noProof/>
        </w:rPr>
        <w:t>”1. Siirretään komissiolle 31 päivään heinäkuuta 2020 saakka 7 artiklan 2 kohdassa ja 8 artiklan 2 kohdassa tarkoitettu valta antaa delegoituja säädöksiä.”</w:t>
      </w:r>
    </w:p>
    <w:p>
      <w:pPr>
        <w:pStyle w:val="Point0"/>
        <w:rPr>
          <w:noProof/>
        </w:rPr>
      </w:pPr>
      <w:r>
        <w:rPr>
          <w:noProof/>
        </w:rPr>
        <w:t>4)</w:t>
      </w:r>
      <w:r>
        <w:rPr>
          <w:noProof/>
        </w:rPr>
        <w:tab/>
        <w:t>Korvataan 12 artiklan neljäs kohta seuraavasti:</w:t>
      </w:r>
    </w:p>
    <w:p>
      <w:pPr>
        <w:ind w:firstLine="720"/>
        <w:rPr>
          <w:noProof/>
        </w:rPr>
      </w:pPr>
      <w:r>
        <w:rPr>
          <w:noProof/>
        </w:rPr>
        <w:t>”Tätä asetusta lakataan soveltamasta 31 päivänä heinäkuuta 2020.”</w:t>
      </w:r>
    </w:p>
    <w:p>
      <w:pPr>
        <w:pStyle w:val="Titrearticle"/>
        <w:rPr>
          <w:noProof/>
        </w:rPr>
      </w:pPr>
      <w:r>
        <w:rPr>
          <w:noProof/>
        </w:rPr>
        <w:t>2 artikla</w:t>
      </w:r>
    </w:p>
    <w:p>
      <w:pPr>
        <w:pStyle w:val="Titrearticle"/>
        <w:rPr>
          <w:b/>
          <w:i w:val="0"/>
          <w:noProof/>
        </w:rPr>
      </w:pPr>
      <w:r>
        <w:rPr>
          <w:b/>
          <w:i w:val="0"/>
          <w:noProof/>
        </w:rPr>
        <w:t>Asetuksen (EU) 2019/502 muuttaminen</w:t>
      </w:r>
    </w:p>
    <w:p>
      <w:pPr>
        <w:rPr>
          <w:noProof/>
        </w:rPr>
      </w:pPr>
      <w:r>
        <w:rPr>
          <w:noProof/>
        </w:rPr>
        <w:t>Korvataan asetuksen (EU) 2019/502 16 artiklan 4 kohdan b alakohta seuraavasti:</w:t>
      </w:r>
    </w:p>
    <w:p>
      <w:pPr>
        <w:rPr>
          <w:noProof/>
        </w:rPr>
      </w:pPr>
      <w:r>
        <w:rPr>
          <w:noProof/>
        </w:rPr>
        <w:t xml:space="preserve">”b) 24 päivä lokakuuta 2020.” </w:t>
      </w:r>
    </w:p>
    <w:p>
      <w:pPr>
        <w:pStyle w:val="Titrearticle"/>
        <w:rPr>
          <w:noProof/>
        </w:rPr>
      </w:pPr>
      <w:r>
        <w:rPr>
          <w:noProof/>
        </w:rPr>
        <w:t>3 artikla</w:t>
      </w:r>
    </w:p>
    <w:p>
      <w:pPr>
        <w:pStyle w:val="Titrearticle"/>
        <w:rPr>
          <w:b/>
          <w:i w:val="0"/>
          <w:noProof/>
        </w:rPr>
      </w:pPr>
      <w:r>
        <w:rPr>
          <w:b/>
          <w:i w:val="0"/>
          <w:noProof/>
        </w:rPr>
        <w:t>Voimaantulo</w:t>
      </w:r>
    </w:p>
    <w:p>
      <w:pPr>
        <w:rPr>
          <w:noProof/>
        </w:rPr>
      </w:pPr>
      <w:r>
        <w:rPr>
          <w:noProof/>
        </w:rPr>
        <w:t xml:space="preserve">Tämä asetus tulee voimaan sitä päivää seuraavana päivänä, jona se on julkaistu </w:t>
      </w:r>
      <w:r>
        <w:rPr>
          <w:i/>
          <w:iCs/>
          <w:noProof/>
        </w:rPr>
        <w:t>Euroopan unionin virallisessa lehdessä</w:t>
      </w:r>
      <w:r>
        <w:rPr>
          <w:noProof/>
        </w:rPr>
        <w:t>.</w:t>
      </w:r>
    </w:p>
    <w:p>
      <w:pPr>
        <w:pStyle w:val="Applicationdirecte"/>
        <w:keepNext/>
        <w:keepLines/>
        <w:rPr>
          <w:noProof/>
        </w:rPr>
      </w:pPr>
      <w:r>
        <w:rPr>
          <w:noProof/>
        </w:rPr>
        <w:lastRenderedPageBreak/>
        <w:t>Tämä asetus on kaikilta osiltaan velvoittava, ja sitä sovelletaan sellaisenaan kaikissa jäsenvaltioissa.</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sectPr>
      <w:footnotePr>
        <w:numRestart w:val="eachSect"/>
      </w:footnote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489827" w16cid:durableId="200746F8"/>
  <w16cid:commentId w16cid:paraId="66D40F26" w16cid:durableId="200746F9"/>
  <w16cid:commentId w16cid:paraId="157B78D3" w16cid:durableId="200746FB"/>
  <w16cid:commentId w16cid:paraId="0EB9E1DA" w16cid:durableId="200746FC"/>
  <w16cid:commentId w16cid:paraId="2C3BCB11" w16cid:durableId="200746FD"/>
  <w16cid:commentId w16cid:paraId="0CEC882F" w16cid:durableId="200746FE"/>
  <w16cid:commentId w16cid:paraId="07ADE9D7" w16cid:durableId="200746FF"/>
  <w16cid:commentId w16cid:paraId="7EF97E35" w16cid:durableId="20074700"/>
  <w16cid:commentId w16cid:paraId="743C7B25" w16cid:durableId="20074701"/>
  <w16cid:commentId w16cid:paraId="5A021876" w16cid:durableId="20074702"/>
  <w16cid:commentId w16cid:paraId="4FB4B8D7" w16cid:durableId="20074703"/>
  <w16cid:commentId w16cid:paraId="4ADED9A0" w16cid:durableId="20074704"/>
  <w16cid:commentId w16cid:paraId="52C4FC7B" w16cid:durableId="20074705"/>
  <w16cid:commentId w16cid:paraId="35415BB9" w16cid:durableId="200747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Sopimus Ison-Britannian ja Pohjois-Irlannin yhdistyneen kuningaskunnan eroamisesta Euroopan unionista ja Euroopan atomienergiayhteisöstä (EUVL C 144I, 25.4.2019, s. 1).</w:t>
      </w:r>
    </w:p>
  </w:footnote>
  <w:footnote w:id="2">
    <w:p>
      <w:pPr>
        <w:pStyle w:val="FootnoteText"/>
        <w:rPr>
          <w:lang w:val="pt-PT"/>
        </w:rPr>
      </w:pPr>
      <w:r>
        <w:rPr>
          <w:rStyle w:val="FootnoteReference"/>
        </w:rPr>
        <w:footnoteRef/>
      </w:r>
      <w:r>
        <w:rPr>
          <w:lang w:val="pt-PT"/>
        </w:rPr>
        <w:tab/>
        <w:t>COM(2018)880 final, 13.11.2018.</w:t>
      </w:r>
    </w:p>
  </w:footnote>
  <w:footnote w:id="3">
    <w:p>
      <w:pPr>
        <w:pStyle w:val="FootnoteText"/>
        <w:rPr>
          <w:lang w:val="pt-PT"/>
        </w:rPr>
      </w:pPr>
      <w:r>
        <w:rPr>
          <w:rStyle w:val="FootnoteReference"/>
        </w:rPr>
        <w:footnoteRef/>
      </w:r>
      <w:r>
        <w:rPr>
          <w:lang w:val="pt-PT"/>
        </w:rPr>
        <w:tab/>
        <w:t>COM(2018)895 final, 19.12.2018.</w:t>
      </w:r>
    </w:p>
  </w:footnote>
  <w:footnote w:id="4">
    <w:p>
      <w:pPr>
        <w:pStyle w:val="FootnoteText"/>
        <w:rPr>
          <w:lang w:val="pt-PT"/>
        </w:rPr>
      </w:pPr>
      <w:r>
        <w:rPr>
          <w:rStyle w:val="FootnoteReference"/>
        </w:rPr>
        <w:footnoteRef/>
      </w:r>
      <w:r>
        <w:rPr>
          <w:lang w:val="pt-PT"/>
        </w:rPr>
        <w:tab/>
        <w:t>COM(2018)893 final, 19.12.2018.</w:t>
      </w:r>
    </w:p>
  </w:footnote>
  <w:footnote w:id="5">
    <w:p>
      <w:pPr>
        <w:pStyle w:val="FootnoteText"/>
      </w:pPr>
      <w:r>
        <w:rPr>
          <w:rStyle w:val="FootnoteReference"/>
        </w:rPr>
        <w:footnoteRef/>
      </w:r>
      <w:r>
        <w:tab/>
        <w:t>Euroopan parlamentin ja neuvoston asetus (EU) 2019/501, annettu 25 päivänä maaliskuuta 2019, perusluonteiset maanteiden tavara- ja henkilöliikenneyhteydet Ison-Britannian ja Pohjois-Irlannin yhdistyneen kuningaskunnan unionista eroamisen yhteydessä varmistavista yhteisistä säännöistä (EUVL L 85I, 27.3.2019, s. 39).</w:t>
      </w:r>
    </w:p>
  </w:footnote>
  <w:footnote w:id="6">
    <w:p>
      <w:pPr>
        <w:pStyle w:val="FootnoteText"/>
      </w:pPr>
      <w:r>
        <w:rPr>
          <w:rStyle w:val="FootnoteReference"/>
        </w:rPr>
        <w:footnoteRef/>
      </w:r>
      <w:r>
        <w:tab/>
        <w:t>Euroopan parlamentin ja neuvoston asetus (EU) 2019/502, annettu 25 päivänä maaliskuuta 2019, perusluonteiset lentoyhteydet Ison-Britannian ja Pohjois-Irlannin yhdistyneen kuningaskunnan unionista eroamisen yhteydessä varmistavista yhteisistä säännöistä (EUVL L 85I, 27.3.2019, s. 49).</w:t>
      </w:r>
    </w:p>
  </w:footnote>
  <w:footnote w:id="7">
    <w:p>
      <w:pPr>
        <w:pStyle w:val="FootnoteText"/>
      </w:pPr>
      <w:r>
        <w:rPr>
          <w:rStyle w:val="FootnoteReference"/>
        </w:rPr>
        <w:footnoteRef/>
      </w:r>
      <w:r>
        <w:tab/>
        <w:t>Eurooppa-neuvoston päätös (EU) 2019/584 (EUVL L 101, 11.4.2019, s. 1).</w:t>
      </w:r>
    </w:p>
  </w:footnote>
  <w:footnote w:id="8">
    <w:p>
      <w:pPr>
        <w:pStyle w:val="FootnoteText"/>
        <w:rPr>
          <w:lang w:val="pt-PT"/>
        </w:rPr>
      </w:pPr>
      <w:r>
        <w:rPr>
          <w:rStyle w:val="FootnoteReference"/>
        </w:rPr>
        <w:footnoteRef/>
      </w:r>
      <w:r>
        <w:rPr>
          <w:lang w:val="pt-PT"/>
        </w:rPr>
        <w:tab/>
        <w:t>COM(2019)276 final, 12.6.2019.</w:t>
      </w:r>
    </w:p>
  </w:footnote>
  <w:footnote w:id="9">
    <w:p>
      <w:pPr>
        <w:pStyle w:val="FootnoteText"/>
        <w:rPr>
          <w:lang w:val="pt-PT"/>
        </w:rPr>
      </w:pPr>
      <w:r>
        <w:rPr>
          <w:rStyle w:val="FootnoteReference"/>
        </w:rPr>
        <w:footnoteRef/>
      </w:r>
      <w:r>
        <w:rPr>
          <w:lang w:val="pt-PT"/>
        </w:rPr>
        <w:tab/>
        <w:t>EUVL C […], […], s. […].</w:t>
      </w:r>
    </w:p>
  </w:footnote>
  <w:footnote w:id="10">
    <w:p>
      <w:pPr>
        <w:pStyle w:val="FootnoteText"/>
      </w:pPr>
      <w:r>
        <w:rPr>
          <w:rStyle w:val="FootnoteReference"/>
        </w:rPr>
        <w:footnoteRef/>
      </w:r>
      <w:r>
        <w:tab/>
        <w:t>EUVL C […], […], s. […].</w:t>
      </w:r>
    </w:p>
  </w:footnote>
  <w:footnote w:id="11">
    <w:p>
      <w:pPr>
        <w:pStyle w:val="FootnoteText"/>
      </w:pPr>
      <w:r>
        <w:rPr>
          <w:rStyle w:val="FootnoteReference"/>
        </w:rPr>
        <w:footnoteRef/>
      </w:r>
      <w:r>
        <w:tab/>
        <w:t>Euroopan parlamentin ja neuvoston asetus (EU) 2019/501, annettu 25 päivänä maaliskuuta 2019, perusluonteiset maanteiden tavara- ja henkilöliikenneyhteydet Ison-Britannian ja Pohjois-Irlannin yhdistyneen kuningaskunnan unionista eroamisen yhteydessä varmistavista yhteisistä säännöistä (EUVL L 85I, 27.3.2019, s. 39).</w:t>
      </w:r>
    </w:p>
  </w:footnote>
  <w:footnote w:id="12">
    <w:p>
      <w:pPr>
        <w:pStyle w:val="FootnoteText"/>
      </w:pPr>
      <w:r>
        <w:rPr>
          <w:rStyle w:val="FootnoteReference"/>
        </w:rPr>
        <w:footnoteRef/>
      </w:r>
      <w:r>
        <w:tab/>
        <w:t>Euroopan parlamentin ja neuvoston asetus (EU) 2019/502, annettu 25 päivänä maaliskuuta 2019, perusluonteiset lentoyhteydet Ison-Britannian ja Pohjois-Irlannin yhdistyneen kuningaskunnan unionista eroamisen yhteydessä varmistavista yhteisistä säännöistä (EUVL L 85I, 27.3.2019, s. 49).</w:t>
      </w:r>
    </w:p>
  </w:footnote>
  <w:footnote w:id="13">
    <w:p>
      <w:pPr>
        <w:pStyle w:val="FootnoteText"/>
      </w:pPr>
      <w:r>
        <w:rPr>
          <w:rStyle w:val="FootnoteReference"/>
        </w:rPr>
        <w:footnoteRef/>
      </w:r>
      <w:r>
        <w:tab/>
        <w:t>Eurooppa-neuvoston päätös (EU) 2019/584 (EUVL L 101, 11.4.2019, s. 1).</w:t>
      </w:r>
    </w:p>
  </w:footnote>
  <w:footnote w:id="14">
    <w:p>
      <w:pPr>
        <w:pStyle w:val="FootnoteText"/>
      </w:pPr>
      <w:r>
        <w:rPr>
          <w:rStyle w:val="FootnoteReference"/>
        </w:rPr>
        <w:footnoteRef/>
      </w:r>
      <w:r>
        <w:tab/>
        <w:t>Sopimus Ison-Britannian ja Pohjois-Irlannin yhdistyneen kuningaskunnan eroamisesta Euroopan unionista ja Euroopan atomienergiayhteisöstä (EUVL C 144I, 25.4.2019,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C27F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640C5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F0A6C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4C4C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0B64A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BD055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162BA8"/>
    <w:lvl w:ilvl="0">
      <w:start w:val="1"/>
      <w:numFmt w:val="decimal"/>
      <w:pStyle w:val="ListNumber"/>
      <w:lvlText w:val="%1."/>
      <w:lvlJc w:val="left"/>
      <w:pPr>
        <w:tabs>
          <w:tab w:val="num" w:pos="360"/>
        </w:tabs>
        <w:ind w:left="360" w:hanging="360"/>
      </w:pPr>
    </w:lvl>
  </w:abstractNum>
  <w:abstractNum w:abstractNumId="7">
    <w:nsid w:val="FFFFFF89"/>
    <w:multiLevelType w:val="singleLevel"/>
    <w:tmpl w:val="0AC2225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9 09:56:0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8D9C00F-503A-4A87-8F8A-6F7232D13F16"/>
    <w:docVar w:name="LW_COVERPAGE_TYPE" w:val="1"/>
    <w:docVar w:name="LW_CROSSREFERENCE" w:val="&lt;UNUSED&gt;"/>
    <w:docVar w:name="LW_DocType" w:val="COM"/>
    <w:docVar w:name="LW_EMISSION" w:val="4.9.2019"/>
    <w:docVar w:name="LW_EMISSION_ISODATE" w:val="2019-09-04"/>
    <w:docVar w:name="LW_EMISSION_LOCATION" w:val="BRX"/>
    <w:docVar w:name="LW_EMISSION_PREFIX" w:val="Bryss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ETA:n kannalta merkityksellinen teksti)"/>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179"/>
    <w:docVar w:name="LW_REF.II.NEW.CP_YEAR" w:val="2019"/>
    <w:docVar w:name="LW_REF.INST.NEW" w:val="COM"/>
    <w:docVar w:name="LW_REF.INST.NEW_ADOPTED" w:val="final"/>
    <w:docVar w:name="LW_REF.INST.NEW_TEXT" w:val="(2019) 3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asetuksen (EU) 2019/501 ja asetuksen (EU) 2019/502 muuttamisesta niiden soveltamisaikojen osalta"/>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3464">
      <w:bodyDiv w:val="1"/>
      <w:marLeft w:val="0"/>
      <w:marRight w:val="0"/>
      <w:marTop w:val="0"/>
      <w:marBottom w:val="0"/>
      <w:divBdr>
        <w:top w:val="none" w:sz="0" w:space="0" w:color="auto"/>
        <w:left w:val="none" w:sz="0" w:space="0" w:color="auto"/>
        <w:bottom w:val="none" w:sz="0" w:space="0" w:color="auto"/>
        <w:right w:val="none" w:sz="0" w:space="0" w:color="auto"/>
      </w:divBdr>
    </w:div>
    <w:div w:id="1020741974">
      <w:bodyDiv w:val="1"/>
      <w:marLeft w:val="0"/>
      <w:marRight w:val="0"/>
      <w:marTop w:val="0"/>
      <w:marBottom w:val="0"/>
      <w:divBdr>
        <w:top w:val="none" w:sz="0" w:space="0" w:color="auto"/>
        <w:left w:val="none" w:sz="0" w:space="0" w:color="auto"/>
        <w:bottom w:val="none" w:sz="0" w:space="0" w:color="auto"/>
        <w:right w:val="none" w:sz="0" w:space="0" w:color="auto"/>
      </w:divBdr>
    </w:div>
    <w:div w:id="1050611233">
      <w:bodyDiv w:val="1"/>
      <w:marLeft w:val="0"/>
      <w:marRight w:val="0"/>
      <w:marTop w:val="0"/>
      <w:marBottom w:val="0"/>
      <w:divBdr>
        <w:top w:val="none" w:sz="0" w:space="0" w:color="auto"/>
        <w:left w:val="none" w:sz="0" w:space="0" w:color="auto"/>
        <w:bottom w:val="none" w:sz="0" w:space="0" w:color="auto"/>
        <w:right w:val="none" w:sz="0" w:space="0" w:color="auto"/>
      </w:divBdr>
    </w:div>
    <w:div w:id="1298873821">
      <w:bodyDiv w:val="1"/>
      <w:marLeft w:val="0"/>
      <w:marRight w:val="0"/>
      <w:marTop w:val="0"/>
      <w:marBottom w:val="0"/>
      <w:divBdr>
        <w:top w:val="none" w:sz="0" w:space="0" w:color="auto"/>
        <w:left w:val="none" w:sz="0" w:space="0" w:color="auto"/>
        <w:bottom w:val="none" w:sz="0" w:space="0" w:color="auto"/>
        <w:right w:val="none" w:sz="0" w:space="0" w:color="auto"/>
      </w:divBdr>
      <w:divsChild>
        <w:div w:id="2033337618">
          <w:marLeft w:val="0"/>
          <w:marRight w:val="0"/>
          <w:marTop w:val="0"/>
          <w:marBottom w:val="0"/>
          <w:divBdr>
            <w:top w:val="none" w:sz="0" w:space="0" w:color="auto"/>
            <w:left w:val="none" w:sz="0" w:space="0" w:color="auto"/>
            <w:bottom w:val="none" w:sz="0" w:space="0" w:color="auto"/>
            <w:right w:val="none" w:sz="0" w:space="0" w:color="auto"/>
          </w:divBdr>
          <w:divsChild>
            <w:div w:id="1099908104">
              <w:marLeft w:val="0"/>
              <w:marRight w:val="0"/>
              <w:marTop w:val="0"/>
              <w:marBottom w:val="0"/>
              <w:divBdr>
                <w:top w:val="none" w:sz="0" w:space="0" w:color="auto"/>
                <w:left w:val="none" w:sz="0" w:space="0" w:color="auto"/>
                <w:bottom w:val="none" w:sz="0" w:space="0" w:color="auto"/>
                <w:right w:val="none" w:sz="0" w:space="0" w:color="auto"/>
              </w:divBdr>
              <w:divsChild>
                <w:div w:id="1017390121">
                  <w:marLeft w:val="0"/>
                  <w:marRight w:val="0"/>
                  <w:marTop w:val="0"/>
                  <w:marBottom w:val="0"/>
                  <w:divBdr>
                    <w:top w:val="none" w:sz="0" w:space="0" w:color="auto"/>
                    <w:left w:val="none" w:sz="0" w:space="0" w:color="auto"/>
                    <w:bottom w:val="none" w:sz="0" w:space="0" w:color="auto"/>
                    <w:right w:val="none" w:sz="0" w:space="0" w:color="auto"/>
                  </w:divBdr>
                  <w:divsChild>
                    <w:div w:id="523636568">
                      <w:marLeft w:val="-150"/>
                      <w:marRight w:val="-150"/>
                      <w:marTop w:val="0"/>
                      <w:marBottom w:val="0"/>
                      <w:divBdr>
                        <w:top w:val="none" w:sz="0" w:space="0" w:color="auto"/>
                        <w:left w:val="none" w:sz="0" w:space="0" w:color="auto"/>
                        <w:bottom w:val="none" w:sz="0" w:space="0" w:color="auto"/>
                        <w:right w:val="none" w:sz="0" w:space="0" w:color="auto"/>
                      </w:divBdr>
                      <w:divsChild>
                        <w:div w:id="1015768535">
                          <w:marLeft w:val="0"/>
                          <w:marRight w:val="0"/>
                          <w:marTop w:val="0"/>
                          <w:marBottom w:val="0"/>
                          <w:divBdr>
                            <w:top w:val="none" w:sz="0" w:space="0" w:color="auto"/>
                            <w:left w:val="none" w:sz="0" w:space="0" w:color="auto"/>
                            <w:bottom w:val="none" w:sz="0" w:space="0" w:color="auto"/>
                            <w:right w:val="none" w:sz="0" w:space="0" w:color="auto"/>
                          </w:divBdr>
                          <w:divsChild>
                            <w:div w:id="1503542474">
                              <w:marLeft w:val="0"/>
                              <w:marRight w:val="0"/>
                              <w:marTop w:val="0"/>
                              <w:marBottom w:val="0"/>
                              <w:divBdr>
                                <w:top w:val="none" w:sz="0" w:space="0" w:color="auto"/>
                                <w:left w:val="none" w:sz="0" w:space="0" w:color="auto"/>
                                <w:bottom w:val="none" w:sz="0" w:space="0" w:color="auto"/>
                                <w:right w:val="none" w:sz="0" w:space="0" w:color="auto"/>
                              </w:divBdr>
                              <w:divsChild>
                                <w:div w:id="853494992">
                                  <w:marLeft w:val="0"/>
                                  <w:marRight w:val="0"/>
                                  <w:marTop w:val="0"/>
                                  <w:marBottom w:val="300"/>
                                  <w:divBdr>
                                    <w:top w:val="none" w:sz="0" w:space="0" w:color="auto"/>
                                    <w:left w:val="none" w:sz="0" w:space="0" w:color="auto"/>
                                    <w:bottom w:val="none" w:sz="0" w:space="0" w:color="auto"/>
                                    <w:right w:val="none" w:sz="0" w:space="0" w:color="auto"/>
                                  </w:divBdr>
                                  <w:divsChild>
                                    <w:div w:id="1105618455">
                                      <w:marLeft w:val="0"/>
                                      <w:marRight w:val="0"/>
                                      <w:marTop w:val="0"/>
                                      <w:marBottom w:val="0"/>
                                      <w:divBdr>
                                        <w:top w:val="none" w:sz="0" w:space="0" w:color="auto"/>
                                        <w:left w:val="none" w:sz="0" w:space="0" w:color="auto"/>
                                        <w:bottom w:val="none" w:sz="0" w:space="0" w:color="auto"/>
                                        <w:right w:val="none" w:sz="0" w:space="0" w:color="auto"/>
                                      </w:divBdr>
                                      <w:divsChild>
                                        <w:div w:id="828136169">
                                          <w:marLeft w:val="0"/>
                                          <w:marRight w:val="0"/>
                                          <w:marTop w:val="0"/>
                                          <w:marBottom w:val="0"/>
                                          <w:divBdr>
                                            <w:top w:val="none" w:sz="0" w:space="0" w:color="auto"/>
                                            <w:left w:val="none" w:sz="0" w:space="0" w:color="auto"/>
                                            <w:bottom w:val="none" w:sz="0" w:space="0" w:color="auto"/>
                                            <w:right w:val="none" w:sz="0" w:space="0" w:color="auto"/>
                                          </w:divBdr>
                                          <w:divsChild>
                                            <w:div w:id="4211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5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73828-6C65-40D4-BA74-D9B2A13A8297}">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25173920-bf43-43cc-9123-1897e847dfc2"/>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A8EC84A9-6480-45DC-B25C-A240D9E8E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54933-A1A7-46FC-8A71-8DBA45C8329F}">
  <ds:schemaRefs>
    <ds:schemaRef ds:uri="office.server.policy"/>
  </ds:schemaRefs>
</ds:datastoreItem>
</file>

<file path=customXml/itemProps4.xml><?xml version="1.0" encoding="utf-8"?>
<ds:datastoreItem xmlns:ds="http://schemas.openxmlformats.org/officeDocument/2006/customXml" ds:itemID="{709F2297-0230-46F0-A5A3-82C3A9A02C6A}">
  <ds:schemaRefs>
    <ds:schemaRef ds:uri="http://schemas.microsoft.com/sharepoint/v3/contenttype/forms"/>
  </ds:schemaRefs>
</ds:datastoreItem>
</file>

<file path=customXml/itemProps5.xml><?xml version="1.0" encoding="utf-8"?>
<ds:datastoreItem xmlns:ds="http://schemas.openxmlformats.org/officeDocument/2006/customXml" ds:itemID="{22CA410C-268E-4CEB-A875-A63EF7D7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Pages>
  <Words>2009</Words>
  <Characters>16012</Characters>
  <Application>Microsoft Office Word</Application>
  <DocSecurity>0</DocSecurity>
  <Lines>266</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2019-09-06T11:23:00Z</dcterms:created>
  <dcterms:modified xsi:type="dcterms:W3CDTF">2019-09-09T07:56:00Z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Category">
    <vt:lpwstr>COM/PL/ORG</vt:lpwstr>
  </property>
  <property fmtid="{D5CDD505-2E9C-101B-9397-08002B2CF9AE}" pid="4" name="ContentTypeId">
    <vt:lpwstr>0x010100258AA79CEB83498886A3A0868112325000D33D44CF0C8FEB45875F235DEEF2E1B9</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Green (DQC version 03)</vt:lpwstr>
  </property>
</Properties>
</file>