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CD7B075B-95A5-4CB4-9765-8E89F5B03C5F" style="width:450.8pt;height:366.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 xml:space="preserve">KONTEKST ZALECENIA </w:t>
      </w:r>
    </w:p>
    <w:p>
      <w:pPr>
        <w:pStyle w:val="ManualHeading2"/>
        <w:rPr>
          <w:rFonts w:eastAsia="Arial Unicode MS"/>
          <w:noProof/>
        </w:rPr>
      </w:pPr>
      <w:r>
        <w:rPr>
          <w:noProof/>
          <w:u w:color="000000"/>
          <w:bdr w:val="nil"/>
        </w:rPr>
        <w:t>•</w:t>
      </w:r>
      <w:r>
        <w:rPr>
          <w:noProof/>
          <w:u w:color="000000"/>
          <w:bdr w:val="nil"/>
        </w:rPr>
        <w:tab/>
      </w:r>
      <w:r>
        <w:rPr>
          <w:noProof/>
        </w:rPr>
        <w:t>Przyczyny i cele zalecenia</w:t>
      </w:r>
    </w:p>
    <w:p>
      <w:pPr>
        <w:spacing w:before="60" w:after="60"/>
        <w:rPr>
          <w:rFonts w:eastAsia="Arial Unicode MS"/>
          <w:noProof/>
        </w:rPr>
      </w:pPr>
      <w:r>
        <w:rPr>
          <w:noProof/>
        </w:rPr>
        <w:t>Komisja proponuje podjęcie rokowań w sprawie nowej umowy między Unią Europejską a Republiką Seszeli w sprawie dostępu statków rybackich pływających pod banderą Seszeli do wód i morskich zasobów biologicznych Majotty podlegających jurysdykcji Unii Europejskiej Komisja zamierza prowadzić rokowania dotyczące nowego porozumienia w sprawie dostępu równolegle z rokowaniami dotyczącymi nowej umowy o partnerstwie w sprawie zrównoważonych połowów i nowego protokołu z Republiką Seszeli.</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Spójność z przepisami obowiązującymi w tej dziedzinie polityki</w:t>
      </w:r>
    </w:p>
    <w:p>
      <w:pPr>
        <w:autoSpaceDE w:val="0"/>
        <w:autoSpaceDN w:val="0"/>
        <w:adjustRightInd w:val="0"/>
        <w:spacing w:before="0"/>
        <w:rPr>
          <w:noProof/>
        </w:rPr>
      </w:pPr>
      <w:r>
        <w:rPr>
          <w:noProof/>
        </w:rPr>
        <w:t>W dniu 11 lipca 2012 r. Rada Europejska przyjęła decyzję 2012/419/UE</w:t>
      </w:r>
      <w:r>
        <w:rPr>
          <w:rStyle w:val="FootnoteReference"/>
          <w:noProof/>
        </w:rPr>
        <w:footnoteReference w:id="1"/>
      </w:r>
      <w:r>
        <w:rPr>
          <w:noProof/>
        </w:rPr>
        <w:t xml:space="preserve"> zmieniającą, ze skutkiem od dnia 1 stycznia 2014 r., status Majotty względem Unii Europejskiej. Z tą datą Majotta przestała być krajem lub terytorium zamorskim, a stała się regionem najbardziej oddalonym Unii w rozumieniu art. 349 Traktatu o funkcjonowaniu Unii Europejskiej (TFUE). W związku z tym wyłączna strefa ekonomiczna (w.s.e.) Majotty stała się wodami UE.</w:t>
      </w:r>
    </w:p>
    <w:p>
      <w:pPr>
        <w:autoSpaceDE w:val="0"/>
        <w:autoSpaceDN w:val="0"/>
        <w:adjustRightInd w:val="0"/>
        <w:spacing w:before="0"/>
        <w:rPr>
          <w:noProof/>
        </w:rPr>
      </w:pPr>
      <w:r>
        <w:rPr>
          <w:noProof/>
        </w:rPr>
        <w:t xml:space="preserve">W rezultacie w 2014 r. Unia Europejska i Seszele podpisały umowę, która zapewniła prowadzenie działalności przez statki pływające pod banderą Seszeli w wyłącznej strefie ekonomicznej Majotty pod jurysdykcją Francji. </w:t>
      </w:r>
    </w:p>
    <w:p>
      <w:pPr>
        <w:autoSpaceDE w:val="0"/>
        <w:autoSpaceDN w:val="0"/>
        <w:adjustRightInd w:val="0"/>
        <w:spacing w:before="0"/>
        <w:rPr>
          <w:noProof/>
        </w:rPr>
      </w:pPr>
      <w:r>
        <w:rPr>
          <w:noProof/>
        </w:rPr>
        <w:t>Obecna umowa zezwala na połowy na wodach Majotty 8 statkom Seszeli i wygasa w dniu 6 czerwca 2020 r. Płatności za licencje i połowy przez właścicieli statków floty Seszeli stanowią jedyną rekompensatę finansową na mocy tej umowy i są gromadzone przez Francję na rachunku regionu najbardziej oddalonego Majotta. Dochody te są wykorzystywane przez Francję na ustanowienie odpowiednich ram legislacyjnych, działania kontrolne, zapewnienie odpowiedniej fizycznej infrastruktury oraz zapewnienia stosownego budowania potencjału, tak aby administracja Majotty spełniała wymagania wspólnej polityki rybołówstwa (WPRyb). Umowa przyczynia się do odpowiedzialnego rybołówstwa na wodach UE, aby zagwarantować ochronę i zrównoważoną eksploatację zasobów rybnych.</w:t>
      </w:r>
    </w:p>
    <w:p>
      <w:pPr>
        <w:pBdr>
          <w:top w:val="nil"/>
          <w:left w:val="nil"/>
          <w:bottom w:val="nil"/>
          <w:right w:val="nil"/>
          <w:between w:val="nil"/>
          <w:bar w:val="nil"/>
        </w:pBdr>
        <w:spacing w:before="0" w:after="240"/>
        <w:rPr>
          <w:rFonts w:eastAsia="Arial Unicode MS"/>
          <w:noProof/>
          <w:szCs w:val="24"/>
        </w:rPr>
      </w:pPr>
      <w:r>
        <w:rPr>
          <w:noProof/>
        </w:rPr>
        <w:t>Umowa nie pociąga za sobą skutków finansowych dla UE.</w:t>
      </w:r>
    </w:p>
    <w:p>
      <w:pPr>
        <w:pStyle w:val="ManualHeading2"/>
        <w:rPr>
          <w:rFonts w:eastAsia="Arial Unicode MS"/>
          <w:noProof/>
        </w:rPr>
      </w:pPr>
      <w:r>
        <w:rPr>
          <w:noProof/>
          <w:u w:color="000000"/>
          <w:bdr w:val="nil"/>
        </w:rPr>
        <w:t>•</w:t>
      </w:r>
      <w:r>
        <w:rPr>
          <w:noProof/>
          <w:u w:color="000000"/>
          <w:bdr w:val="nil"/>
        </w:rPr>
        <w:tab/>
      </w:r>
      <w:r>
        <w:rPr>
          <w:noProof/>
        </w:rPr>
        <w:t>Spójność z innymi politykami Unii</w:t>
      </w:r>
    </w:p>
    <w:p>
      <w:pPr>
        <w:pBdr>
          <w:top w:val="nil"/>
          <w:left w:val="nil"/>
          <w:bottom w:val="nil"/>
          <w:right w:val="nil"/>
          <w:between w:val="nil"/>
          <w:bar w:val="nil"/>
        </w:pBdr>
        <w:spacing w:before="0" w:after="240"/>
        <w:rPr>
          <w:rFonts w:eastAsia="Arial Unicode MS"/>
          <w:noProof/>
        </w:rPr>
      </w:pPr>
      <w:r>
        <w:rPr>
          <w:noProof/>
        </w:rPr>
        <w:t xml:space="preserve">Rokowania dotyczące nowej umowy z Seszelami w sprawie dostępu do wód Majotty podlegających jurysdykcji UE są spójne z działaniami zewnętrznymi UE na rzecz państw Afryki, Karaibów i Pacyfiku (AKP), a w szczególności z celami Unii w zakresie przestrzegania zasad demokracji i praw człowieka. </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u w:color="000000"/>
          <w:bdr w:val="nil"/>
        </w:rPr>
        <w:t>•</w:t>
      </w:r>
      <w:r>
        <w:rPr>
          <w:noProof/>
          <w:u w:color="000000"/>
          <w:bdr w:val="nil"/>
        </w:rPr>
        <w:tab/>
        <w:t>Podstawa prawna</w:t>
      </w:r>
    </w:p>
    <w:p>
      <w:pPr>
        <w:pBdr>
          <w:top w:val="nil"/>
          <w:left w:val="nil"/>
          <w:bottom w:val="nil"/>
          <w:right w:val="nil"/>
          <w:between w:val="nil"/>
          <w:bar w:val="nil"/>
        </w:pBdr>
        <w:spacing w:before="0" w:after="240"/>
        <w:rPr>
          <w:rFonts w:eastAsia="Arial Unicode MS"/>
          <w:noProof/>
        </w:rPr>
      </w:pPr>
      <w:r>
        <w:rPr>
          <w:noProof/>
        </w:rPr>
        <w:t>Podstawę prawną niniejszej decyzji stanowi art. 218 Traktatu o funkcjonowaniu Unii Europejskiej (TFUE) (część piąta dotycząca działań zewnętrznych Unii, tytuł V dotyczący umów międzynarodowych), w którym określono procedurę w zakresie negocjowania i zawierania umów między UE a państwami trzecimi.</w:t>
      </w:r>
    </w:p>
    <w:p>
      <w:pPr>
        <w:pStyle w:val="ManualHeading2"/>
        <w:rPr>
          <w:rFonts w:eastAsia="Arial Unicode MS"/>
          <w:noProof/>
          <w:u w:color="000000"/>
          <w:bdr w:val="nil"/>
        </w:rPr>
      </w:pPr>
      <w:r>
        <w:rPr>
          <w:noProof/>
          <w:u w:color="000000"/>
          <w:bdr w:val="nil"/>
        </w:rPr>
        <w:t>•</w:t>
      </w:r>
      <w:r>
        <w:rPr>
          <w:noProof/>
          <w:u w:color="000000"/>
          <w:bdr w:val="nil"/>
        </w:rPr>
        <w:tab/>
        <w:t xml:space="preserve">Pomocniczość (w przypadku kompetencji niewyłącznych) </w:t>
      </w:r>
    </w:p>
    <w:p>
      <w:pPr>
        <w:pBdr>
          <w:top w:val="nil"/>
          <w:left w:val="nil"/>
          <w:bottom w:val="nil"/>
          <w:right w:val="nil"/>
          <w:between w:val="nil"/>
          <w:bar w:val="nil"/>
        </w:pBdr>
        <w:spacing w:before="0" w:after="240"/>
        <w:rPr>
          <w:rFonts w:eastAsia="Arial Unicode MS"/>
          <w:noProof/>
        </w:rPr>
      </w:pPr>
      <w:r>
        <w:rPr>
          <w:noProof/>
        </w:rPr>
        <w:t>Nie dotyczy, wyłączna kompetencja.</w:t>
      </w:r>
    </w:p>
    <w:p>
      <w:pPr>
        <w:pStyle w:val="ManualHeading2"/>
        <w:rPr>
          <w:rFonts w:eastAsia="Arial Unicode MS"/>
          <w:noProof/>
          <w:u w:color="000000"/>
          <w:bdr w:val="nil"/>
        </w:rPr>
      </w:pPr>
      <w:r>
        <w:rPr>
          <w:noProof/>
          <w:u w:color="000000"/>
          <w:bdr w:val="nil"/>
        </w:rPr>
        <w:t>•</w:t>
      </w:r>
      <w:r>
        <w:rPr>
          <w:noProof/>
          <w:u w:color="000000"/>
          <w:bdr w:val="nil"/>
        </w:rPr>
        <w:tab/>
        <w:t>Proporcjonalność</w:t>
      </w:r>
    </w:p>
    <w:p>
      <w:pPr>
        <w:pBdr>
          <w:top w:val="nil"/>
          <w:left w:val="nil"/>
          <w:bottom w:val="nil"/>
          <w:right w:val="nil"/>
          <w:between w:val="nil"/>
          <w:bar w:val="nil"/>
        </w:pBdr>
        <w:spacing w:before="0" w:after="240"/>
        <w:rPr>
          <w:rFonts w:eastAsia="Arial Unicode MS"/>
          <w:noProof/>
        </w:rPr>
      </w:pPr>
      <w:r>
        <w:rPr>
          <w:noProof/>
        </w:rPr>
        <w:t>Decyzja jest proporcjonalna do pożądanego celu.</w:t>
      </w:r>
    </w:p>
    <w:p>
      <w:pPr>
        <w:pStyle w:val="ManualHeading2"/>
        <w:rPr>
          <w:rFonts w:eastAsia="Arial Unicode MS"/>
          <w:noProof/>
          <w:u w:color="000000"/>
          <w:bdr w:val="nil"/>
        </w:rPr>
      </w:pPr>
      <w:r>
        <w:rPr>
          <w:noProof/>
          <w:u w:color="000000"/>
          <w:bdr w:val="nil"/>
        </w:rPr>
        <w:t>•</w:t>
      </w:r>
      <w:r>
        <w:rPr>
          <w:noProof/>
          <w:u w:color="000000"/>
          <w:bdr w:val="nil"/>
        </w:rPr>
        <w:tab/>
        <w:t>Wybór instrumentu</w:t>
      </w:r>
    </w:p>
    <w:p>
      <w:pPr>
        <w:pBdr>
          <w:top w:val="nil"/>
          <w:left w:val="nil"/>
          <w:bottom w:val="nil"/>
          <w:right w:val="nil"/>
          <w:between w:val="nil"/>
          <w:bar w:val="nil"/>
        </w:pBdr>
        <w:spacing w:before="0" w:after="240"/>
        <w:rPr>
          <w:rFonts w:eastAsia="Arial Unicode MS"/>
          <w:noProof/>
        </w:rPr>
      </w:pPr>
      <w:r>
        <w:rPr>
          <w:noProof/>
        </w:rPr>
        <w:t>Instrument jest określony w art. 218 ust. 3 i art. 218 ust. 4 TFUE.</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u w:color="000000"/>
          <w:bdr w:val="nil"/>
        </w:rPr>
        <w:t>•</w:t>
      </w:r>
      <w:r>
        <w:rPr>
          <w:noProof/>
          <w:u w:color="000000"/>
          <w:bdr w:val="nil"/>
        </w:rPr>
        <w:tab/>
        <w:t>Oceny ex post / kontrole sprawności obowiązującego prawodawstwa</w:t>
      </w:r>
    </w:p>
    <w:p>
      <w:pPr>
        <w:pBdr>
          <w:top w:val="nil"/>
          <w:left w:val="nil"/>
          <w:bottom w:val="nil"/>
          <w:right w:val="nil"/>
          <w:between w:val="nil"/>
          <w:bar w:val="nil"/>
        </w:pBdr>
        <w:spacing w:before="0" w:after="240"/>
        <w:rPr>
          <w:rFonts w:eastAsia="Arial Unicode MS"/>
          <w:noProof/>
        </w:rPr>
      </w:pPr>
      <w:r>
        <w:rPr>
          <w:noProof/>
        </w:rPr>
        <w:t xml:space="preserve">Umowa o dostępie statków Seszeli do wód Majotty nie ma żadnych skutków finansowych dla UE. Przeprowadzona przez Komisję ocena </w:t>
      </w:r>
      <w:r>
        <w:rPr>
          <w:i/>
          <w:iCs/>
          <w:noProof/>
        </w:rPr>
        <w:t>ex post</w:t>
      </w:r>
      <w:r>
        <w:rPr>
          <w:noProof/>
        </w:rPr>
        <w:t xml:space="preserve"> i </w:t>
      </w:r>
      <w:r>
        <w:rPr>
          <w:i/>
          <w:iCs/>
          <w:noProof/>
        </w:rPr>
        <w:t>ex ante</w:t>
      </w:r>
      <w:r>
        <w:rPr>
          <w:noProof/>
        </w:rPr>
        <w:t xml:space="preserve"> umowy o partnerstwie w sprawie połowów z Seszelami i jej protokołu wykonawczego</w:t>
      </w:r>
      <w:r>
        <w:rPr>
          <w:rStyle w:val="FootnoteReference"/>
          <w:noProof/>
        </w:rPr>
        <w:footnoteReference w:id="2"/>
      </w:r>
      <w:r>
        <w:rPr>
          <w:noProof/>
        </w:rPr>
        <w:t xml:space="preserve"> objęła jednak również funkcjonowanie umowy w sprawie dostępu.</w:t>
      </w:r>
    </w:p>
    <w:p>
      <w:pPr>
        <w:pBdr>
          <w:top w:val="nil"/>
          <w:left w:val="nil"/>
          <w:bottom w:val="nil"/>
          <w:right w:val="nil"/>
          <w:between w:val="nil"/>
          <w:bar w:val="nil"/>
        </w:pBdr>
        <w:spacing w:before="0" w:after="240"/>
        <w:rPr>
          <w:noProof/>
        </w:rPr>
      </w:pPr>
      <w:r>
        <w:rPr>
          <w:noProof/>
        </w:rPr>
        <w:t>W ramach tej oceny przeprowadzonej w 2019 r. stwierdzono, że umowa w sprawie dostępu do wód Majotty powinna zostać przedłużona wraz z nowym protokołem wykonawczym do umowy o partnerstwie w sprawie połowów z Seszelami w celu dalszego dostosowania warunków technicznych i finansowych obu tekstów.</w:t>
      </w:r>
    </w:p>
    <w:p>
      <w:pPr>
        <w:pStyle w:val="ManualHeading2"/>
        <w:rPr>
          <w:rFonts w:eastAsia="Arial Unicode MS"/>
          <w:noProof/>
          <w:u w:color="000000"/>
          <w:bdr w:val="nil"/>
        </w:rPr>
      </w:pPr>
      <w:r>
        <w:rPr>
          <w:noProof/>
          <w:u w:color="000000"/>
          <w:bdr w:val="nil"/>
        </w:rPr>
        <w:t>•</w:t>
      </w:r>
      <w:r>
        <w:rPr>
          <w:noProof/>
          <w:u w:color="000000"/>
          <w:bdr w:val="nil"/>
        </w:rPr>
        <w:tab/>
        <w:t>Konsultacje z zainteresowanymi stronami</w:t>
      </w:r>
    </w:p>
    <w:p>
      <w:pPr>
        <w:pBdr>
          <w:top w:val="nil"/>
          <w:left w:val="nil"/>
          <w:bottom w:val="nil"/>
          <w:right w:val="nil"/>
          <w:between w:val="nil"/>
          <w:bar w:val="nil"/>
        </w:pBdr>
        <w:spacing w:before="0" w:after="240"/>
        <w:rPr>
          <w:rFonts w:eastAsia="Arial Unicode MS"/>
          <w:noProof/>
        </w:rPr>
      </w:pPr>
      <w:r>
        <w:rPr>
          <w:noProof/>
        </w:rPr>
        <w:t xml:space="preserve">W ramach oceny </w:t>
      </w:r>
      <w:r>
        <w:rPr>
          <w:i/>
          <w:iCs/>
          <w:noProof/>
        </w:rPr>
        <w:t>ex post</w:t>
      </w:r>
      <w:r>
        <w:rPr>
          <w:noProof/>
        </w:rPr>
        <w:t xml:space="preserve"> i </w:t>
      </w:r>
      <w:r>
        <w:rPr>
          <w:i/>
          <w:iCs/>
          <w:noProof/>
        </w:rPr>
        <w:t>ex ante</w:t>
      </w:r>
      <w:r>
        <w:rPr>
          <w:noProof/>
        </w:rPr>
        <w:t xml:space="preserve"> zawartej z Seszelami umowy o partnerstwie w sprawie połowów i jej protokołu wykonawczego przeprowadzono konsultacje z państwami członkowskimi, przedstawicielami przemysłu, międzynarodowymi organizacjami społeczeństwa obywatelskiego, a także z organami administracji rybackiej i społeczeństwem obywatelskim Seszeli. Przeprowadzono również konsultacje w ramach Komitetu Doradczego ds. Floty Dalekomorskiej, mianowicie przy okazji jego posiedzenia w dniu 27 marca 2019 r.</w:t>
      </w:r>
    </w:p>
    <w:p>
      <w:pPr>
        <w:pStyle w:val="ManualHeading2"/>
        <w:rPr>
          <w:rFonts w:eastAsia="Arial Unicode MS"/>
          <w:noProof/>
          <w:u w:color="000000"/>
          <w:bdr w:val="nil"/>
        </w:rPr>
      </w:pPr>
      <w:r>
        <w:rPr>
          <w:noProof/>
          <w:u w:color="000000"/>
          <w:bdr w:val="nil"/>
        </w:rPr>
        <w:t>•</w:t>
      </w:r>
      <w:r>
        <w:rPr>
          <w:noProof/>
          <w:u w:color="000000"/>
          <w:bdr w:val="nil"/>
        </w:rPr>
        <w:tab/>
        <w:t>Gromadzenie i wykorzystanie wiedzy eksperckiej</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rFonts w:eastAsia="Arial Unicode MS"/>
          <w:noProof/>
          <w:u w:color="000000"/>
          <w:bdr w:val="nil"/>
        </w:rPr>
      </w:pPr>
      <w:r>
        <w:rPr>
          <w:noProof/>
          <w:u w:color="000000"/>
          <w:bdr w:val="nil"/>
        </w:rPr>
        <w:t>•</w:t>
      </w:r>
      <w:r>
        <w:rPr>
          <w:noProof/>
          <w:u w:color="000000"/>
          <w:bdr w:val="nil"/>
        </w:rPr>
        <w:tab/>
        <w:t>Ocena skutków</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rFonts w:eastAsia="Arial Unicode MS"/>
          <w:noProof/>
          <w:u w:color="000000"/>
          <w:bdr w:val="nil"/>
        </w:rPr>
      </w:pPr>
      <w:r>
        <w:rPr>
          <w:noProof/>
          <w:u w:color="000000"/>
          <w:bdr w:val="nil"/>
        </w:rPr>
        <w:t>•</w:t>
      </w:r>
      <w:r>
        <w:rPr>
          <w:noProof/>
          <w:u w:color="000000"/>
          <w:bdr w:val="nil"/>
        </w:rPr>
        <w:tab/>
        <w:t>Sprawność regulacyjna i uproszczenie</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rFonts w:eastAsia="Arial Unicode MS"/>
          <w:noProof/>
          <w:u w:color="000000"/>
          <w:bdr w:val="nil"/>
        </w:rPr>
      </w:pPr>
      <w:r>
        <w:rPr>
          <w:noProof/>
          <w:u w:color="000000"/>
          <w:bdr w:val="nil"/>
        </w:rPr>
        <w:t>•</w:t>
      </w:r>
      <w:r>
        <w:rPr>
          <w:noProof/>
          <w:u w:color="000000"/>
          <w:bdr w:val="nil"/>
        </w:rPr>
        <w:tab/>
        <w:t>Prawa podstawowe</w:t>
      </w:r>
    </w:p>
    <w:p>
      <w:pPr>
        <w:pBdr>
          <w:top w:val="nil"/>
          <w:left w:val="nil"/>
          <w:bottom w:val="nil"/>
          <w:right w:val="nil"/>
          <w:between w:val="nil"/>
          <w:bar w:val="nil"/>
        </w:pBdr>
        <w:spacing w:before="0" w:after="240"/>
        <w:rPr>
          <w:rFonts w:eastAsia="Arial Unicode MS"/>
          <w:noProof/>
        </w:rPr>
      </w:pPr>
      <w:r>
        <w:rPr>
          <w:noProof/>
        </w:rPr>
        <w:t>W wytycznych negocjacyjnych załączonych do decyzji upoważniającej do podjęcia rokowań zaleca się włączenie klauzuli dotyczącej skutków naruszania praw człowieka i zasad demokracji.</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Umowa o dostępie statków Seszeli do wód Majotty nie ma żadnych skutków finansowych dla UE.</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u w:color="000000"/>
          <w:bdr w:val="nil"/>
        </w:rPr>
        <w:t>•</w:t>
      </w:r>
      <w:r>
        <w:rPr>
          <w:noProof/>
          <w:u w:color="000000"/>
          <w:bdr w:val="nil"/>
        </w:rPr>
        <w:tab/>
        <w:t>Plany wdrożenia i monitorowanie, ocena i sprawozdania</w:t>
      </w:r>
    </w:p>
    <w:p>
      <w:pPr>
        <w:pBdr>
          <w:top w:val="nil"/>
          <w:left w:val="nil"/>
          <w:bottom w:val="nil"/>
          <w:right w:val="nil"/>
          <w:between w:val="nil"/>
          <w:bar w:val="nil"/>
        </w:pBdr>
        <w:spacing w:before="0" w:after="240"/>
        <w:rPr>
          <w:rFonts w:eastAsia="Arial Unicode MS"/>
          <w:noProof/>
        </w:rPr>
      </w:pPr>
      <w:r>
        <w:rPr>
          <w:noProof/>
        </w:rPr>
        <w:t>Oczekuje się, że rokowania zostaną podjęte w trzecim kwartale 2019 r.</w:t>
      </w:r>
    </w:p>
    <w:p>
      <w:pPr>
        <w:pStyle w:val="ManualHeading2"/>
        <w:rPr>
          <w:rFonts w:eastAsia="Arial Unicode MS"/>
          <w:noProof/>
          <w:u w:color="000000"/>
          <w:bdr w:val="nil"/>
        </w:rPr>
      </w:pPr>
      <w:r>
        <w:rPr>
          <w:noProof/>
          <w:u w:color="000000"/>
          <w:bdr w:val="nil"/>
        </w:rPr>
        <w:t>•</w:t>
      </w:r>
      <w:r>
        <w:rPr>
          <w:noProof/>
          <w:u w:color="000000"/>
          <w:bdr w:val="nil"/>
        </w:rPr>
        <w:tab/>
        <w:t>Szczegółowe objaśnienia poszczególnych przepisów zalecenia</w:t>
      </w:r>
    </w:p>
    <w:p>
      <w:pPr>
        <w:pBdr>
          <w:top w:val="nil"/>
          <w:left w:val="nil"/>
          <w:bottom w:val="nil"/>
          <w:right w:val="nil"/>
          <w:between w:val="nil"/>
          <w:bar w:val="nil"/>
        </w:pBdr>
        <w:spacing w:before="0" w:after="240"/>
        <w:rPr>
          <w:rFonts w:eastAsia="Arial Unicode MS"/>
          <w:noProof/>
        </w:rPr>
      </w:pPr>
      <w:r>
        <w:rPr>
          <w:noProof/>
        </w:rPr>
        <w:t>Komisja zaleca, aby:</w:t>
      </w:r>
    </w:p>
    <w:p>
      <w:pPr>
        <w:pBdr>
          <w:top w:val="nil"/>
          <w:left w:val="nil"/>
          <w:bottom w:val="nil"/>
          <w:right w:val="nil"/>
          <w:between w:val="nil"/>
          <w:bar w:val="nil"/>
        </w:pBdr>
        <w:spacing w:before="0" w:after="240"/>
        <w:rPr>
          <w:rFonts w:eastAsia="Arial Unicode MS"/>
          <w:noProof/>
        </w:rPr>
      </w:pPr>
      <w:r>
        <w:rPr>
          <w:noProof/>
        </w:rPr>
        <w:t>– Rada upoważniła Komisję do otwarcia i prowadzenia rokowań w celu zawarcia nowej umowy z Seszelami w sprawie dostępu statków Seszeli do wód Majotty podlegających jurysdykcji UE;</w:t>
      </w:r>
    </w:p>
    <w:p>
      <w:pPr>
        <w:pBdr>
          <w:top w:val="nil"/>
          <w:left w:val="nil"/>
          <w:bottom w:val="nil"/>
          <w:right w:val="nil"/>
          <w:between w:val="nil"/>
          <w:bar w:val="nil"/>
        </w:pBdr>
        <w:spacing w:before="0" w:after="240"/>
        <w:rPr>
          <w:rFonts w:eastAsia="Arial Unicode MS"/>
          <w:noProof/>
        </w:rPr>
      </w:pPr>
      <w:r>
        <w:rPr>
          <w:noProof/>
        </w:rPr>
        <w:t>– wyznaczono Komisję jako negocjatora w imieniu Unii w tej kwestii;</w:t>
      </w:r>
    </w:p>
    <w:p>
      <w:pPr>
        <w:pBdr>
          <w:top w:val="nil"/>
          <w:left w:val="nil"/>
          <w:bottom w:val="nil"/>
          <w:right w:val="nil"/>
          <w:between w:val="nil"/>
          <w:bar w:val="nil"/>
        </w:pBdr>
        <w:spacing w:before="0" w:after="240"/>
        <w:rPr>
          <w:rFonts w:eastAsia="Arial Unicode MS"/>
          <w:noProof/>
        </w:rPr>
      </w:pPr>
      <w:r>
        <w:rPr>
          <w:noProof/>
        </w:rPr>
        <w:t>– Komisja prowadziła te rokowania w porozumieniu ze specjalnym komitetem, zgodnie z postanowieniami Traktatu o funkcjonowaniu Unii Europejskiej;</w:t>
      </w:r>
    </w:p>
    <w:p>
      <w:pPr>
        <w:pBdr>
          <w:top w:val="nil"/>
          <w:left w:val="nil"/>
          <w:bottom w:val="nil"/>
          <w:right w:val="nil"/>
          <w:between w:val="nil"/>
          <w:bar w:val="nil"/>
        </w:pBdr>
        <w:spacing w:before="0" w:after="240"/>
        <w:rPr>
          <w:noProof/>
        </w:rPr>
      </w:pPr>
      <w:r>
        <w:rPr>
          <w:noProof/>
        </w:rPr>
        <w:t>– Rada przyjęła wytyczne negocjacyjne załączone do niniejszego zalecenia.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Zalecenie</w:t>
      </w:r>
    </w:p>
    <w:p>
      <w:pPr>
        <w:pStyle w:val="Typedudocument"/>
        <w:rPr>
          <w:noProof/>
        </w:rPr>
      </w:pPr>
      <w:r>
        <w:rPr>
          <w:noProof/>
        </w:rPr>
        <w:t>DECYZJA RADY</w:t>
      </w:r>
    </w:p>
    <w:p>
      <w:pPr>
        <w:pStyle w:val="Titreobjet"/>
        <w:rPr>
          <w:noProof/>
        </w:rPr>
      </w:pPr>
      <w:r>
        <w:rPr>
          <w:noProof/>
        </w:rPr>
        <w:t>upoważniająca do rozpoczęcia rokowań w imieniu Unii Europejskiej w celu zawarcia Umowy między Unią Europejską a Republiką Seszeli w sprawie dostępu statków rybackich pływających pod banderą Seszeli do wód Majotty</w:t>
      </w:r>
      <w:r>
        <w:rPr>
          <w:noProof/>
        </w:rPr>
        <w:br/>
      </w:r>
    </w:p>
    <w:p>
      <w:pPr>
        <w:pStyle w:val="Institutionquiagit"/>
        <w:rPr>
          <w:noProof/>
        </w:rPr>
      </w:pPr>
      <w:r>
        <w:rPr>
          <w:noProof/>
        </w:rPr>
        <w:t>RADA UNII EUROPEJSKIEJ,</w:t>
      </w:r>
    </w:p>
    <w:p>
      <w:pPr>
        <w:rPr>
          <w:noProof/>
        </w:rPr>
      </w:pPr>
      <w:r>
        <w:rPr>
          <w:noProof/>
        </w:rPr>
        <w:t>uwzględniając Traktat o funkcjonowaniu Unii Europejskiej, w szczególności jego art. 218 ust. 3 i 4,</w:t>
      </w:r>
    </w:p>
    <w:p>
      <w:pPr>
        <w:rPr>
          <w:noProof/>
        </w:rPr>
      </w:pPr>
      <w:r>
        <w:rPr>
          <w:noProof/>
        </w:rPr>
        <w:t>przywołując decyzję Rady Europejskiej z dnia 11 lipca 2012 r. w sprawie zmiany statusu Majotty względem Unii Europejskiej</w:t>
      </w:r>
      <w:r>
        <w:rPr>
          <w:rStyle w:val="FootnoteReference"/>
          <w:noProof/>
        </w:rPr>
        <w:footnoteReference w:id="3"/>
      </w:r>
      <w:r>
        <w:rPr>
          <w:noProof/>
        </w:rPr>
        <w:t>,</w:t>
      </w:r>
    </w:p>
    <w:p>
      <w:pPr>
        <w:rPr>
          <w:noProof/>
        </w:rPr>
      </w:pPr>
      <w:r>
        <w:rPr>
          <w:noProof/>
        </w:rPr>
        <w:t>uwzględniając zalecenie Komisji Europejskiej,</w:t>
      </w:r>
    </w:p>
    <w:p>
      <w:pPr>
        <w:rPr>
          <w:noProof/>
          <w:sz w:val="23"/>
          <w:szCs w:val="23"/>
        </w:rPr>
      </w:pPr>
      <w:r>
        <w:rPr>
          <w:noProof/>
          <w:sz w:val="23"/>
          <w:szCs w:val="23"/>
        </w:rPr>
        <w:t>a także mając na uwadze konieczność podjęcia rokowań w celu zawarcia umowy między Unią Europejską a Republiką Seszeli w sprawie dostępu statków pływających pod banderą Seszeli do wód Unii Europejskiej, a mianowicie wyłącznej strefy ekonomicznej u wybrzeży Majotty,</w:t>
      </w:r>
    </w:p>
    <w:p>
      <w:pPr>
        <w:rPr>
          <w:noProof/>
        </w:rPr>
      </w:pPr>
    </w:p>
    <w:p>
      <w:pPr>
        <w:pStyle w:val="Formuledadoption"/>
        <w:rPr>
          <w:noProof/>
        </w:rPr>
      </w:pPr>
      <w:r>
        <w:rPr>
          <w:noProof/>
        </w:rPr>
        <w:t xml:space="preserve">PRZYJMUJE NINIEJSZĄ DECYZJĘ: </w:t>
      </w:r>
    </w:p>
    <w:p>
      <w:pPr>
        <w:pStyle w:val="Titrearticle"/>
        <w:rPr>
          <w:noProof/>
        </w:rPr>
      </w:pPr>
      <w:r>
        <w:rPr>
          <w:noProof/>
        </w:rPr>
        <w:t>Artykuł 1</w:t>
      </w:r>
    </w:p>
    <w:p>
      <w:pPr>
        <w:rPr>
          <w:noProof/>
        </w:rPr>
      </w:pPr>
      <w:r>
        <w:rPr>
          <w:noProof/>
        </w:rPr>
        <w:t>Niniejszym upoważnia się Komisję do prowadzenia rokowań z Republiką Seszeli w sprawie umowy dotyczącej dostępu statków rybackich pływających pod banderą Republiki Seszeli do wód i żywych zasobów morza Unii, a mianowicie do wód i żywych zasobów morza w wyłącznej strefie ekonomicznej u wybrzeży Majotty.</w:t>
      </w:r>
    </w:p>
    <w:p>
      <w:pPr>
        <w:rPr>
          <w:noProof/>
        </w:rPr>
      </w:pPr>
    </w:p>
    <w:p>
      <w:pPr>
        <w:jc w:val="center"/>
        <w:rPr>
          <w:i/>
          <w:noProof/>
        </w:rPr>
      </w:pPr>
      <w:r>
        <w:rPr>
          <w:i/>
          <w:noProof/>
        </w:rPr>
        <w:t>Artykuł 2</w:t>
      </w:r>
    </w:p>
    <w:p>
      <w:pPr>
        <w:rPr>
          <w:i/>
          <w:noProof/>
        </w:rPr>
      </w:pPr>
      <w:r>
        <w:rPr>
          <w:noProof/>
        </w:rPr>
        <w:t>Wytyczne negocjacyjne przedstawiono w załączniku.</w:t>
      </w:r>
    </w:p>
    <w:p>
      <w:pPr>
        <w:pStyle w:val="Titrearticle"/>
        <w:rPr>
          <w:noProof/>
        </w:rPr>
      </w:pPr>
      <w:r>
        <w:rPr>
          <w:noProof/>
        </w:rPr>
        <w:t>Artykuł 3</w:t>
      </w:r>
    </w:p>
    <w:p>
      <w:pPr>
        <w:rPr>
          <w:noProof/>
        </w:rPr>
      </w:pPr>
      <w:r>
        <w:rPr>
          <w:noProof/>
        </w:rPr>
        <w:t xml:space="preserve">Rokowania są prowadzone w porozumieniu z </w:t>
      </w:r>
      <w:r>
        <w:rPr>
          <w:noProof/>
          <w:highlight w:val="yellow"/>
        </w:rPr>
        <w:t>[nazwa specjalnego komitetu, która ma zostać wstawiona przez Radę]</w:t>
      </w:r>
      <w:r>
        <w:rPr>
          <w:noProof/>
        </w:rPr>
        <w:t>.</w:t>
      </w:r>
    </w:p>
    <w:p>
      <w:pPr>
        <w:pStyle w:val="Titrearticle"/>
        <w:rPr>
          <w:noProof/>
        </w:rPr>
      </w:pPr>
      <w:r>
        <w:rPr>
          <w:noProof/>
        </w:rPr>
        <w:t>Artykuł 4</w:t>
      </w:r>
    </w:p>
    <w:p>
      <w:pPr>
        <w:rPr>
          <w:noProof/>
        </w:rPr>
      </w:pPr>
      <w:r>
        <w:rPr>
          <w:noProof/>
        </w:rPr>
        <w:t>Niniejsza decyzja jest skierowana do Komisji.</w:t>
      </w:r>
    </w:p>
    <w:p>
      <w:pPr>
        <w:rPr>
          <w:noProof/>
        </w:rPr>
      </w:pPr>
    </w:p>
    <w:p>
      <w:pPr>
        <w:pStyle w:val="Fait"/>
        <w:rPr>
          <w:noProof/>
        </w:rPr>
      </w:pPr>
      <w:r>
        <w:rPr>
          <w:noProof/>
        </w:rPr>
        <w:t>Sporządzono w Brukseli dnia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204 z 31.7.2012, s. 131.</w:t>
      </w:r>
    </w:p>
  </w:footnote>
  <w:footnote w:id="2">
    <w:p>
      <w:pPr>
        <w:pStyle w:val="FootnoteText"/>
      </w:pPr>
      <w:r>
        <w:rPr>
          <w:rStyle w:val="FootnoteReference"/>
        </w:rPr>
        <w:footnoteRef/>
      </w:r>
      <w:r>
        <w:tab/>
      </w:r>
      <w:hyperlink r:id="rId1" w:history="1">
        <w:r>
          <w:rPr>
            <w:rStyle w:val="Hyperlink"/>
          </w:rPr>
          <w:t>https://publications.europa.eu/en/publication-detail/-/publication/5e1b1689-7785-11e9-9f05-01aa75ed71a1/language-en/format-PDF/source-97941423</w:t>
        </w:r>
      </w:hyperlink>
      <w:r>
        <w:t xml:space="preserve"> </w:t>
      </w:r>
    </w:p>
  </w:footnote>
  <w:footnote w:id="3">
    <w:p>
      <w:pPr>
        <w:pStyle w:val="FootnoteText"/>
      </w:pPr>
      <w:r>
        <w:rPr>
          <w:rStyle w:val="FootnoteReference"/>
        </w:rPr>
        <w:footnoteRef/>
      </w:r>
      <w:r>
        <w:tab/>
        <w:t>Dz.U. L 204 z 31.7.2012, s. 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8639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DE89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98DE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793A10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560D6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AA4B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E8FF24"/>
    <w:lvl w:ilvl="0">
      <w:start w:val="1"/>
      <w:numFmt w:val="decimal"/>
      <w:pStyle w:val="ListNumber"/>
      <w:lvlText w:val="%1."/>
      <w:lvlJc w:val="left"/>
      <w:pPr>
        <w:tabs>
          <w:tab w:val="num" w:pos="360"/>
        </w:tabs>
        <w:ind w:left="360" w:hanging="360"/>
      </w:pPr>
    </w:lvl>
  </w:abstractNum>
  <w:abstractNum w:abstractNumId="7">
    <w:nsid w:val="FFFFFF89"/>
    <w:multiLevelType w:val="singleLevel"/>
    <w:tmpl w:val="39BEBA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2 13:50: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D7B075B-95A5-4CB4-9765-8E89F5B03C5F"/>
    <w:docVar w:name="LW_COVERPAGE_TYPE" w:val="1"/>
    <w:docVar w:name="LW_CROSSREFERENCE" w:val="&lt;UNUSED&gt;"/>
    <w:docVar w:name="LW_DocType" w:val="COM"/>
    <w:docVar w:name="LW_EMISSION" w:val="9.9.2019"/>
    <w:docVar w:name="LW_EMISSION_ISODATE" w:val="2019-09-09"/>
    <w:docVar w:name="LW_EMISSION_LOCATION" w:val="BRX"/>
    <w:docVar w:name="LW_EMISSION_PREFIX" w:val="Bruksela, dnia "/>
    <w:docVar w:name="LW_EMISSION_SUFFIX" w:val=" r."/>
    <w:docVar w:name="LW_ID_DOCMODEL" w:val="SG-001"/>
    <w:docVar w:name="LW_ID_DOCSIGNATURE" w:val="SG-001"/>
    <w:docVar w:name="LW_ID_DOCSTRUCTURE" w:val="COM/PL/ORG/NOEEA"/>
    <w:docVar w:name="LW_ID_DOCTYPE" w:val="SG-001"/>
    <w:docVar w:name="LW_ID_EXP.MOTIFS.NEW" w:val="EM_PL_"/>
    <w:docVar w:name="LW_ID_STATUT" w:val="SG-001"/>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4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Zalecenie"/>
    <w:docVar w:name="LW_SUPERTITRE" w:val="&lt;UNUSED&gt;"/>
    <w:docVar w:name="LW_TITRE.OBJ.CP" w:val="upowa\u380?niaj\u261?ca do rozpocz\u281?cia rokowa\u324? w imieniu Unii Europejskiej w celu zawarcia Umowy mi\u281?dzy Uni\u261? Europejsk\u261? a Republik\u261? Seszeli w sprawie dost\u281?pu statków rybackich p\u322?ywaj\u261?cych pod bander\u261? Seszeli do wód Majotty_x000b_"/>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HeaderSensitivityRight">
    <w:name w:val="Header Sensitivity Right"/>
    <w:basedOn w:val="Normal"/>
    <w:pPr>
      <w:spacing w:before="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HeaderSensitivityRight">
    <w:name w:val="Header Sensitivity Right"/>
    <w:basedOn w:val="Normal"/>
    <w:pPr>
      <w:spacing w:before="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europa.eu/en/publication-detail/-/publication/5e1b1689-7785-11e9-9f05-01aa75ed71a1/language-en/format-PDF/source-979414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ABDCD5-29C0-42E3-846E-461E6D92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938</Words>
  <Characters>5940</Characters>
  <Application>Microsoft Office Word</Application>
  <DocSecurity>0</DocSecurity>
  <Lines>126</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2019-07-08T09:33:00Z</cp:lastPrinted>
  <dcterms:created xsi:type="dcterms:W3CDTF">2019-07-25T07:46:00Z</dcterms:created>
  <dcterms:modified xsi:type="dcterms:W3CDTF">2019-09-02T11:50:00Z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