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19FA43F-6D32-4057-8135-5CF866E58A88" style="width:450.8pt;height:397.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pStyle w:val="Titrearticle"/>
        <w:jc w:val="both"/>
        <w:rPr>
          <w:b/>
          <w:i w:val="0"/>
          <w:noProof/>
          <w:u w:val="single"/>
        </w:rPr>
      </w:pPr>
      <w:r>
        <w:rPr>
          <w:b/>
          <w:i w:val="0"/>
          <w:noProof/>
          <w:u w:val="single"/>
        </w:rPr>
        <w:t>Direttive di negoziato</w:t>
      </w:r>
      <w:r>
        <w:rPr>
          <w:b/>
          <w:noProof/>
          <w:u w:val="single"/>
        </w:rPr>
        <w:t xml:space="preserve"> </w:t>
      </w:r>
    </w:p>
    <w:p>
      <w:pPr>
        <w:pStyle w:val="Tiret0"/>
        <w:numPr>
          <w:ilvl w:val="0"/>
          <w:numId w:val="1"/>
        </w:numPr>
        <w:rPr>
          <w:noProof/>
        </w:rPr>
      </w:pPr>
      <w:r>
        <w:rPr>
          <w:noProof/>
        </w:rPr>
        <w:t xml:space="preserve">Obiettivo dei negoziati è la conclusione di un accordo tra l'Unione europea e la Repubblica delle Seychelles concernente l'accesso delle navi battenti bandiera della Repubblica delle Seychelles alle acque e alle risorse biologiche marine dell'Unione europea, segnatamente alle acque e alle risorse biologiche marine della zona economica esclusiva (ZEE) al largo della costa di Mayotte. </w:t>
      </w:r>
    </w:p>
    <w:p>
      <w:pPr>
        <w:pStyle w:val="Tiret0"/>
        <w:numPr>
          <w:ilvl w:val="0"/>
          <w:numId w:val="1"/>
        </w:numPr>
        <w:rPr>
          <w:noProof/>
        </w:rPr>
      </w:pPr>
      <w:r>
        <w:rPr>
          <w:noProof/>
        </w:rPr>
        <w:t>L'accordo per l'accesso alle acque di Mayotte, soggette alla giurisdizione dell'UE, da parte delle navi delle Seychelles dovrebbe pertanto definire il quadro, i principi e gli obiettivi generali che costituiranno la base dell'accesso. Esso dovrebbe contenere una clausola che abroghi l'accordo attualmente in vigore tra l'Unione europea e la Repubblica delle Seychelles</w:t>
      </w:r>
      <w:r>
        <w:rPr>
          <w:rStyle w:val="FootnoteReference"/>
          <w:noProof/>
        </w:rPr>
        <w:footnoteReference w:id="1"/>
      </w:r>
      <w:r>
        <w:rPr>
          <w:noProof/>
        </w:rPr>
        <w:t>.</w:t>
      </w:r>
    </w:p>
    <w:p>
      <w:pPr>
        <w:pStyle w:val="Tiret0"/>
        <w:numPr>
          <w:ilvl w:val="0"/>
          <w:numId w:val="1"/>
        </w:numPr>
        <w:rPr>
          <w:noProof/>
        </w:rPr>
      </w:pPr>
      <w:r>
        <w:rPr>
          <w:noProof/>
        </w:rPr>
        <w:t>Per garantire, mediante il nuovo accordo, la promozione di una pesca sostenibile e responsabile, la Commissione baserà i propri obiettivi di negoziato sui seguenti elementi:</w:t>
      </w:r>
    </w:p>
    <w:p>
      <w:pPr>
        <w:pStyle w:val="Bullet1"/>
        <w:numPr>
          <w:ilvl w:val="0"/>
          <w:numId w:val="11"/>
        </w:numPr>
        <w:rPr>
          <w:noProof/>
        </w:rPr>
      </w:pPr>
      <w:r>
        <w:rPr>
          <w:noProof/>
        </w:rPr>
        <w:t>garantire l'accesso delle navi battenti bandiera delle Seychelles alle acque e alle risorse biologiche marine dell'Unione europea, segnatamente alle acque e alle risorse biologiche marine della ZEE al largo della costa di Mayotte, nonché le autorizzazioni di pesca necessarie alle navi battenti bandiera delle Seychelles per l'esercizio delle attività di pesca in tale ZEE;</w:t>
      </w:r>
    </w:p>
    <w:p>
      <w:pPr>
        <w:pStyle w:val="Bullet1"/>
        <w:rPr>
          <w:noProof/>
          <w:sz w:val="22"/>
        </w:rPr>
      </w:pPr>
      <w:r>
        <w:rPr>
          <w:noProof/>
        </w:rPr>
        <w:t>tener conto dei migliori pareri scientifici disponibili e dei piani di gestione pertinenti adottati dalle organizzazioni regionali di gestione della pesca (ORGP) per garantire la sostenibilità ambientale delle attività di pesca e promuovere la governance degli oceani su scala internazionale. Le attività di pesca dovrebbero concentrarsi esclusivamente sulle risorse disponibili, tenendo conto della capacità di pesca della flotta locale e prestando particolare attenzione alla natura altamente migratoria degli stock coinvolti;</w:t>
      </w:r>
    </w:p>
    <w:p>
      <w:pPr>
        <w:pStyle w:val="Bullet1"/>
        <w:rPr>
          <w:noProof/>
        </w:rPr>
      </w:pPr>
      <w:bookmarkStart w:id="1" w:name="ControlPages"/>
      <w:bookmarkEnd w:id="1"/>
      <w:r>
        <w:rPr>
          <w:noProof/>
        </w:rPr>
        <w:t>garantire l'accesso delle navi battenti bandiera delle Seychelles alle risorse biologiche marine sulla base di criteri simili a quelli che si applicano alla flotta dell'UE nella zona di competenza della Commissione per il tonno dell'Oceano Indiano (IOTC) e dell'evoluzione osservata nel corso degli ultimi anni;</w:t>
      </w:r>
    </w:p>
    <w:p>
      <w:pPr>
        <w:pStyle w:val="Bullet1"/>
        <w:rPr>
          <w:noProof/>
        </w:rPr>
      </w:pPr>
      <w:r>
        <w:rPr>
          <w:noProof/>
        </w:rPr>
        <w:t>includere nell'accordo diritti di licenza a carico esclusivamente degli armatori. Non dovrebbero essere previsti contributi finanziari del governo delle Seychelles;</w:t>
      </w:r>
    </w:p>
    <w:p>
      <w:pPr>
        <w:pStyle w:val="Bullet1"/>
        <w:rPr>
          <w:noProof/>
        </w:rPr>
      </w:pPr>
      <w:r>
        <w:rPr>
          <w:noProof/>
        </w:rPr>
        <w:t>garantire che il protocollo concorra a incoraggiare la crescita sostenibile e a promuovere un'occupazione dignitosa in relazione alle attività di pesca, tenendo conto delle convenzioni pertinenti dell'Organizzazione internazionale del lavoro (OIL);</w:t>
      </w:r>
    </w:p>
    <w:p>
      <w:pPr>
        <w:pStyle w:val="Bullet1"/>
        <w:rPr>
          <w:noProof/>
        </w:rPr>
      </w:pPr>
      <w:r>
        <w:rPr>
          <w:noProof/>
        </w:rPr>
        <w:t>includere una clausola relativa alle conseguenze in caso di violazione dei diritti umani e dei principi democratici.</w:t>
      </w:r>
    </w:p>
    <w:p>
      <w:pPr>
        <w:pStyle w:val="Tiret0"/>
        <w:numPr>
          <w:ilvl w:val="0"/>
          <w:numId w:val="1"/>
        </w:numPr>
        <w:rPr>
          <w:noProof/>
        </w:rPr>
      </w:pPr>
      <w:r>
        <w:rPr>
          <w:noProof/>
        </w:rPr>
        <w:t>L'accordo dovrebbe definire in particolare:</w:t>
      </w:r>
    </w:p>
    <w:p>
      <w:pPr>
        <w:pStyle w:val="Bullet1"/>
        <w:rPr>
          <w:noProof/>
        </w:rPr>
      </w:pPr>
      <w:r>
        <w:rPr>
          <w:noProof/>
        </w:rPr>
        <w:lastRenderedPageBreak/>
        <w:t>la zona di pesca oggetto dell'accordo, i cui limiti dovrebbero essere specificati in un allegato dell'accordo,</w:t>
      </w:r>
    </w:p>
    <w:p>
      <w:pPr>
        <w:pStyle w:val="Bullet1"/>
        <w:rPr>
          <w:noProof/>
        </w:rPr>
      </w:pPr>
      <w:r>
        <w:rPr>
          <w:noProof/>
        </w:rPr>
        <w:t>le possibilità di pesca, per categoria, che saranno assegnate ai pescherecci battenti bandiera delle Seychelles, nonché</w:t>
      </w:r>
    </w:p>
    <w:p>
      <w:pPr>
        <w:pStyle w:val="Bullet1"/>
        <w:rPr>
          <w:noProof/>
        </w:rPr>
      </w:pPr>
      <w:r>
        <w:rPr>
          <w:noProof/>
        </w:rPr>
        <w:t>i canoni che i pescherecci battenti bandiera delle Seychelles dovranno versare per essere autorizzati ad accedere alle acque e alle risorse biologiche marine dell'Unione nella ZEE al largo della costa di Mayotte e le condizioni di tali pagamenti.</w:t>
      </w:r>
    </w:p>
    <w:p>
      <w:pPr>
        <w:pStyle w:val="Tiret0"/>
        <w:rPr>
          <w:noProof/>
        </w:rPr>
      </w:pPr>
    </w:p>
    <w:p>
      <w:pPr>
        <w:pStyle w:val="Tiret0"/>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GU L 167 del 6.6.2014, pag.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4E79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3C8B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6ABF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8665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627A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2251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4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0F693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362600"/>
    <w:multiLevelType w:val="singleLevel"/>
    <w:tmpl w:val="C1D21368"/>
    <w:name w:val="Dash 0"/>
    <w:lvl w:ilvl="0">
      <w:start w:val="1"/>
      <w:numFmt w:val="bullet"/>
      <w:lvlRestart w:val="0"/>
      <w:pStyle w:val="Dash"/>
      <w:lvlText w:val="–"/>
      <w:lvlJc w:val="left"/>
      <w:pPr>
        <w:tabs>
          <w:tab w:val="num" w:pos="567"/>
        </w:tabs>
        <w:ind w:left="567"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6"/>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2 13:47: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lla raccomandazione di "/>
    <w:docVar w:name="LW_ACCOMPAGNANT.CP" w:val="della raccomandazione di "/>
    <w:docVar w:name="LW_ANNEX_NBR_FIRST" w:val="1"/>
    <w:docVar w:name="LW_ANNEX_NBR_LAST" w:val="1"/>
    <w:docVar w:name="LW_ANNEX_UNIQUE" w:val="1"/>
    <w:docVar w:name="LW_CORRIGENDUM" w:val="&lt;UNUSED&gt;"/>
    <w:docVar w:name="LW_COVERPAGE_EXISTS" w:val="True"/>
    <w:docVar w:name="LW_COVERPAGE_GUID" w:val="819FA43F-6D32-4057-8135-5CF866E58A88"/>
    <w:docVar w:name="LW_COVERPAGE_TYPE" w:val="1"/>
    <w:docVar w:name="LW_CROSSREFERENCE" w:val="&lt;UNUSED&gt;"/>
    <w:docVar w:name="LW_DocType" w:val="ANNEX"/>
    <w:docVar w:name="LW_EMISSION" w:val="9.9.2019"/>
    <w:docVar w:name="LW_EMISSION_ISODATE" w:val="2019-09-09"/>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che autorizza l'avvio di negoziati a nome dell'Unione europea per la conclusione di un accordo tra l'Unione europea e la Repubblica delle Seychelles per l'accesso dei pescherecci battenti bandiera delle Seychelles alle acque di Mayotte"/>
    <w:docVar w:name="LW_OBJETACTEPRINCIPAL.CP" w:val="che autorizza l'avvio di negoziati a nome dell'Unione europea per la conclusione di un accordo tra l'Unione europea e la Repubblica delle Seychelles per l'accesso dei pescherecci battenti bandiera delle Seychelles alle acque di Mayotte"/>
    <w:docVar w:name="LW_PART_NBR" w:val="1"/>
    <w:docVar w:name="LW_PART_NBR_TOTAL" w:val="1"/>
    <w:docVar w:name="LW_REF.INST.NEW" w:val="COM"/>
    <w:docVar w:name="LW_REF.INST.NEW_ADOPTED" w:val="final"/>
    <w:docVar w:name="LW_REF.INST.NEW_TEXT" w:val="(2019)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LLEGATO"/>
    <w:docVar w:name="LW_TYPEACTEPRINCIPAL" w:val="DECISIONE DEL CONSIGLIO"/>
    <w:docVar w:name="LW_TYPEACTEPRINCIPAL.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pPr>
      <w:numPr>
        <w:numId w:val="2"/>
      </w:numPr>
      <w:spacing w:line="360" w:lineRule="auto"/>
      <w:jc w:val="left"/>
    </w:pPr>
    <w:rPr>
      <w:rFonts w:eastAsia="Times New Roman"/>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pPr>
      <w:numPr>
        <w:numId w:val="2"/>
      </w:numPr>
      <w:spacing w:line="360" w:lineRule="auto"/>
      <w:jc w:val="left"/>
    </w:pPr>
    <w:rPr>
      <w:rFonts w:eastAsia="Times New Roman"/>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92AB82-335F-4713-BBA9-49EF0804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448</Words>
  <Characters>2792</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2019-07-08T09:34:00Z</cp:lastPrinted>
  <dcterms:created xsi:type="dcterms:W3CDTF">2019-07-25T15:47:00Z</dcterms:created>
  <dcterms:modified xsi:type="dcterms:W3CDTF">2019-09-02T11:47:00Z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