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12F5F4E-7D2C-4810-8871-8DF0EF3C6DDB" style="width:450.75pt;height:452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PRÍLOHA </w:t>
      </w:r>
    </w:p>
    <w:p>
      <w:pPr>
        <w:pStyle w:val="Titrearticle"/>
        <w:jc w:val="both"/>
        <w:rPr>
          <w:b/>
          <w:i w:val="0"/>
          <w:noProof/>
          <w:u w:val="single"/>
        </w:rPr>
      </w:pPr>
      <w:r>
        <w:rPr>
          <w:b/>
          <w:i w:val="0"/>
          <w:noProof/>
          <w:u w:val="single"/>
        </w:rPr>
        <w:t>Smernice na rokovania</w:t>
      </w:r>
      <w:r>
        <w:rPr>
          <w:b/>
          <w:noProof/>
          <w:u w:val="single"/>
        </w:rPr>
        <w:t xml:space="preserve"> 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 xml:space="preserve">Cieľom rokovaní je uzavrieť dohodu medzi Európskou úniou a Seychelskou republikou o prístupe plavidiel plaviacich sa pod vlajkou Seychelskej republiky do vôd a k morským biologickým zdrojom Európskej únie, konkrétne do vôd a k morským biologickým zdrojom výhradnej hospodárskej zóny (VHZ) pri pobreží ostrova Mayotte. 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Dohoda o prístupe plavidiel Seychel do vôd Mayotte, ktoré patria do jurisdikcie EÚ, by preto mala vymedziť všeobecný rámec, všeobecné zásady a ciele, ktoré budú základom pre prístup. Mala by obsahovať doložku o zrušení aktuálnej dohody o prístupe medzi Európskou úniou a Seychelskou republikou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V záujme podpory udržateľného a zodpovedného rybolovu prostredníctvom tejto novej dohody musia ciele Komisie pri rokovaní vychádzať z týchto zásad:</w:t>
      </w:r>
    </w:p>
    <w:p>
      <w:pPr>
        <w:pStyle w:val="Bullet1"/>
        <w:numPr>
          <w:ilvl w:val="0"/>
          <w:numId w:val="11"/>
        </w:numPr>
        <w:rPr>
          <w:noProof/>
        </w:rPr>
      </w:pPr>
      <w:r>
        <w:rPr>
          <w:noProof/>
        </w:rPr>
        <w:t>zabezpečiť prístup pre plavidlá plaviace sa pod vlajkou Seychel do vôd a k morským biologickým zdrojom Európskej únie, konkrétne do vôd a k morským biologickým zdrojom VHZ pri pobreží Mayotte a potrebné povolenia na rybolov pre plavidlá plaviace sa pod vlajkou Seychel na vykonávanie rybolovných činností v tejto výhradnej hospodárskej zóne,</w:t>
      </w:r>
    </w:p>
    <w:p>
      <w:pPr>
        <w:pStyle w:val="Bullet1"/>
        <w:rPr>
          <w:noProof/>
          <w:sz w:val="22"/>
        </w:rPr>
      </w:pPr>
      <w:r>
        <w:rPr>
          <w:noProof/>
        </w:rPr>
        <w:t>zohľadniť najlepšie dostupné vedecké odporúčania a príslušné plány hospodárenia, ktoré prijali regionálne organizácie pre riadenie rybárstva, s cieľom zabezpečiť environmentálnu udržateľnosť rybolovných činností a súčasne podporovať správu oceánov v celosvetovom meradle. Rybolovné činnosti by sa mali zameriavať výhradne na dostupné zdroje a zohľadňovať rybolovnú kapacitu miestnej flotily s osobitným dôrazom na vysoko migračnú povahu dotknutých populácií,</w:t>
      </w:r>
    </w:p>
    <w:p>
      <w:pPr>
        <w:pStyle w:val="Bullet1"/>
        <w:rPr>
          <w:noProof/>
        </w:rPr>
      </w:pPr>
      <w:bookmarkStart w:id="1" w:name="ControlPages"/>
      <w:bookmarkEnd w:id="1"/>
      <w:r>
        <w:rPr>
          <w:noProof/>
        </w:rPr>
        <w:t>zabezpečiť prístup pre plavidlá plaviace sa pod vlajkou Seychel k morským biologickým zdrojom na základe kritérií podobných kritériám, ktoré sa uplatňujú na flotilu EÚ v oblasti pôsobnosti Komisie pre tuniaky z Indického oceánu (IOTC), ako aj na základe vývoja pozorovaného v posledných rokoch,</w:t>
      </w:r>
    </w:p>
    <w:p>
      <w:pPr>
        <w:pStyle w:val="Bullet1"/>
        <w:rPr>
          <w:noProof/>
        </w:rPr>
      </w:pPr>
      <w:r>
        <w:rPr>
          <w:noProof/>
        </w:rPr>
        <w:t>začleniť do dohody poplatky za licencie, ktoré majú platiť iba vlastníci plavidiel. Nemal by sa predpokladať žiadny finančný príspevok od seychelskej vlády,</w:t>
      </w:r>
    </w:p>
    <w:p>
      <w:pPr>
        <w:pStyle w:val="Bullet1"/>
        <w:rPr>
          <w:noProof/>
        </w:rPr>
      </w:pPr>
      <w:r>
        <w:rPr>
          <w:noProof/>
        </w:rPr>
        <w:t>zabezpečiť, aby protokol prispieval k podpore rastu a tvorbe dôstojných pracovných podmienok súvisiacich s rybolovnými činnosťami, a to s prihliadnutím na príslušné dohovory Medzinárodnej organizácie práce,</w:t>
      </w:r>
    </w:p>
    <w:p>
      <w:pPr>
        <w:pStyle w:val="Bullet1"/>
        <w:rPr>
          <w:noProof/>
        </w:rPr>
      </w:pPr>
      <w:r>
        <w:rPr>
          <w:noProof/>
        </w:rPr>
        <w:t>zahrnúť doložku o dôsledkoch porušovania ľudských práv a demokratických zásad.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V dohode by sa mali vymedziť najmä:</w:t>
      </w:r>
    </w:p>
    <w:p>
      <w:pPr>
        <w:pStyle w:val="Bullet1"/>
        <w:rPr>
          <w:noProof/>
        </w:rPr>
      </w:pPr>
      <w:r>
        <w:rPr>
          <w:noProof/>
        </w:rPr>
        <w:t>rybolovná oblasť rybolovu, na ktorú sa dohoda vzťahuje a ktorej hranice by mali byť uvedené v prílohe k dohode,</w:t>
      </w:r>
    </w:p>
    <w:p>
      <w:pPr>
        <w:pStyle w:val="Bullet1"/>
        <w:rPr>
          <w:noProof/>
        </w:rPr>
      </w:pPr>
      <w:r>
        <w:rPr>
          <w:noProof/>
        </w:rPr>
        <w:t>rybolovné možnosti podľa kategórií, ktoré sa majú udeliť rybárskym plavidlám plaviacim sa pod vlajkou Seychel, ako aj</w:t>
      </w:r>
    </w:p>
    <w:p>
      <w:pPr>
        <w:pStyle w:val="Bullet1"/>
        <w:rPr>
          <w:noProof/>
        </w:rPr>
      </w:pPr>
      <w:r>
        <w:rPr>
          <w:noProof/>
        </w:rPr>
        <w:t>poplatky, ktoré musia platiť rybárske plavidlá plaviace sa pod vlajkou Seychel, aby získali oprávnenie na prístup do vôd a k morským biologickým zdrojom Únie vo výhradnej hospodárskej zóne pri pobreží Mayotte, a podmienky takýchto platieb.</w:t>
      </w:r>
    </w:p>
    <w:p>
      <w:pPr>
        <w:pStyle w:val="Tiret0"/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EÚ L167, 6.6.2014, s.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A4E79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3C8B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6AB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98665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C627A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225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2404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0F69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68362600"/>
    <w:multiLevelType w:val="singleLevel"/>
    <w:tmpl w:val="C1D21368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2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2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9-02 13:47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12F5F4E-7D2C-4810-8871-8DF0EF3C6DDB"/>
    <w:docVar w:name="LW_COVERPAGE_TYPE" w:val="1"/>
    <w:docVar w:name="LW_CROSSREFERENCE" w:val="&lt;UNUSED&gt;"/>
    <w:docVar w:name="LW_DocType" w:val="ANNEX"/>
    <w:docVar w:name="LW_EMISSION" w:val="9. 9. 2019"/>
    <w:docVar w:name="LW_EMISSION_ISODATE" w:val="2019-09-09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verení za\u269?a\u357? v mene Európskej únie rokovania o uzavretí dohody medzi Európskou úniou a Seychelskou republikou o prístupe rybárskych plavidiel plaviacich sa pod vlajkou Seychel do vôd Mayotte_x000b__x000b_"/>
    <w:docVar w:name="LW_OBJETACTEPRINCIPAL.CP" w:val="o poverení za\u269?a\u357? v mene Európskej únie rokovania o uzavretí dohody medzi Európskou úniou a Seychelskou republikou o prístupe rybárskych plavidiel plaviacich sa pod vlajkou Seychel do vôd Mayotte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40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odporú\u269?aniu na_x000b__x000b_ROZHODNUTIE RADY"/>
    <w:docVar w:name="LW_TYPEACTEPRINCIPAL.CP" w:val="odporú\u269?aniu na_x000b__x000b_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">
    <w:name w:val="Dash"/>
    <w:basedOn w:val="Normal"/>
    <w:pPr>
      <w:numPr>
        <w:numId w:val="2"/>
      </w:numPr>
      <w:spacing w:line="360" w:lineRule="auto"/>
      <w:jc w:val="left"/>
    </w:pPr>
    <w:rPr>
      <w:rFonts w:eastAsia="Times New Roman"/>
      <w:szCs w:val="24"/>
      <w:lang w:eastAsia="fr-BE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">
    <w:name w:val="Dash"/>
    <w:basedOn w:val="Normal"/>
    <w:pPr>
      <w:numPr>
        <w:numId w:val="2"/>
      </w:numPr>
      <w:spacing w:line="360" w:lineRule="auto"/>
      <w:jc w:val="left"/>
    </w:pPr>
    <w:rPr>
      <w:rFonts w:eastAsia="Times New Roman"/>
      <w:szCs w:val="24"/>
      <w:lang w:eastAsia="fr-BE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74768E-8069-4546-9B19-8A44F73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399</Words>
  <Characters>2445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Maria (MARE)</dc:creator>
  <cp:keywords/>
  <dc:description/>
  <cp:lastModifiedBy>DIGIT/C6</cp:lastModifiedBy>
  <cp:revision>9</cp:revision>
  <cp:lastPrinted>2019-07-08T09:34:00Z</cp:lastPrinted>
  <dcterms:created xsi:type="dcterms:W3CDTF">2019-07-24T09:40:00Z</dcterms:created>
  <dcterms:modified xsi:type="dcterms:W3CDTF">2019-09-02T11:47:00Z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