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F4CD1B2-EB90-4DB8-A513-BB9FFE8A5E42"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u w:color="000000"/>
          <w:bdr w:val="nil"/>
        </w:rPr>
        <w:t>•</w:t>
      </w:r>
      <w:r>
        <w:rPr>
          <w:noProof/>
          <w:u w:color="000000"/>
          <w:bdr w:val="nil"/>
        </w:rPr>
        <w:tab/>
      </w:r>
      <w:r>
        <w:rPr>
          <w:noProof/>
        </w:rPr>
        <w:t>Odůvodnění a cíle návrhu</w:t>
      </w:r>
    </w:p>
    <w:p>
      <w:pPr>
        <w:rPr>
          <w:rFonts w:eastAsia="Arial Unicode MS" w:cs="Arial Unicode MS"/>
          <w:noProof/>
          <w:color w:val="000000"/>
          <w:szCs w:val="24"/>
          <w:u w:color="000000"/>
          <w:bdr w:val="nil"/>
        </w:rPr>
      </w:pPr>
      <w:r>
        <w:rPr>
          <w:noProof/>
        </w:rPr>
        <w:t>Dne 29. března 2017 oznámilo Spojené království svůj záměr vystoupit z Unie podle článku 50 Smlouvy o Evropské unii (SEU). Na žádost Spojeného království schválila</w:t>
      </w:r>
      <w:r>
        <w:rPr>
          <w:rStyle w:val="FootnoteReference"/>
          <w:noProof/>
        </w:rPr>
        <w:footnoteReference w:id="1"/>
      </w:r>
      <w:r>
        <w:rPr>
          <w:noProof/>
        </w:rPr>
        <w:t xml:space="preserve"> Evropská rada (článek 50) dne 11. dubna 2019 další prodloužení</w:t>
      </w:r>
      <w:r>
        <w:rPr>
          <w:rStyle w:val="FootnoteReference"/>
          <w:noProof/>
          <w:u w:color="000000"/>
          <w:bdr w:val="nil"/>
        </w:rPr>
        <w:footnoteReference w:id="2"/>
      </w:r>
      <w:r>
        <w:rPr>
          <w:noProof/>
        </w:rPr>
        <w:t xml:space="preserve"> lhůty uvedené v čl. 50 odst. 3 SEU </w:t>
      </w:r>
      <w:r>
        <w:rPr>
          <w:noProof/>
          <w:u w:color="000000"/>
          <w:bdr w:val="nil"/>
        </w:rPr>
        <w:t>do dne 31. října 2019. Pokud Spojené království neratifikuje dohodu o vystoupení</w:t>
      </w:r>
      <w:r>
        <w:rPr>
          <w:rStyle w:val="FootnoteReference"/>
          <w:noProof/>
          <w:u w:color="000000"/>
          <w:bdr w:val="nil"/>
        </w:rPr>
        <w:footnoteReference w:id="3"/>
      </w:r>
      <w:r>
        <w:rPr>
          <w:noProof/>
          <w:u w:color="000000"/>
          <w:bdr w:val="nil"/>
        </w:rPr>
        <w:t xml:space="preserve"> do 31. října 2019 nebo nepožádá o třetí prodloužení, které Evropská rada (článek 50) jednomyslně schválí, skončí lhůta podle čl. 50 odst. 3 SEU k tomuto datu. Spojené království bude od 1. listopadu 2019 třetí zemí bez dohody zajišťující spořádané vystoupení. Komise se i nadále domnívá, že řádné vystoupení Spojeného království z Unie na základě dohody o vystoupení je nejlepším řešením.</w:t>
      </w:r>
    </w:p>
    <w:p>
      <w:pPr>
        <w:rPr>
          <w:noProof/>
        </w:rPr>
      </w:pPr>
      <w:r>
        <w:rPr>
          <w:noProof/>
        </w:rPr>
        <w:t>Ve sdělení Komise ze dne 12. června 2019 „Aktuální stav příprav alternativních opatření týkajících se vystoupení Spojeného království z Evropské unie“</w:t>
      </w:r>
      <w:r>
        <w:rPr>
          <w:rStyle w:val="FootnoteReference"/>
          <w:noProof/>
        </w:rPr>
        <w:footnoteReference w:id="4"/>
      </w:r>
      <w:r>
        <w:rPr>
          <w:noProof/>
        </w:rPr>
        <w:t xml:space="preserve"> dospěla Komise k závěru, že veškerá opatření v oblasti připravenosti a alternativních opatření na úrovni EU jsou stále vhodná pro daný účel. Je však zřejmé, že prodloužení čl. 50 odst. 3 SEU do 31. října 2019 má dopad na některá již přijatá alternativní opatření. To se týká zejména alternativních opatření s pevně stanoveným datem ukončení jejich použitelnosti, jako je nařízení (EU) 2019/498. Ve sdělení se Komise zavázala zvážit, zda tyto akty potřebují technické úpravy, aby se zohlednil nový harmonogram vystoupení Spojeného království z Evropské unie.</w:t>
      </w:r>
    </w:p>
    <w:p>
      <w:pPr>
        <w:pBdr>
          <w:top w:val="nil"/>
          <w:left w:val="nil"/>
          <w:bottom w:val="nil"/>
          <w:right w:val="nil"/>
          <w:between w:val="nil"/>
          <w:bar w:val="nil"/>
        </w:pBdr>
        <w:rPr>
          <w:noProof/>
        </w:rPr>
      </w:pPr>
      <w:r>
        <w:rPr>
          <w:noProof/>
        </w:rPr>
        <w:t>Nařízení (EU) 2019/498</w:t>
      </w:r>
      <w:r>
        <w:rPr>
          <w:rStyle w:val="FootnoteReference"/>
          <w:noProof/>
        </w:rPr>
        <w:footnoteReference w:id="5"/>
      </w:r>
      <w:r>
        <w:rPr>
          <w:noProof/>
        </w:rPr>
        <w:t>, kterým se mění nařízení (EU) 2017/2403</w:t>
      </w:r>
      <w:r>
        <w:rPr>
          <w:rStyle w:val="FootnoteReference"/>
          <w:noProof/>
        </w:rPr>
        <w:footnoteReference w:id="6"/>
      </w:r>
      <w:r>
        <w:rPr>
          <w:noProof/>
        </w:rPr>
        <w:t xml:space="preserve">, bylo přijato v březnu 2019 s datem použitelnosti do 31. prosince 2019. Poskytuje zjednodušený právní rámec, který Unii umožňuje udělovat plavidlům Spojeného království povolení ke vstupu do vod Unie a spravovat žádosti o povolení pro plavidla EU vplouvající do vod Spojeného království za předpokladu, že budou přístupová práva na základě vzájemnosti do vod potvrzena a budou v souladu s platnými pravidly pro rybolovná práva. </w:t>
      </w:r>
    </w:p>
    <w:p>
      <w:pPr>
        <w:pBdr>
          <w:top w:val="nil"/>
          <w:left w:val="nil"/>
          <w:bottom w:val="nil"/>
          <w:right w:val="nil"/>
          <w:between w:val="nil"/>
          <w:bar w:val="nil"/>
        </w:pBdr>
        <w:rPr>
          <w:noProof/>
        </w:rPr>
      </w:pPr>
      <w:r>
        <w:rPr>
          <w:noProof/>
        </w:rPr>
        <w:t xml:space="preserve">Tento dočasný rámec je pro rok 2020 i nadále nezbytný, neboť neexistuje dohoda o rybolovu mezi Unií a Spojeným královstvím v jeho novém statusu třetí země, jakož i s ohledem na skutečnost, že Spojené království nebude součástí rozhodování Unie nad rámec návrhu Komise týkajícího se rybolovných práv (plánovaného na říjen 2019), pokud Spojené království nepožádá o nové prodloužení podle čl. 50 odst. 3, které by schválila Evropská rada (článek 50). Rovněž je nezbytné připomenout, že vzájemná přístupová práva vyžadují, aby rybolovné činnosti byly udržitelné v souladu s cíli společné rybářské politiky (SRP). Pro rok 2019 a u populací hlubinných druhů ryb rovněž pro rok 2020 byla rybolovná práva stanovena </w:t>
      </w:r>
      <w:r>
        <w:rPr>
          <w:noProof/>
        </w:rPr>
        <w:lastRenderedPageBreak/>
        <w:t>v roce 2018, kdy bylo Spojené království stále členem Evropské unie</w:t>
      </w:r>
      <w:r>
        <w:rPr>
          <w:rStyle w:val="FootnoteReference"/>
          <w:noProof/>
        </w:rPr>
        <w:footnoteReference w:id="7"/>
      </w:r>
      <w:r>
        <w:rPr>
          <w:noProof/>
        </w:rPr>
        <w:t xml:space="preserve">. Tato ujednání a rybolovná práva zde stanovená poskytují základ pro udržitelné rybolovné operace, jak je stanoveno v nařízení (EU) 2019/498 prostřednictvím změny článku 38b nařízení (EU) 2019/498. </w:t>
      </w:r>
    </w:p>
    <w:p>
      <w:pPr>
        <w:rPr>
          <w:noProof/>
          <w:szCs w:val="24"/>
        </w:rPr>
      </w:pPr>
      <w:r>
        <w:rPr>
          <w:noProof/>
        </w:rPr>
        <w:t>Spojené království a Unie jsou podle mezinárodního práva</w:t>
      </w:r>
      <w:r>
        <w:rPr>
          <w:rStyle w:val="FootnoteReference"/>
          <w:noProof/>
        </w:rPr>
        <w:footnoteReference w:id="8"/>
      </w:r>
      <w:r>
        <w:rPr>
          <w:noProof/>
        </w:rPr>
        <w:t xml:space="preserve"> a práva Unie povinny zajistit prostřednictvím řádných opatření na zachování a řízení, aby biologické mořské zdroje byly zachovány na úrovních, na kterých nejsou ohroženy nadměrným rybolovem.</w:t>
      </w:r>
    </w:p>
    <w:p>
      <w:pPr>
        <w:rPr>
          <w:noProof/>
          <w:szCs w:val="24"/>
        </w:rPr>
      </w:pPr>
      <w:r>
        <w:rPr>
          <w:noProof/>
        </w:rPr>
        <w:t>Rada stanoví rybolovná práva Unie na základě návrhu Komise v souladu s nařízením (EU) č. 1380/2013, jakož i na základě kritérií a parametrů stanovených v platných plánech řízení.</w:t>
      </w:r>
    </w:p>
    <w:p>
      <w:pPr>
        <w:rPr>
          <w:noProof/>
          <w:szCs w:val="24"/>
        </w:rPr>
      </w:pPr>
      <w:r>
        <w:rPr>
          <w:noProof/>
        </w:rPr>
        <w:t>V souladu s čl. 33 odst. 1 nařízení (EU) č. 1380/2013</w:t>
      </w:r>
      <w:r>
        <w:rPr>
          <w:rStyle w:val="FootnoteReference"/>
          <w:noProof/>
        </w:rPr>
        <w:footnoteReference w:id="9"/>
      </w:r>
      <w:r>
        <w:rPr>
          <w:noProof/>
        </w:rPr>
        <w:t xml:space="preserve"> se stanoví, že není-li s třetí zemí dosaženo formální dohody, Unie by měla vynaložit veškeré úsilí k dosažení společných ujednání o rybolovu těchto populací s cílem umožnit udržitelné řízení.</w:t>
      </w:r>
    </w:p>
    <w:p>
      <w:pPr>
        <w:rPr>
          <w:noProof/>
          <w:szCs w:val="24"/>
        </w:rPr>
      </w:pPr>
      <w:r>
        <w:rPr>
          <w:noProof/>
        </w:rPr>
        <w:t xml:space="preserve">Existují proto dvě možnosti, jak stanovit, že společné rybolovné činnosti EU a Spojeného království budou udržitelné pro rok 2020. Zaprvé, do nařízení o rybolovných právech pro rok 2020 by se mohla promítnout případná společná ujednání mezi Spojeným královstvím a Unií týkající se rybolovných práv pro příslušné populace jako výsledek konzultací a za předpokladu, že opatření na řízení uplatňovaná Spojeným královstvím a Unií zaručí udržitelné řízení populací. </w:t>
      </w:r>
    </w:p>
    <w:p>
      <w:pPr>
        <w:rPr>
          <w:noProof/>
        </w:rPr>
      </w:pPr>
      <w:r>
        <w:rPr>
          <w:noProof/>
        </w:rPr>
        <w:t>Zadruhé, pokud by Spojené království a Unie nemohly uzavřít taková společná ujednání (např. prostřednictvím dohodnutého záznamu) včas, tak aby mohla být začleněna do nařízení o rybolovných právech pro rok 2020, a to z důvodu krátké doby mezi vystoupením Spojeného království z Unie dne 1. listopadu 2019 a prosincovou Radou ministrů pro rybolov, stanoví Rada roční rybolovná práva na rok 2020 pro Unii. Jakmile Spojené království stanoví svá rybolovná práva pro rok 2020, bude možné posoudit, zda kombinovaná rybolovná práva splňují podmínky pro udržitelné řízení příslušných populací.</w:t>
      </w:r>
    </w:p>
    <w:p>
      <w:pPr>
        <w:rPr>
          <w:noProof/>
        </w:rPr>
      </w:pPr>
      <w:r>
        <w:rPr>
          <w:noProof/>
        </w:rPr>
        <w:t>Neexistence společného ujednání tedy jako taková nebrání Spojenému království a Unii umožnit vzájemný přístup do svých vod. V takovém případě by obě strany mohly vydávat oprávnění k rybolovu plavidlům druhé strany za předpokladu, že Spojené království a Unie budou plnit podmínky udržitelného řízení rybolovných práv.</w:t>
      </w:r>
    </w:p>
    <w:p>
      <w:pPr>
        <w:rPr>
          <w:noProof/>
          <w:szCs w:val="24"/>
        </w:rPr>
      </w:pPr>
      <w:r>
        <w:rPr>
          <w:noProof/>
        </w:rPr>
        <w:t xml:space="preserve">Pro populace ryb, na které se vztahuje společná rybářská politika, je cíl udržitelného řízení v souladu s maximálními udržitelnými výnosy zohledněn v čl. 2 odst. 2 společné rybářské </w:t>
      </w:r>
      <w:r>
        <w:rPr>
          <w:noProof/>
        </w:rPr>
        <w:lastRenderedPageBreak/>
        <w:t>politiky (nařízení (EU) č. 1380/2013 a v příslušných nařízeních o víceletých plánech pro Severní moře (nařízení (EU) 2018/973</w:t>
      </w:r>
      <w:r>
        <w:rPr>
          <w:rStyle w:val="FootnoteReference"/>
          <w:noProof/>
        </w:rPr>
        <w:footnoteReference w:id="10"/>
      </w:r>
      <w:r>
        <w:rPr>
          <w:noProof/>
        </w:rPr>
        <w:t>) a pro západní vody (nařízení (EU) 2019/472</w:t>
      </w:r>
      <w:r>
        <w:rPr>
          <w:rStyle w:val="FootnoteReference"/>
          <w:noProof/>
        </w:rPr>
        <w:footnoteReference w:id="11"/>
      </w:r>
      <w:r>
        <w:rPr>
          <w:noProof/>
        </w:rPr>
        <w:t xml:space="preserve">). </w:t>
      </w:r>
    </w:p>
    <w:p>
      <w:pPr>
        <w:rPr>
          <w:noProof/>
          <w:szCs w:val="24"/>
        </w:rPr>
      </w:pPr>
      <w:r>
        <w:rPr>
          <w:noProof/>
        </w:rPr>
        <w:t xml:space="preserve">Posouzení podmínky udržitelnosti pro vydávání oprávnění k rybolovu pro plavidla Spojeného království podle nařízení (EU) 2017/2403 v platném znění bude provedeno v souladu s ustanoveními hlavy IIIa, zejména článků 38b a 38c. Bude založeno buď na rybolovných právech dohodnutých v rámci společného ujednání mezi Evropskou unií a Spojeným královstvím a následně začleněno do nařízení Rady, kterými se stanoví rybolovná práva pro rok 2020, nebo, v případě neexistence takového společného ujednání, na rybolovných právech stanovených Evropskou unií v nařízeních Rady o rybolovných právech a s ohledem na rybolovná práva stanovená Spojeným královstvím. </w:t>
      </w:r>
    </w:p>
    <w:p>
      <w:pPr>
        <w:rPr>
          <w:noProof/>
          <w:szCs w:val="24"/>
        </w:rPr>
      </w:pPr>
      <w:r>
        <w:rPr>
          <w:noProof/>
        </w:rPr>
        <w:t>V případě populací, které nejsou regulovány kvótami, bude posouzení udržitelnosti vycházet z nejlepšího dostupného vědeckého poradenství pro tyto populace s ohledem na závazné právní předpisy Unie.</w:t>
      </w:r>
    </w:p>
    <w:p>
      <w:pPr>
        <w:rPr>
          <w:noProof/>
          <w:szCs w:val="24"/>
        </w:rPr>
      </w:pPr>
      <w:r>
        <w:rPr>
          <w:noProof/>
        </w:rPr>
        <w:t>S cílem zajistit trvalé plnění podmínek udržitelnosti by si Spojené království a Unie měly v příslušných případech vyměňovat nezbytné informace týkající se využívání a vyčerpání rybolovných práv ve svých vodách.</w:t>
      </w:r>
    </w:p>
    <w:p>
      <w:pPr>
        <w:spacing w:after="240"/>
        <w:rPr>
          <w:noProof/>
          <w:szCs w:val="24"/>
        </w:rPr>
      </w:pPr>
      <w:r>
        <w:rPr>
          <w:noProof/>
        </w:rPr>
        <w:t xml:space="preserve">Dojde-li k zajištění udržitelného řízení příslušných populací, je vzhledem k významu rybolovu pro hospodářskou obživu mnoha pobřežních společenství důležité, aby Spojené království a Unie i nadále ponechaly v platnosti ujednání pro trvalý přístup rybolovných plavidel do svých vod v roce 2020. </w:t>
      </w:r>
    </w:p>
    <w:p>
      <w:pPr>
        <w:spacing w:after="240"/>
        <w:rPr>
          <w:rFonts w:eastAsia="Times New Roman"/>
          <w:noProof/>
          <w:szCs w:val="24"/>
        </w:rPr>
      </w:pPr>
      <w:r>
        <w:rPr>
          <w:noProof/>
        </w:rPr>
        <w:t>Uplatňování všech opatření týkajících se rybolovných operací stanovených v alternativních opatřeních podle nařízení (EU) 2019/498 by proto mělo být rozšířeno na rok 2020 a nařízení (EU) 2017/2403 by mělo být odpovídajícím způsobem změněno.</w:t>
      </w:r>
    </w:p>
    <w:p>
      <w:pPr>
        <w:pStyle w:val="ManualHeading2"/>
        <w:rPr>
          <w:rFonts w:eastAsia="Arial Unicode MS"/>
          <w:noProof/>
          <w:u w:color="000000"/>
          <w:bdr w:val="nil"/>
        </w:rPr>
      </w:pPr>
      <w:r>
        <w:rPr>
          <w:noProof/>
          <w:u w:color="000000"/>
          <w:bdr w:val="nil"/>
        </w:rPr>
        <w:t>•</w:t>
      </w:r>
      <w:r>
        <w:rPr>
          <w:noProof/>
          <w:u w:color="000000"/>
          <w:bdr w:val="nil"/>
        </w:rPr>
        <w:tab/>
      </w:r>
      <w:r>
        <w:rPr>
          <w:noProof/>
        </w:rPr>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Tento návrh představuje omezenou změnu nařízení (EU) 2017/2403, kterou se prodlužuje doba uplatňování alternativních opatření stanovených v nařízení (EU) 2019/498 tak, aby se vztahovala na rok 2020. Podstatná ustanovení pozměněného nařízení se budou uplatňovat i nadále. Tento návrh je tudíž plně v souladu se stávajícími právními předpisy.</w:t>
      </w:r>
    </w:p>
    <w:p>
      <w:pPr>
        <w:pStyle w:val="ManualHeading2"/>
        <w:rPr>
          <w:rFonts w:eastAsia="Arial Unicode MS"/>
          <w:noProof/>
        </w:rPr>
      </w:pPr>
      <w:r>
        <w:rPr>
          <w:noProof/>
          <w:u w:color="000000"/>
          <w:bdr w:val="nil"/>
        </w:rPr>
        <w:t>•</w:t>
      </w:r>
      <w:r>
        <w:rPr>
          <w:noProof/>
          <w:u w:color="000000"/>
          <w:bdr w:val="nil"/>
        </w:rPr>
        <w:tab/>
      </w:r>
      <w:r>
        <w:rPr>
          <w:noProof/>
        </w:rPr>
        <w:t>Soulad s ostatními politikami Unie</w:t>
      </w:r>
    </w:p>
    <w:p>
      <w:pPr>
        <w:pBdr>
          <w:top w:val="nil"/>
          <w:left w:val="nil"/>
          <w:bottom w:val="nil"/>
          <w:right w:val="nil"/>
          <w:between w:val="nil"/>
          <w:bar w:val="nil"/>
        </w:pBdr>
        <w:spacing w:before="0" w:after="240"/>
        <w:rPr>
          <w:rFonts w:eastAsia="Arial Unicode MS"/>
          <w:noProof/>
        </w:rPr>
      </w:pPr>
      <w:r>
        <w:rPr>
          <w:noProof/>
        </w:rPr>
        <w:t>Tento návrh tvoří součást příprav Unie a jejího alternativního plánu ke zmírnění nejzávažnějších dopadů vystoupení Spojeného království z Unie bez dohody o vystoupení.</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Právní základ</w:t>
      </w:r>
    </w:p>
    <w:p>
      <w:pPr>
        <w:pBdr>
          <w:top w:val="nil"/>
          <w:left w:val="nil"/>
          <w:bottom w:val="nil"/>
          <w:right w:val="nil"/>
          <w:between w:val="nil"/>
          <w:bar w:val="nil"/>
        </w:pBdr>
        <w:spacing w:before="0" w:after="240"/>
        <w:rPr>
          <w:rFonts w:eastAsia="Arial Unicode MS"/>
          <w:noProof/>
        </w:rPr>
      </w:pPr>
      <w:r>
        <w:rPr>
          <w:noProof/>
        </w:rPr>
        <w:t xml:space="preserve">Právním základem je čl. 43 odst. 2 Smlouvy o fungování Evropské unie. </w:t>
      </w:r>
    </w:p>
    <w:p>
      <w:pPr>
        <w:pStyle w:val="ManualHeading2"/>
        <w:rPr>
          <w:rFonts w:eastAsia="Arial Unicode MS"/>
          <w:noProof/>
          <w:u w:color="000000"/>
          <w:bdr w:val="nil"/>
        </w:rPr>
      </w:pPr>
      <w:r>
        <w:rPr>
          <w:noProof/>
          <w:u w:color="000000"/>
          <w:bdr w:val="nil"/>
        </w:rPr>
        <w:lastRenderedPageBreak/>
        <w:t>•</w:t>
      </w:r>
      <w:r>
        <w:rPr>
          <w:noProof/>
          <w:u w:color="000000"/>
          <w:bdr w:val="nil"/>
        </w:rPr>
        <w:tab/>
        <w:t xml:space="preserve">Subsidiarita (v případě nevýlučné pravomoci) </w:t>
      </w:r>
    </w:p>
    <w:p>
      <w:pPr>
        <w:spacing w:before="0" w:after="200"/>
        <w:rPr>
          <w:noProof/>
          <w:sz w:val="22"/>
        </w:rPr>
      </w:pPr>
      <w:r>
        <w:rPr>
          <w:noProof/>
        </w:rPr>
        <w:t>Společná rybářská politika je podle čl. 3 písm. d) Smlouvy oblastí výlučné pravomoci EU, a proto se zásada subsidiarity nepoužije.</w:t>
      </w:r>
      <w:r>
        <w:rPr>
          <w:noProof/>
          <w:sz w:val="22"/>
        </w:rPr>
        <w:t xml:space="preserve"> </w:t>
      </w:r>
    </w:p>
    <w:p>
      <w:pPr>
        <w:spacing w:before="0" w:after="200"/>
        <w:rPr>
          <w:noProof/>
          <w:szCs w:val="24"/>
        </w:rPr>
      </w:pPr>
      <w:r>
        <w:rPr>
          <w:noProof/>
        </w:rPr>
        <w:t>Navrhovaný akt by změnil unijní nařízení (EU) 2017/2403 pro rok 2020 s cílem poskytnout právní základ v právu Unie, aby plavidla Spojeného království mohla provádět rybolovné činnosti ve vodách Unie a aby byly zavedeny zjednodušené a účinnější postupy udělování oprávnění plavidlům EU, která zamýšlejí lovit ve vodách Spojeného království. Opatření je proto nezbytné na úrovni Unie a nelze jej dosáhnout prostřednictvím opatření na úrovni členských států z důvodu výlučné pravomoci Unie.</w:t>
      </w:r>
    </w:p>
    <w:p>
      <w:pPr>
        <w:pStyle w:val="ManualHeading2"/>
        <w:rPr>
          <w:rFonts w:eastAsia="Arial Unicode MS"/>
          <w:noProof/>
          <w:u w:color="000000"/>
          <w:bdr w:val="nil"/>
        </w:rPr>
      </w:pPr>
      <w:r>
        <w:rPr>
          <w:noProof/>
          <w:u w:color="000000"/>
          <w:bdr w:val="nil"/>
        </w:rPr>
        <w:t>•</w:t>
      </w:r>
      <w:r>
        <w:rPr>
          <w:noProof/>
          <w:u w:color="000000"/>
          <w:bdr w:val="nil"/>
        </w:rPr>
        <w:tab/>
        <w:t>Proporcionalita</w:t>
      </w:r>
    </w:p>
    <w:p>
      <w:pPr>
        <w:pBdr>
          <w:top w:val="nil"/>
          <w:left w:val="nil"/>
          <w:bottom w:val="nil"/>
          <w:right w:val="nil"/>
          <w:between w:val="nil"/>
          <w:bar w:val="nil"/>
        </w:pBdr>
        <w:spacing w:before="0" w:after="240"/>
        <w:rPr>
          <w:rFonts w:eastAsia="Arial Unicode MS"/>
          <w:noProof/>
          <w:sz w:val="22"/>
        </w:rPr>
      </w:pPr>
      <w:r>
        <w:rPr>
          <w:noProof/>
        </w:rPr>
        <w:t>Návrh je v souladu se zásadou proporcionality. Navrhované nařízení se považuje za přiměřené, neboť má docílit toho, aby status quo týkající se přístupu rybářských plavidel Unie do vod Spojeného království mohl být usnadněn stanovením recipročních podmínek oprávnění. Tím se předejde závažným narušením a zpožděním v postupech udělování oprávnění. Navrhované nařízení rovněž navazuje na praxi výměny kvót se Spojeným královstvím, jak tomu bylo v době jeho členství v Unii.</w:t>
      </w:r>
      <w:r>
        <w:rPr>
          <w:noProof/>
          <w:sz w:val="22"/>
        </w:rPr>
        <w:t xml:space="preserve"> </w:t>
      </w:r>
    </w:p>
    <w:p>
      <w:pPr>
        <w:pStyle w:val="ManualHeading2"/>
        <w:rPr>
          <w:rFonts w:eastAsia="Arial Unicode MS"/>
          <w:noProof/>
          <w:u w:color="000000"/>
          <w:bdr w:val="nil"/>
        </w:rPr>
      </w:pPr>
      <w:r>
        <w:rPr>
          <w:noProof/>
          <w:u w:color="000000"/>
          <w:bdr w:val="nil"/>
        </w:rPr>
        <w:t>•</w:t>
      </w:r>
      <w:r>
        <w:rPr>
          <w:noProof/>
          <w:u w:color="000000"/>
          <w:bdr w:val="nil"/>
        </w:rPr>
        <w:tab/>
        <w:t>Volba nástroje</w:t>
      </w:r>
    </w:p>
    <w:p>
      <w:pPr>
        <w:pBdr>
          <w:top w:val="nil"/>
          <w:left w:val="nil"/>
          <w:bottom w:val="nil"/>
          <w:right w:val="nil"/>
          <w:between w:val="nil"/>
          <w:bar w:val="nil"/>
        </w:pBdr>
        <w:spacing w:after="240"/>
        <w:rPr>
          <w:rFonts w:eastAsia="Arial Unicode MS"/>
          <w:noProof/>
        </w:rPr>
      </w:pPr>
      <w:r>
        <w:rPr>
          <w:noProof/>
        </w:rPr>
        <w:t xml:space="preserve">Tento akt představuje změnu nařízení. </w:t>
      </w:r>
    </w:p>
    <w:p>
      <w:pPr>
        <w:pStyle w:val="ManualHeading1"/>
        <w:rPr>
          <w:noProof/>
        </w:rPr>
      </w:pPr>
      <w:r>
        <w:rPr>
          <w:noProof/>
        </w:rPr>
        <w:t>3.</w:t>
      </w:r>
      <w:r>
        <w:rPr>
          <w:noProof/>
        </w:rPr>
        <w:tab/>
        <w:t>VÝSLEDKY HODNOCENÍ EX POST, KONZULTACÍ SE ZÚČASTNĚNÝMI STRANAMI A POSOUZENÍ DOPADŮ</w:t>
      </w:r>
    </w:p>
    <w:p>
      <w:pPr>
        <w:pStyle w:val="ManualHeading2"/>
        <w:rPr>
          <w:rFonts w:eastAsia="Arial Unicode MS"/>
          <w:noProof/>
          <w:u w:color="000000"/>
          <w:bdr w:val="nil"/>
        </w:rPr>
      </w:pPr>
      <w:r>
        <w:rPr>
          <w:noProof/>
          <w:u w:color="000000"/>
          <w:bdr w:val="nil"/>
        </w:rPr>
        <w:t>•</w:t>
      </w:r>
      <w:r>
        <w:rPr>
          <w:noProof/>
          <w:u w:color="000000"/>
          <w:bdr w:val="nil"/>
        </w:rPr>
        <w:tab/>
        <w:t>Hodnocení ex post / kontroly účelnosti platných právních předpisů</w:t>
      </w:r>
    </w:p>
    <w:p>
      <w:pPr>
        <w:pBdr>
          <w:top w:val="nil"/>
          <w:left w:val="nil"/>
          <w:bottom w:val="nil"/>
          <w:right w:val="nil"/>
          <w:between w:val="nil"/>
          <w:bar w:val="nil"/>
        </w:pBdr>
        <w:spacing w:after="240"/>
        <w:rPr>
          <w:rFonts w:eastAsia="Arial Unicode MS"/>
          <w:noProof/>
        </w:rPr>
      </w:pPr>
      <w:r>
        <w:rPr>
          <w:noProof/>
        </w:rPr>
        <w:t xml:space="preserve">Nepoužije se vzhledem k výjimečné, dočasné a jednorázové povaze události, která vyvolala tento návrh a jež se nevztahuje k cílům stávajících právních předpisů. </w:t>
      </w:r>
    </w:p>
    <w:p>
      <w:pPr>
        <w:pStyle w:val="ManualHeading2"/>
        <w:rPr>
          <w:rFonts w:eastAsia="Arial Unicode MS"/>
          <w:noProof/>
          <w:u w:color="000000"/>
          <w:bdr w:val="nil"/>
        </w:rPr>
      </w:pPr>
      <w:r>
        <w:rPr>
          <w:noProof/>
          <w:u w:color="000000"/>
          <w:bdr w:val="nil"/>
        </w:rPr>
        <w:t>•</w:t>
      </w:r>
      <w:r>
        <w:rPr>
          <w:noProof/>
          <w:u w:color="000000"/>
          <w:bdr w:val="nil"/>
        </w:rPr>
        <w:tab/>
        <w:t>Konzultace se zúčastněnými stranami</w:t>
      </w:r>
    </w:p>
    <w:p>
      <w:pPr>
        <w:pBdr>
          <w:top w:val="nil"/>
          <w:left w:val="nil"/>
          <w:bottom w:val="nil"/>
          <w:right w:val="nil"/>
          <w:between w:val="nil"/>
          <w:bar w:val="nil"/>
        </w:pBdr>
        <w:spacing w:after="240"/>
        <w:rPr>
          <w:rFonts w:eastAsia="Arial Unicode MS"/>
          <w:noProof/>
        </w:rPr>
      </w:pPr>
      <w:r>
        <w:rPr>
          <w:noProof/>
        </w:rPr>
        <w:t xml:space="preserve">Na problémy spojené s vystoupením Spojeného království z Unie upozornily a možná řešení navrhly různé zúčastněné subjekty v oblasti rybolovu a zástupci členských států. Všechny hospodářské subjekty, zúčastněné subjekty a dotčené členské státy zdůraznily potřebu zajistit udržitelné rybolovné činnosti. </w:t>
      </w:r>
    </w:p>
    <w:p>
      <w:pPr>
        <w:pStyle w:val="ManualHeading2"/>
        <w:rPr>
          <w:rFonts w:eastAsia="Arial Unicode MS"/>
          <w:noProof/>
          <w:u w:color="000000"/>
          <w:bdr w:val="nil"/>
        </w:rPr>
      </w:pPr>
      <w:r>
        <w:rPr>
          <w:noProof/>
          <w:u w:color="000000"/>
          <w:bdr w:val="nil"/>
        </w:rPr>
        <w:t>•</w:t>
      </w:r>
      <w:r>
        <w:rPr>
          <w:noProof/>
          <w:u w:color="000000"/>
          <w:bdr w:val="nil"/>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Není použitelné</w:t>
      </w:r>
    </w:p>
    <w:p>
      <w:pPr>
        <w:pStyle w:val="ManualHeading2"/>
        <w:rPr>
          <w:rFonts w:eastAsia="Arial Unicode MS"/>
          <w:noProof/>
          <w:u w:color="000000"/>
          <w:bdr w:val="nil"/>
        </w:rPr>
      </w:pPr>
      <w:r>
        <w:rPr>
          <w:noProof/>
          <w:u w:color="000000"/>
          <w:bdr w:val="nil"/>
        </w:rPr>
        <w:t>•</w:t>
      </w:r>
      <w:r>
        <w:rPr>
          <w:noProof/>
          <w:u w:color="000000"/>
          <w:bdr w:val="nil"/>
        </w:rPr>
        <w:tab/>
        <w:t>Posouzení dopadů</w:t>
      </w:r>
    </w:p>
    <w:p>
      <w:pPr>
        <w:pStyle w:val="Text1"/>
        <w:ind w:left="0"/>
        <w:jc w:val="left"/>
        <w:rPr>
          <w:noProof/>
        </w:rPr>
      </w:pPr>
      <w:r>
        <w:rPr>
          <w:noProof/>
        </w:rPr>
        <w:t xml:space="preserve">Posouzení dopadů není nutné vzhledem k výjimečné povaze této situace a omezeným potřebám v období, v němž změna statusu Spojeného království probíhá. Jiné věcné ani právní možnosti než navrhovaná možnost nejsou k dispozici. </w:t>
      </w:r>
    </w:p>
    <w:p>
      <w:pPr>
        <w:pStyle w:val="ManualHeading2"/>
        <w:tabs>
          <w:tab w:val="clear" w:pos="850"/>
          <w:tab w:val="left" w:pos="0"/>
        </w:tabs>
        <w:ind w:left="0" w:firstLine="0"/>
        <w:rPr>
          <w:rFonts w:eastAsia="Arial Unicode MS"/>
          <w:noProof/>
          <w:u w:color="000000"/>
          <w:bdr w:val="nil"/>
        </w:rPr>
      </w:pPr>
      <w:r>
        <w:rPr>
          <w:noProof/>
          <w:u w:color="000000"/>
          <w:bdr w:val="nil"/>
        </w:rPr>
        <w:t>•</w:t>
      </w:r>
      <w:r>
        <w:rPr>
          <w:noProof/>
          <w:u w:color="000000"/>
          <w:bdr w:val="nil"/>
        </w:rPr>
        <w:tab/>
        <w:t>Účelnost právních předpisů a zjednodušení</w:t>
      </w:r>
    </w:p>
    <w:p>
      <w:pPr>
        <w:pBdr>
          <w:top w:val="nil"/>
          <w:left w:val="nil"/>
          <w:bottom w:val="nil"/>
          <w:right w:val="nil"/>
          <w:between w:val="nil"/>
          <w:bar w:val="nil"/>
        </w:pBdr>
        <w:spacing w:before="0" w:after="240"/>
        <w:rPr>
          <w:rFonts w:eastAsia="Arial Unicode MS"/>
          <w:noProof/>
        </w:rPr>
      </w:pPr>
      <w:r>
        <w:rPr>
          <w:noProof/>
        </w:rPr>
        <w:t>Není použitelné</w:t>
      </w:r>
    </w:p>
    <w:p>
      <w:pPr>
        <w:pStyle w:val="ManualHeading2"/>
        <w:rPr>
          <w:rFonts w:eastAsia="Arial Unicode MS"/>
          <w:noProof/>
          <w:u w:color="000000"/>
          <w:bdr w:val="nil"/>
        </w:rPr>
      </w:pPr>
      <w:r>
        <w:rPr>
          <w:noProof/>
          <w:u w:color="000000"/>
          <w:bdr w:val="nil"/>
        </w:rPr>
        <w:t>•</w:t>
      </w:r>
      <w:r>
        <w:rPr>
          <w:noProof/>
          <w:u w:color="000000"/>
          <w:bdr w:val="nil"/>
        </w:rPr>
        <w:tab/>
        <w:t>Základní práva</w:t>
      </w:r>
    </w:p>
    <w:p>
      <w:pPr>
        <w:pBdr>
          <w:top w:val="nil"/>
          <w:left w:val="nil"/>
          <w:bottom w:val="nil"/>
          <w:right w:val="nil"/>
          <w:between w:val="nil"/>
          <w:bar w:val="nil"/>
        </w:pBdr>
        <w:spacing w:after="240"/>
        <w:rPr>
          <w:rFonts w:eastAsia="Arial Unicode MS"/>
          <w:noProof/>
        </w:rPr>
      </w:pPr>
      <w:r>
        <w:rPr>
          <w:noProof/>
        </w:rPr>
        <w:t>Tento návrh nemá žádné důsledky z hlediska ochrany základních práv.</w:t>
      </w:r>
    </w:p>
    <w:p>
      <w:pPr>
        <w:pStyle w:val="ManualHeading1"/>
        <w:rPr>
          <w:noProof/>
        </w:rPr>
      </w:pPr>
      <w:r>
        <w:rPr>
          <w:noProof/>
        </w:rPr>
        <w:lastRenderedPageBreak/>
        <w:t>4.</w:t>
      </w:r>
      <w:r>
        <w:rPr>
          <w:noProof/>
        </w:rPr>
        <w:tab/>
        <w:t>ROZPOČTOVÉ DŮSLEDKY</w:t>
      </w:r>
    </w:p>
    <w:p>
      <w:pPr>
        <w:rPr>
          <w:noProof/>
        </w:rPr>
      </w:pPr>
      <w:r>
        <w:rPr>
          <w:noProof/>
        </w:rPr>
        <w:t>Návrh nemá žádné rozpočtové důsledky.</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u w:color="000000"/>
          <w:bdr w:val="nil"/>
        </w:rPr>
        <w:t>•</w:t>
      </w:r>
      <w:r>
        <w:rPr>
          <w:noProof/>
          <w:u w:color="000000"/>
          <w:bdr w:val="nil"/>
        </w:rPr>
        <w:tab/>
        <w:t>Plány provádění a způsoby monitorování, hodnocení a podávání zpráv</w:t>
      </w:r>
    </w:p>
    <w:p>
      <w:pPr>
        <w:pBdr>
          <w:top w:val="nil"/>
          <w:left w:val="nil"/>
          <w:bottom w:val="nil"/>
          <w:right w:val="nil"/>
          <w:between w:val="nil"/>
          <w:bar w:val="nil"/>
        </w:pBdr>
        <w:spacing w:before="0" w:after="240"/>
        <w:rPr>
          <w:rFonts w:eastAsia="Arial Unicode MS"/>
          <w:noProof/>
        </w:rPr>
      </w:pPr>
      <w:r>
        <w:rPr>
          <w:noProof/>
        </w:rPr>
        <w:t>Není použitelné</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2019/0187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(EU) 2017/2403, pokud jde o oprávnění k rybolovu pro plavidla Unie ve vodách Spojeného království a rybolovné operace rybářských plavidel Spojeného království ve vodách Unie</w:t>
      </w:r>
    </w:p>
    <w:p>
      <w:pPr>
        <w:pStyle w:val="Institutionquiagit"/>
        <w:rPr>
          <w:noProof/>
        </w:rPr>
      </w:pPr>
      <w:r>
        <w:rPr>
          <w:noProof/>
        </w:rPr>
        <w:t>EVROPSKÝ PARLAMENT A RADA EVROPSKÉ UNIE,</w:t>
      </w:r>
    </w:p>
    <w:p>
      <w:pPr>
        <w:rPr>
          <w:noProof/>
        </w:rPr>
      </w:pPr>
      <w:r>
        <w:rPr>
          <w:noProof/>
        </w:rPr>
        <w:t>s ohledem na Smlouvu o fungování Evropské unie, a zejména na čl. 43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12"/>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rPr>
          <w:noProof/>
        </w:rPr>
        <w:t>(1)</w:t>
      </w:r>
      <w:r>
        <w:rPr>
          <w:noProof/>
        </w:rPr>
        <w:tab/>
        <w:t>Dne 29. března 2017 oznámilo Spojené království svůj záměr vystoupit z Unie na základě článku 50 Smlouvy o Evropské unii (dále jen „Smlouva o EU“). Smlouvy se přestanou na Spojené království uplatňovat dnem vstupu v platnost dohody o vystoupení, nebo nedojde-li k tomu, dva roky po tomto oznámení, nerozhodne-li Evropská rada jednomyslně po dohodě se Spojeným královstvím o prodloužení této lhůty.</w:t>
      </w:r>
    </w:p>
    <w:p>
      <w:pPr>
        <w:pStyle w:val="ManualConsidrant"/>
        <w:rPr>
          <w:noProof/>
        </w:rPr>
      </w:pPr>
      <w:r>
        <w:rPr>
          <w:noProof/>
        </w:rPr>
        <w:t>(2)</w:t>
      </w:r>
      <w:r>
        <w:rPr>
          <w:noProof/>
        </w:rPr>
        <w:tab/>
        <w:t>Na žádost Spojeného království schválila Evropská rada dne 11. dubna 2019</w:t>
      </w:r>
      <w:r>
        <w:rPr>
          <w:rStyle w:val="FootnoteReference"/>
          <w:noProof/>
        </w:rPr>
        <w:footnoteReference w:id="13"/>
      </w:r>
      <w:r>
        <w:rPr>
          <w:noProof/>
        </w:rPr>
        <w:t xml:space="preserve"> další prodloužení</w:t>
      </w:r>
      <w:r>
        <w:rPr>
          <w:rStyle w:val="FootnoteReference"/>
          <w:noProof/>
          <w:u w:color="000000"/>
          <w:bdr w:val="nil"/>
        </w:rPr>
        <w:footnoteReference w:id="14"/>
      </w:r>
      <w:r>
        <w:rPr>
          <w:noProof/>
        </w:rPr>
        <w:t xml:space="preserve"> lhůty uvedené v čl. 50 odst. 3 Smlouvy o EU do dne </w:t>
      </w:r>
      <w:r>
        <w:rPr>
          <w:noProof/>
        </w:rPr>
        <w:br/>
        <w:t>31. října 2019. Pokud Spojené království neratifikuje dohodu o vystoupení</w:t>
      </w:r>
      <w:r>
        <w:rPr>
          <w:rStyle w:val="FootnoteReference"/>
          <w:noProof/>
          <w:u w:color="000000"/>
          <w:bdr w:val="nil"/>
        </w:rPr>
        <w:footnoteReference w:id="15"/>
      </w:r>
      <w:r>
        <w:rPr>
          <w:noProof/>
        </w:rPr>
        <w:t xml:space="preserve"> do 31. října 2019 nebo nepožádá o třetí prodloužení, které Evropská rada jednomyslně schválí, Spojené království opustí Unii bez dohody a stane se třetí zemí od 1. listopadu 2019.</w:t>
      </w:r>
    </w:p>
    <w:p>
      <w:pPr>
        <w:pStyle w:val="ManualConsidrant"/>
        <w:rPr>
          <w:noProof/>
        </w:rPr>
      </w:pPr>
      <w:r>
        <w:rPr>
          <w:noProof/>
        </w:rPr>
        <w:t>(3)</w:t>
      </w:r>
      <w:r>
        <w:rPr>
          <w:noProof/>
        </w:rPr>
        <w:tab/>
        <w:t>Dohoda o vystoupení obsahuje ujednání týkající se uplatňování ustanovení práva Unie na Spojené království a ve Spojeném království i po dni, kdy se Smlouvy přestanou uplatňovat na Spojené království a ve Spojeném království. Pokud tato dohoda vstoupí v platnost, bude se společná rybářská politika (SRP) na Spojené království a ve Spojeném království uplatňovat během přechodného období v souladu s uvedenou dohodou a přestane platit na konci zmíněného období.</w:t>
      </w:r>
    </w:p>
    <w:p>
      <w:pPr>
        <w:pStyle w:val="ManualConsidrant"/>
        <w:rPr>
          <w:noProof/>
        </w:rPr>
      </w:pPr>
      <w:r>
        <w:rPr>
          <w:noProof/>
        </w:rPr>
        <w:lastRenderedPageBreak/>
        <w:t>(4)</w:t>
      </w:r>
      <w:r>
        <w:rPr>
          <w:noProof/>
        </w:rPr>
        <w:tab/>
        <w:t>Jak je uvedeno v Úmluvě Organizace spojených národů o mořském právu ze dne 10. prosince 1982 (dále jen „UNCLOS“) a v Dohodě Organizace spojených národů o provedení ustanovení Úmluvy Organizace spojených národů o mořském právu ze dne 10. prosince 1982 o zachování a řízení tažných populací ryb a vysoce stěhovavých rybích populací ze dne 4. srpna 1995 (dále jen „UNFSA“), strany jsou povinny zajistit prostřednictvím řádných opatření na zachování a řízení, aby biologické mořské zdroje byly zachovány na úrovních, na kterých nejsou ohroženy nadměrným rybolovem.</w:t>
      </w:r>
    </w:p>
    <w:p>
      <w:pPr>
        <w:pStyle w:val="ManualConsidrant"/>
        <w:rPr>
          <w:noProof/>
        </w:rPr>
      </w:pPr>
      <w:r>
        <w:rPr>
          <w:noProof/>
        </w:rPr>
        <w:t>(5)</w:t>
      </w:r>
      <w:r>
        <w:rPr>
          <w:noProof/>
        </w:rPr>
        <w:tab/>
        <w:t xml:space="preserve">Je proto nezbytné zajistit, aby kombinované možnosti odlovu, které mají Unie a Spojené království k dispozici, zajistily udržitelné řízení příslušných populací.  </w:t>
      </w:r>
    </w:p>
    <w:p>
      <w:pPr>
        <w:pStyle w:val="ManualConsidrant"/>
        <w:rPr>
          <w:noProof/>
          <w:szCs w:val="24"/>
        </w:rPr>
      </w:pPr>
      <w:r>
        <w:rPr>
          <w:noProof/>
        </w:rPr>
        <w:t>(6)</w:t>
      </w:r>
      <w:r>
        <w:rPr>
          <w:noProof/>
        </w:rPr>
        <w:tab/>
        <w:t>Nařízení Evropského parlamentu a Rady (EU) 2017/2403</w:t>
      </w:r>
      <w:r>
        <w:rPr>
          <w:rStyle w:val="FootnoteReference"/>
          <w:noProof/>
        </w:rPr>
        <w:footnoteReference w:id="16"/>
      </w:r>
      <w:r>
        <w:rPr>
          <w:noProof/>
        </w:rPr>
        <w:t xml:space="preserve"> stanoví pravidla pro vydávání a správu oprávnění k rybolovu pro plavidla ve vodách pod svrchovaností nebo jurisdikcí třetí země a pro rybářská plavidla třetích zemí provádějící rybolovné operace ve vodách Unie.</w:t>
      </w:r>
    </w:p>
    <w:p>
      <w:pPr>
        <w:pStyle w:val="ManualConsidrant"/>
        <w:rPr>
          <w:noProof/>
        </w:rPr>
      </w:pPr>
      <w:r>
        <w:rPr>
          <w:noProof/>
        </w:rPr>
        <w:t>(7)</w:t>
      </w:r>
      <w:r>
        <w:rPr>
          <w:noProof/>
        </w:rPr>
        <w:tab/>
        <w:t>Nařízení Evropského parlamentu a Rady (EU) 2019/498</w:t>
      </w:r>
      <w:r>
        <w:rPr>
          <w:rStyle w:val="FootnoteReference"/>
          <w:noProof/>
        </w:rPr>
        <w:footnoteReference w:id="17"/>
      </w:r>
      <w:r>
        <w:rPr>
          <w:noProof/>
        </w:rPr>
        <w:t xml:space="preserve"> změnilo nařízení (EU) 2017/2403, pokud jde o oprávnění k rybolovu pro rybářská plavidla Unie ve vodách Spojeného království a rybolovné operace plavidel Spojeného království ve vodách Unie. Tím se plavidlům Unie a Spojeného království umožňilo, aby i nadále měla přístup k rybolovu ve vodách druhé strany. Byl rovněž zaveden flexibilní systém, který by Unii umožnil výměnu kvót se Spojeným královstvím poté, co pro Spojené království přestanou platit Smlouvy. Je nutné prodloužit dobu použitelnosti těchto ustanovení, aby bylo možné vydávat oprávnění k rybolovu ve vodách druhé strany při neexistenci dohody o rybolovu uzavřené se Spojeným královstvím jako třetí zemí, pokud řízení příslušných populací zůstane udržitelné a v souladu s podmínkami stanovenými ve společné rybářské politice a v nařízeních Rady, kterými se stanoví rybolovná práva.</w:t>
      </w:r>
    </w:p>
    <w:p>
      <w:pPr>
        <w:pStyle w:val="ManualConsidrant"/>
        <w:rPr>
          <w:noProof/>
        </w:rPr>
      </w:pPr>
      <w:r>
        <w:rPr>
          <w:noProof/>
        </w:rPr>
        <w:t>(8)</w:t>
      </w:r>
      <w:r>
        <w:rPr>
          <w:noProof/>
        </w:rPr>
        <w:tab/>
        <w:t>Pro rok 2019 a u populací hlubinných druhů ryb rovněž pro rok 2019 a rok 2020 byla rybolovná práva stanovena v roce 2018</w:t>
      </w:r>
      <w:r>
        <w:rPr>
          <w:rStyle w:val="FootnoteReference"/>
          <w:noProof/>
        </w:rPr>
        <w:footnoteReference w:id="18"/>
      </w:r>
      <w:r>
        <w:rPr>
          <w:noProof/>
        </w:rPr>
        <w:t xml:space="preserve">, kdy bylo Spojené království stále členem Evropské unie. Tato ujednání a rybolovná práva v něm stanovená jsou základem pro udržitelnost těchto rybolovných činností. Pro všechna ostatní rybolovná práva pro rok 2020 je nezbytné zajistit udržitelnost rybolovných práv. </w:t>
      </w:r>
    </w:p>
    <w:p>
      <w:pPr>
        <w:pStyle w:val="ManualConsidrant"/>
        <w:rPr>
          <w:noProof/>
        </w:rPr>
      </w:pPr>
      <w:r>
        <w:rPr>
          <w:noProof/>
        </w:rPr>
        <w:t>(9)</w:t>
      </w:r>
      <w:r>
        <w:rPr>
          <w:noProof/>
        </w:rPr>
        <w:tab/>
        <w:t xml:space="preserve">Nebude-li dohoda o vystoupení ratifikována do 31. října 2019 a vystoupí-li Spojené království dne 1. listopadu 2019 z Unie, nemusí být možné, aby Spojené království a Unie uzavřely společné ujednání o rybolovných právech pro příslušné populace pro rok 2020 včas před zasedáním Rady ministrů pro rybolov v prosinci 2019, které má stanovit rybolovná práva pro následující rok. Neexistence společného ujednání však jako taková nebrání Spojenému království a Unii umožnit vzájemný přístup do svých </w:t>
      </w:r>
      <w:r>
        <w:rPr>
          <w:noProof/>
        </w:rPr>
        <w:lastRenderedPageBreak/>
        <w:t>vod. V tomto případě by mohly vydávat oprávnění k rybolovu plavidlům druhé strany za předpokladu, že obě strany splňují podmínky pro udržitelné řízení příslušných populací.</w:t>
      </w:r>
    </w:p>
    <w:p>
      <w:pPr>
        <w:pStyle w:val="ManualConsidrant"/>
        <w:rPr>
          <w:noProof/>
        </w:rPr>
      </w:pPr>
      <w:r>
        <w:rPr>
          <w:noProof/>
        </w:rPr>
        <w:t>(10)</w:t>
      </w:r>
      <w:r>
        <w:rPr>
          <w:noProof/>
        </w:rPr>
        <w:tab/>
        <w:t>S ohledem na ustanovení a podmínky stanovené v nařízení (EU) 2017/2403 a jako předpoklad pro vydání oprávnění k rybolovu bude proto Unie muset posoudit, zda kombinovaný účinek rybolovných operací stanovený v opatřeních na řízení zavedených Spojeným královstvím a Unií pro rok 2020 je v souladu s udržitelným řízením dotčených populací.</w:t>
      </w:r>
    </w:p>
    <w:p>
      <w:pPr>
        <w:pStyle w:val="ManualConsidrant"/>
        <w:rPr>
          <w:noProof/>
        </w:rPr>
      </w:pPr>
      <w:r>
        <w:rPr>
          <w:noProof/>
        </w:rPr>
        <w:t>(11)</w:t>
      </w:r>
      <w:r>
        <w:rPr>
          <w:noProof/>
        </w:rPr>
        <w:tab/>
        <w:t>Soulad kombinovaných rybolovných práv Unie a Spojeného království s udržitelným řízením populací se posuzuje na základě nejlepšího dostupného vědeckého doporučení pro dotčené populace, příslušných ustanovení nařízení (EU) č. 1380/2013, jakož i kritérií a parametrů stanovených v platných plánech řízení a příslušných nařízeních Rady, jimiž se stanoví rybolovná práva pro rok 2020.</w:t>
      </w:r>
    </w:p>
    <w:p>
      <w:pPr>
        <w:pStyle w:val="ManualConsidrant"/>
        <w:rPr>
          <w:noProof/>
        </w:rPr>
      </w:pPr>
      <w:r>
        <w:rPr>
          <w:noProof/>
        </w:rPr>
        <w:t>(12)</w:t>
      </w:r>
      <w:r>
        <w:rPr>
          <w:noProof/>
        </w:rPr>
        <w:tab/>
        <w:t xml:space="preserve">V případě, že lze soulad zajistit, je vzhledem k významu rybolovu pro hospodářskou obživu mnoha pobřežních společenství důležité i nadále ponechat v platnosti ujednání pro vzájemný trvalý přístup rybolovných plavidel Unie a Spojeného království do jejich vod v roce 2020. </w:t>
      </w:r>
    </w:p>
    <w:p>
      <w:pPr>
        <w:pStyle w:val="ManualConsidrant"/>
        <w:rPr>
          <w:noProof/>
        </w:rPr>
      </w:pPr>
      <w:r>
        <w:rPr>
          <w:noProof/>
        </w:rPr>
        <w:t>(13)</w:t>
      </w:r>
      <w:r>
        <w:rPr>
          <w:noProof/>
        </w:rPr>
        <w:tab/>
        <w:t>Uplatňování všech opatření týkajících se rybolovných operací stanovených v alternativních opatřeních přijatých podle nařízení (EU) 2019/498</w:t>
      </w:r>
      <w:r>
        <w:rPr>
          <w:rStyle w:val="FootnoteReference"/>
          <w:noProof/>
        </w:rPr>
        <w:footnoteReference w:id="19"/>
      </w:r>
      <w:r>
        <w:rPr>
          <w:noProof/>
        </w:rPr>
        <w:t xml:space="preserve"> by proto mělo být rozšířeno na rok 2020 a nařízení (EU) 2017/2403 by mělo být odpovídajícím způsobem změněno.</w:t>
      </w:r>
    </w:p>
    <w:p>
      <w:pPr>
        <w:pStyle w:val="ManualConsidrant"/>
        <w:rPr>
          <w:noProof/>
        </w:rPr>
      </w:pPr>
      <w:r>
        <w:rPr>
          <w:noProof/>
        </w:rPr>
        <w:t>(14)</w:t>
      </w:r>
      <w:r>
        <w:rPr>
          <w:noProof/>
        </w:rPr>
        <w:tab/>
        <w:t>Územní působnost tohoto nařízení a jakýkoli odkaz na Spojené království v tomto nařízení nezahrnuje Gibraltar.</w:t>
      </w:r>
    </w:p>
    <w:p>
      <w:pPr>
        <w:pStyle w:val="ManualConsidrant"/>
        <w:rPr>
          <w:noProof/>
        </w:rPr>
      </w:pPr>
      <w:r>
        <w:rPr>
          <w:noProof/>
        </w:rPr>
        <w:t>(15)</w:t>
      </w:r>
      <w:r>
        <w:rPr>
          <w:noProof/>
        </w:rPr>
        <w:tab/>
        <w:t>Toto nařízení by mělo vstoupit v platnost co nejdříve a mělo by se použít ode dne následujícího po dni, kdy se Smlouvy přestanou uplatňovat na Spojené království, nevstoupí-li do uvedeného data v platnost dohoda o vystoupení uzavřená se Spojeným královstvím. Mělo by se používat do 31. prosince 2020.</w:t>
      </w:r>
    </w:p>
    <w:p>
      <w:pPr>
        <w:pStyle w:val="ManualConsidrant"/>
        <w:rPr>
          <w:noProof/>
        </w:rPr>
      </w:pPr>
      <w:r>
        <w:rPr>
          <w:noProof/>
        </w:rPr>
        <w:t>(16)</w:t>
      </w:r>
      <w:r>
        <w:rPr>
          <w:noProof/>
        </w:rPr>
        <w:tab/>
        <w:t>Aby hospodářské subjekty Unie i Spojeného království mohly i nadále lovit v souladu s jejich příslušnými rybolovnými právy, měla by být oprávnění k rybolovu pro činnosti ve vodách Unie udělena plavidlům Spojeného království pouze potud, pokud bude mít Komise za to, že Spojené království na základě reciprocity rozšiřuje práva přístupu plavidel Unie na rybolovné operace ve svých vodách,</w:t>
      </w:r>
    </w:p>
    <w:p>
      <w:pPr>
        <w:spacing w:before="0" w:after="200" w:line="276" w:lineRule="auto"/>
        <w:jc w:val="left"/>
        <w:rPr>
          <w:noProof/>
        </w:rPr>
      </w:pPr>
      <w:r>
        <w:rPr>
          <w:noProof/>
        </w:rPr>
        <w:br w:type="page"/>
      </w:r>
    </w:p>
    <w:p>
      <w:pPr>
        <w:pStyle w:val="Formuledadoption"/>
        <w:rPr>
          <w:noProof/>
        </w:rPr>
      </w:pPr>
      <w:r>
        <w:rPr>
          <w:noProof/>
        </w:rPr>
        <w:lastRenderedPageBreak/>
        <w:t>PŘIJALY TOTO NAŘÍZENÍ:</w:t>
      </w:r>
    </w:p>
    <w:p>
      <w:pPr>
        <w:pStyle w:val="Titrearticle"/>
        <w:rPr>
          <w:noProof/>
        </w:rPr>
      </w:pPr>
      <w:r>
        <w:rPr>
          <w:noProof/>
        </w:rPr>
        <w:t>Článek 1</w:t>
      </w:r>
    </w:p>
    <w:p>
      <w:pPr>
        <w:rPr>
          <w:noProof/>
        </w:rPr>
      </w:pPr>
      <w:r>
        <w:rPr>
          <w:noProof/>
        </w:rPr>
        <w:t xml:space="preserve">Nařízení (EU) 2017/2403 se mění takto: </w:t>
      </w:r>
    </w:p>
    <w:p>
      <w:pPr>
        <w:pStyle w:val="Point0"/>
        <w:rPr>
          <w:noProof/>
        </w:rPr>
      </w:pPr>
      <w:r>
        <w:rPr>
          <w:noProof/>
        </w:rPr>
        <w:t>(1)</w:t>
      </w:r>
      <w:r>
        <w:rPr>
          <w:noProof/>
        </w:rPr>
        <w:tab/>
        <w:t>v článku 18a se datum „31. prosince 2019“ nahrazuje datem „31. prosince 2020“;</w:t>
      </w:r>
    </w:p>
    <w:p>
      <w:pPr>
        <w:pStyle w:val="Point0"/>
        <w:rPr>
          <w:noProof/>
        </w:rPr>
      </w:pPr>
      <w:r>
        <w:rPr>
          <w:noProof/>
        </w:rPr>
        <w:t>(2)</w:t>
      </w:r>
      <w:r>
        <w:rPr>
          <w:noProof/>
        </w:rPr>
        <w:tab/>
        <w:t>v článku 38a se datum „31. prosince 2019“ nahrazuje datem „31. prosince 2020“;</w:t>
      </w:r>
    </w:p>
    <w:p>
      <w:pPr>
        <w:pStyle w:val="Point0"/>
        <w:rPr>
          <w:noProof/>
        </w:rPr>
      </w:pPr>
      <w:r>
        <w:rPr>
          <w:noProof/>
        </w:rPr>
        <w:t>(3)</w:t>
      </w:r>
      <w:r>
        <w:rPr>
          <w:noProof/>
        </w:rPr>
        <w:tab/>
        <w:t>Článek 38b se nahrazuje tímto:</w:t>
      </w:r>
    </w:p>
    <w:p>
      <w:pPr>
        <w:jc w:val="center"/>
        <w:rPr>
          <w:i/>
          <w:noProof/>
        </w:rPr>
      </w:pPr>
      <w:r>
        <w:rPr>
          <w:noProof/>
        </w:rPr>
        <w:t>„Článek 38b</w:t>
      </w:r>
    </w:p>
    <w:p>
      <w:pPr>
        <w:pStyle w:val="Text1"/>
        <w:jc w:val="center"/>
        <w:rPr>
          <w:b/>
          <w:noProof/>
        </w:rPr>
      </w:pPr>
      <w:r>
        <w:rPr>
          <w:b/>
          <w:noProof/>
        </w:rPr>
        <w:t>Rybolovné operace plavidel Spojeného království</w:t>
      </w:r>
    </w:p>
    <w:p>
      <w:pPr>
        <w:pStyle w:val="Point1"/>
        <w:ind w:firstLine="0"/>
        <w:rPr>
          <w:noProof/>
        </w:rPr>
      </w:pPr>
      <w:r>
        <w:rPr>
          <w:noProof/>
        </w:rPr>
        <w:t>Rybářská plavidla Spojeného království smí provádět rybolovné operace ve vodách Unie v souladu s podmínkami stanovenými v nařízeních Rady, kterými se stanoví rybolovná práva na rok 2019 a 2020, za předpokladu, že rybolovná práva stanovená společně Unií i Spojeným královstvím jsou v souladu s udržitelným řízením příslušných populací v souladu s nařízením (EU) č. 1380/2013.“;</w:t>
      </w:r>
    </w:p>
    <w:p>
      <w:pPr>
        <w:pStyle w:val="Point0"/>
        <w:rPr>
          <w:noProof/>
        </w:rPr>
      </w:pPr>
      <w:r>
        <w:rPr>
          <w:noProof/>
        </w:rPr>
        <w:t>(4)</w:t>
      </w:r>
      <w:r>
        <w:rPr>
          <w:noProof/>
        </w:rPr>
        <w:tab/>
        <w:t>V čl. 38c odst. 2 se písmeno f) nahrazuje tímto:</w:t>
      </w:r>
    </w:p>
    <w:p>
      <w:pPr>
        <w:pStyle w:val="Point1"/>
        <w:rPr>
          <w:noProof/>
        </w:rPr>
      </w:pPr>
      <w:r>
        <w:rPr>
          <w:noProof/>
        </w:rPr>
        <w:t xml:space="preserve">„f) </w:t>
      </w:r>
      <w:r>
        <w:rPr>
          <w:noProof/>
        </w:rPr>
        <w:tab/>
        <w:t>jsou v příslušných případech Spojenému království podle článku 38b k dispozici rybolovná práva.“</w:t>
      </w:r>
    </w:p>
    <w:p>
      <w:pPr>
        <w:pStyle w:val="Titrearticle"/>
        <w:rPr>
          <w:noProof/>
        </w:rPr>
      </w:pPr>
      <w:r>
        <w:rPr>
          <w:noProof/>
        </w:rPr>
        <w:t>Článek 2</w:t>
      </w:r>
    </w:p>
    <w:p>
      <w:pPr>
        <w:rPr>
          <w:noProof/>
        </w:rPr>
      </w:pPr>
      <w:r>
        <w:rPr>
          <w:noProof/>
        </w:rPr>
        <w:t xml:space="preserve">Toto nařízení vstupuje v platnost prvním dnem po vyhlášení v </w:t>
      </w:r>
      <w:r>
        <w:rPr>
          <w:i/>
          <w:noProof/>
        </w:rPr>
        <w:t>Úředním věstníku Evropské unie</w:t>
      </w:r>
      <w:r>
        <w:rPr>
          <w:noProof/>
        </w:rPr>
        <w:t>.</w:t>
      </w:r>
    </w:p>
    <w:p>
      <w:pPr>
        <w:spacing w:before="480"/>
        <w:rPr>
          <w:noProof/>
          <w:szCs w:val="24"/>
        </w:rPr>
      </w:pPr>
      <w:r>
        <w:rPr>
          <w:noProof/>
        </w:rPr>
        <w:t>Použije se ode dne následujícího po dni, kdy se podle čl. 50 odst. 3 SEU přestanou Smlouvy uplatňovat na Spojené království, do dne 31. prosince 2020.</w:t>
      </w:r>
    </w:p>
    <w:p>
      <w:pPr>
        <w:spacing w:before="480"/>
        <w:rPr>
          <w:noProof/>
        </w:rPr>
      </w:pPr>
      <w:r>
        <w:rPr>
          <w:noProof/>
        </w:rPr>
        <w:t xml:space="preserve">Toto nařízení se však nepoužije v případě, jestliže do dne následujícím po dni, kdy se Smlouvy přestanou přestanou uplatňovat na Spojené království, vstoupí v platnost dohoda o vystoupení uzavřená se Spojeným královstvím v souladu s čl. 50 odst. 2 SEU. </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60"/>
      </w:pPr>
      <w:r>
        <w:rPr>
          <w:rStyle w:val="FootnoteReference"/>
        </w:rPr>
        <w:footnoteRef/>
      </w:r>
      <w:r>
        <w:tab/>
        <w:t>Rozhodnutí Evropské rady (EU) 2019/584 (Úř. věst. L 101, 11.4.2019, s. 1).</w:t>
      </w:r>
    </w:p>
  </w:footnote>
  <w:footnote w:id="2">
    <w:p>
      <w:pPr>
        <w:pStyle w:val="FootnoteText"/>
        <w:spacing w:after="60"/>
      </w:pPr>
      <w:r>
        <w:rPr>
          <w:rStyle w:val="FootnoteReference"/>
        </w:rPr>
        <w:footnoteRef/>
      </w:r>
      <w:r>
        <w:tab/>
        <w:t>Evropská rada na žádost Spojeného království rozhodla o prvním prodloužení lhůty dne 22. března 2019 (rozhodnutí Evropské rady (EU) 2019/476, Úř. věst. L 80I, 22.3.2019, s. 1).</w:t>
      </w:r>
    </w:p>
  </w:footnote>
  <w:footnote w:id="3">
    <w:p>
      <w:pPr>
        <w:pStyle w:val="FootnoteText"/>
        <w:spacing w:after="60"/>
      </w:pPr>
      <w:r>
        <w:rPr>
          <w:rStyle w:val="FootnoteReference"/>
        </w:rPr>
        <w:footnoteRef/>
      </w:r>
      <w:r>
        <w:tab/>
        <w:t>Dohoda o vystoupení Spojeného království Velké Británie a Severního Irska z Evropské unie a Evropského společenství pro atomovou energii (Úř. věst. C 144I, 25.4.2019, s. 1).</w:t>
      </w:r>
    </w:p>
  </w:footnote>
  <w:footnote w:id="4">
    <w:p>
      <w:pPr>
        <w:pStyle w:val="FootnoteText"/>
        <w:spacing w:after="60"/>
      </w:pPr>
      <w:r>
        <w:rPr>
          <w:rStyle w:val="FootnoteReference"/>
        </w:rPr>
        <w:footnoteRef/>
      </w:r>
      <w:r>
        <w:tab/>
        <w:t>COM(2019) 276 final, 12.6.2019.</w:t>
      </w:r>
    </w:p>
  </w:footnote>
  <w:footnote w:id="5">
    <w:p>
      <w:pPr>
        <w:pStyle w:val="FootnoteText"/>
        <w:spacing w:after="60"/>
      </w:pPr>
      <w:r>
        <w:rPr>
          <w:rStyle w:val="FootnoteReference"/>
        </w:rPr>
        <w:footnoteRef/>
      </w:r>
      <w:r>
        <w:tab/>
        <w:t>Nařízení Evropského parlamentu a Rady (EU) 2019/498 ze dne 25. března 2019, kterým se mění nařízení (EU) 2017/2403, pokud jde o oprávnění k rybolovu pro rybářská plavidla Unie ve vodách Spojeného království a rybolovné operace plavidel Spojeného království ve vodách Unie (Úř. věst. L 85I, 27.3.2019, s. 25).</w:t>
      </w:r>
    </w:p>
  </w:footnote>
  <w:footnote w:id="6">
    <w:p>
      <w:pPr>
        <w:pStyle w:val="FootnoteText"/>
      </w:pPr>
      <w:r>
        <w:rPr>
          <w:rStyle w:val="FootnoteReference"/>
        </w:rPr>
        <w:footnoteRef/>
      </w:r>
      <w:r>
        <w:tab/>
        <w:t>Nařízení Evropského parlamentu a Rady (EU) 2017/2403 ze dne 12. prosince 2017 o udržitelném řízení vnějšího rybářského loďstva a o zrušení nařízení Rady (ES) č. 1006/2008 (Úř. věst. L 347, 28.12.2017, s. 81).</w:t>
      </w:r>
    </w:p>
  </w:footnote>
  <w:footnote w:id="7">
    <w:p>
      <w:pPr>
        <w:pStyle w:val="FootnoteText"/>
        <w:spacing w:after="60"/>
      </w:pPr>
      <w:r>
        <w:rPr>
          <w:rStyle w:val="FootnoteReference"/>
        </w:rPr>
        <w:footnoteRef/>
      </w:r>
      <w:r>
        <w:tab/>
        <w:t>Zejména nařízení Rady (EU) 2019/124 ze dne 30. ledna 2019, kterým se pro rok 2019 stanoví rybolovná práva ve vodách Unie a rybolovná práva, jimiž disponují rybářská plavidla Unie v některých vodách mimo Unii (</w:t>
      </w:r>
      <w:hyperlink r:id="rId1" w:history="1">
        <w:r>
          <w:t>Úř. věst. L 29, 31.1.2019, s. 1</w:t>
        </w:r>
      </w:hyperlink>
      <w:r>
        <w:t>), a nařízení Rady (EU) 2018/2025 ze dne 17. prosince 2018, kterým se pro roky 2019 a 2020 stanoví rybolovná práva na některé populace hlubinných druhů ryb pro rybářská plavidla Unie (</w:t>
      </w:r>
      <w:hyperlink r:id="rId2" w:history="1">
        <w:r>
          <w:t>Úř. věst. L 325, 20.12.2018, s. 7</w:t>
        </w:r>
      </w:hyperlink>
      <w:r>
        <w:t>). Viz také nařízení Rady (ES) č. 1954/2003 ze dne 4. listopadu 2003 o řízení intenzity rybolovu některých rybolovných oblastí a zdrojů Společenství, kterým se mění nařízení (ES) č. 2847/93 a zrušují nařízení (ES) č. 685/95 a (ES) č. 2027/95 (Úř. věst. L 289, 7.11.2003, s. 1).</w:t>
      </w:r>
    </w:p>
  </w:footnote>
  <w:footnote w:id="8">
    <w:p>
      <w:pPr>
        <w:pStyle w:val="FootnoteText"/>
        <w:spacing w:after="60"/>
        <w:rPr>
          <w:highlight w:val="yellow"/>
        </w:rPr>
      </w:pPr>
      <w:r>
        <w:rPr>
          <w:rStyle w:val="FootnoteReference"/>
        </w:rPr>
        <w:footnoteRef/>
      </w:r>
      <w:r>
        <w:tab/>
        <w:t xml:space="preserve">Zejména Úmluva Organizace spojených národů o mořském právu a Dohoda Organizace spojených národů o provedení ustanovení Úmluvy Organizace spojených národů o mořském právu ze dne 10. prosince 1982 o zachování a řízení tažných populací ryb a vysoce stěhovavých rybích populací, které stanoví povinnosti spolupráce mezi stranami ohledně opatření na zachování a řízení určených k zachování nebo obnovení mořských zdrojů na úrovních, které mohou vytvářet maximální udržitelný výnos. </w:t>
      </w:r>
    </w:p>
  </w:footnote>
  <w:footnote w:id="9">
    <w:p>
      <w:pPr>
        <w:pStyle w:val="FootnoteText"/>
      </w:pPr>
      <w:r>
        <w:rPr>
          <w:rStyle w:val="FootnoteReference"/>
        </w:rPr>
        <w:footnoteRef/>
      </w:r>
      <w:r>
        <w:tab/>
        <w:t>Nařízení Evropského parlamentu a Rady (EU) č. 1380/2013 ze dne 11. prosince 2013 o společné rybářské politice, o změně nařízení Rady (ES) č. 1954/2003 a (ES) č. 1224/2009 a o zrušení nařízení Rady (ES) č. 2371/2002 a (ES) č. 639/2004 a rozhodnutí Rady 2004/585/ES (Úř. věst. L 354, 28.12.2013, s. 22).</w:t>
      </w:r>
    </w:p>
  </w:footnote>
  <w:footnote w:id="10">
    <w:p>
      <w:pPr>
        <w:pStyle w:val="FootnoteText"/>
        <w:spacing w:after="60"/>
      </w:pPr>
      <w:r>
        <w:rPr>
          <w:rStyle w:val="FootnoteReference"/>
        </w:rPr>
        <w:footnoteRef/>
      </w:r>
      <w:r>
        <w:tab/>
        <w:t>Nařízení Evropského parlamentu a Rady (EU) 2018/973 ze dne 4. července 2018, kterým se zavádí víceletý plán pro populace žijící při dně v Severním moři a rybolov využívající tyto populace, kterým se stanoví podrobnosti provádění povinnosti vykládky v Severním moři a kterým se zrušuje nařízení Rady (ES) č. 676/2007 a (ES) č. 1342/2008 (Úř. věst. L 179 I, 16.7.2018, s. 1).</w:t>
      </w:r>
    </w:p>
  </w:footnote>
  <w:footnote w:id="11">
    <w:p>
      <w:pPr>
        <w:pStyle w:val="FootnoteText"/>
        <w:spacing w:after="40"/>
      </w:pPr>
      <w:r>
        <w:rPr>
          <w:rStyle w:val="FootnoteReference"/>
        </w:rPr>
        <w:footnoteRef/>
      </w:r>
      <w:r>
        <w:tab/>
        <w:t>Nařízení Evropského parlamentu a Rady (EU) 2019/472 ze dne 19. března 2019, kterým se zavádí víceletý plán pro populace druhů lovených v západních vodách a přilehlých vodách a pro rybolov využívající tyto populace, o změně nařízení (EU) 2016/1139 a (EU) 2018/973, a o zrušení nařízení Rady (ES) č. 811/2004, (ES) č. 2166/2005, (ES) č. 388/2006, (ES) č. 509/2007 a (ES) č. 1300/2008 (Úř. věst. L 83 I, 25.3.2019, s. 1).</w:t>
      </w:r>
    </w:p>
  </w:footnote>
  <w:footnote w:id="12">
    <w:p>
      <w:pPr>
        <w:pStyle w:val="FootnoteText"/>
        <w:spacing w:after="60"/>
        <w:ind w:left="284" w:hanging="284"/>
      </w:pPr>
      <w:r>
        <w:rPr>
          <w:rStyle w:val="FootnoteReference"/>
        </w:rPr>
        <w:footnoteRef/>
      </w:r>
      <w:r>
        <w:tab/>
        <w:t>Úř. věst. C, , s. .</w:t>
      </w:r>
    </w:p>
  </w:footnote>
  <w:footnote w:id="13">
    <w:p>
      <w:pPr>
        <w:pStyle w:val="FootnoteText"/>
        <w:spacing w:after="60"/>
        <w:ind w:left="284" w:hanging="284"/>
      </w:pPr>
      <w:r>
        <w:rPr>
          <w:rStyle w:val="FootnoteReference"/>
        </w:rPr>
        <w:footnoteRef/>
      </w:r>
      <w:r>
        <w:tab/>
        <w:t xml:space="preserve">Rozhodnutí Evropské rady (EU) 2019/584 učiněné se souhlasem Spojeného království ze dne 11. dubna 2019 o prodloužení lhůty podle čl. 50 odst. 3 Smlouvy o EU (Úř. věst. L 101, 11.4.2019, s. 1). </w:t>
      </w:r>
    </w:p>
  </w:footnote>
  <w:footnote w:id="14">
    <w:p>
      <w:pPr>
        <w:pStyle w:val="FootnoteText"/>
        <w:spacing w:after="60"/>
        <w:ind w:left="284" w:hanging="284"/>
      </w:pPr>
      <w:r>
        <w:rPr>
          <w:rStyle w:val="FootnoteReference"/>
        </w:rPr>
        <w:footnoteRef/>
      </w:r>
      <w:r>
        <w:tab/>
        <w:t>Na žádost Spojeného království Evropská rada dne 22. března 2019 rozhodla o prvním prodloužení (rozhodnutí Evropské rady (EU) 2019/476 učiněné se souhlasem Spojeného království, ze dne 22. března 2019, o prodloužení lhůty podle čl. 50 odst. 3 Smlouvy o EU, Úř. věst. L 80, 22.3.2019, s. 1).</w:t>
      </w:r>
    </w:p>
  </w:footnote>
  <w:footnote w:id="15">
    <w:p>
      <w:pPr>
        <w:pStyle w:val="FootnoteText"/>
        <w:spacing w:after="60"/>
        <w:ind w:left="284" w:hanging="284"/>
      </w:pPr>
      <w:r>
        <w:rPr>
          <w:rStyle w:val="FootnoteReference"/>
        </w:rPr>
        <w:footnoteRef/>
      </w:r>
      <w:r>
        <w:tab/>
        <w:t>Dohoda o vystoupení Spojeného království Velké Británie a Severního Irska z Evropské unie a Evropského společenství pro atomovou energii (Úř. věst. C 144I, 25.4.2019, s. 1).</w:t>
      </w:r>
    </w:p>
  </w:footnote>
  <w:footnote w:id="16">
    <w:p>
      <w:pPr>
        <w:pStyle w:val="FootnoteText"/>
        <w:spacing w:after="60"/>
      </w:pPr>
      <w:r>
        <w:rPr>
          <w:rStyle w:val="FootnoteReference"/>
        </w:rPr>
        <w:footnoteRef/>
      </w:r>
      <w:r>
        <w:tab/>
        <w:t>Nařízení Evropského parlamentu a Rady (EU) 2017/2403 ze dne 12. prosince 2017 o udržitelném řízení vnějšího rybářského loďstva a o zrušení nařízení Rady (ES) č. 1006/2008 (Úř. věst. L 347, 28.12.2017, s. 81).</w:t>
      </w:r>
    </w:p>
  </w:footnote>
  <w:footnote w:id="17">
    <w:p>
      <w:pPr>
        <w:pStyle w:val="Default"/>
        <w:spacing w:after="60"/>
        <w:ind w:left="709" w:hanging="709"/>
        <w:jc w:val="both"/>
        <w:rPr>
          <w:lang w:val="cs-CZ"/>
        </w:rPr>
      </w:pPr>
      <w:r>
        <w:rPr>
          <w:rStyle w:val="FootnoteReference"/>
        </w:rPr>
        <w:footnoteRef/>
      </w:r>
      <w:r>
        <w:rPr>
          <w:sz w:val="20"/>
          <w:szCs w:val="20"/>
          <w:lang w:val="cs-CZ"/>
        </w:rPr>
        <w:tab/>
        <w:t xml:space="preserve">Nařízení Evropského parlamentu a Rady (EU) 2019/498 </w:t>
      </w:r>
      <w:r>
        <w:rPr>
          <w:bCs/>
          <w:sz w:val="20"/>
          <w:szCs w:val="20"/>
          <w:lang w:val="cs-CZ"/>
        </w:rPr>
        <w:t>ze dne 25. března 2019, kterým se mění nařízení (EU) 2017/2403, pokud jde o oprávnění k rybolovu pro rybářská plavidla Unie ve vodách Spojeného království a rybolovné operace plavidel Spojeného království ve vodách Unie (Úř. věst.</w:t>
      </w:r>
      <w:r>
        <w:rPr>
          <w:sz w:val="20"/>
          <w:szCs w:val="20"/>
          <w:lang w:val="cs-CZ"/>
        </w:rPr>
        <w:t xml:space="preserve"> L 85I, 27.3.2019, s. 25).</w:t>
      </w:r>
    </w:p>
  </w:footnote>
  <w:footnote w:id="18">
    <w:p>
      <w:pPr>
        <w:pStyle w:val="FootnoteText"/>
        <w:spacing w:after="60"/>
      </w:pPr>
      <w:r>
        <w:rPr>
          <w:rStyle w:val="FootnoteReference"/>
        </w:rPr>
        <w:footnoteRef/>
      </w:r>
      <w:r>
        <w:tab/>
        <w:t>Nařízení Rady (EU) 2019/124 ze dne 30. ledna 2019, kterým se pro rok 2019 stanoví rybolovná práva ve vodách Unie a rybolovná práva, jimiž disponují rybářská plavidla Unie v některých vodách mimo Unii, pro některé rybí populace a skupiny rybích populací (</w:t>
      </w:r>
      <w:hyperlink r:id="rId3" w:history="1">
        <w:r>
          <w:rPr>
            <w:rStyle w:val="Hyperlink"/>
          </w:rPr>
          <w:t>Úř. věst. L 29, 31.1.2019, s. 1</w:t>
        </w:r>
      </w:hyperlink>
      <w:r>
        <w:t>). Nařízení Rady (EU) 2018/2025 ze dne 17. prosince 2018, kterým se pro roky 2019 a 2020 stanoví rybolovná práva na některé populace hlubinných druhů ryb pro rybářská plavidla Unie (</w:t>
      </w:r>
      <w:hyperlink r:id="rId4" w:history="1">
        <w:r>
          <w:rPr>
            <w:rStyle w:val="Hyperlink"/>
          </w:rPr>
          <w:t>Úř. věst. L 325, 20.12.2018, s. 7</w:t>
        </w:r>
      </w:hyperlink>
      <w:r>
        <w:t>).</w:t>
      </w:r>
    </w:p>
  </w:footnote>
  <w:footnote w:id="19">
    <w:p>
      <w:pPr>
        <w:pStyle w:val="FootnoteText"/>
      </w:pPr>
      <w:r>
        <w:rPr>
          <w:rStyle w:val="FootnoteReference"/>
        </w:rPr>
        <w:footnoteRef/>
      </w:r>
      <w:r>
        <w:tab/>
        <w:t>Nařízení Evropského parlamentu a Rady (EU) 2019/498 ze dne 25. března 2019, kterým se mění nařízení (EU) 2017/2403, pokud jde o oprávnění k rybolovu pro rybářská plavidla Unie ve vodách Spojeného království a rybolovné operace plavidel Spojeného království ve vodách Unie (Úř. věst. L 85I, 27.3.2019, s.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1448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69EBE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CE99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AE30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08285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0E8F9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440E9C4"/>
    <w:lvl w:ilvl="0">
      <w:start w:val="1"/>
      <w:numFmt w:val="decimal"/>
      <w:pStyle w:val="ListNumber"/>
      <w:lvlText w:val="%1."/>
      <w:lvlJc w:val="left"/>
      <w:pPr>
        <w:tabs>
          <w:tab w:val="num" w:pos="360"/>
        </w:tabs>
        <w:ind w:left="360" w:hanging="360"/>
      </w:pPr>
    </w:lvl>
  </w:abstractNum>
  <w:abstractNum w:abstractNumId="7">
    <w:nsid w:val="FFFFFF89"/>
    <w:multiLevelType w:val="singleLevel"/>
    <w:tmpl w:val="4DC4DF7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6"/>
  </w:num>
  <w:num w:numId="8">
    <w:abstractNumId w:val="1"/>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9-10 11:04: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F4CD1B2-EB90-4DB8-A513-BB9FFE8A5E42"/>
    <w:docVar w:name="LW_COVERPAGE_TYPE" w:val="1"/>
    <w:docVar w:name="LW_CROSSREFERENCE" w:val="&lt;UNUSED&gt;"/>
    <w:docVar w:name="LW_DocType" w:val="COM"/>
    <w:docVar w:name="LW_EMISSION" w:val="4.9.2019"/>
    <w:docVar w:name="LW_EMISSION_ISODATE" w:val="2019-09-0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87"/>
    <w:docVar w:name="LW_REF.II.NEW.CP_YEAR" w:val="2019"/>
    <w:docVar w:name="LW_REF.INST.NEW" w:val="COM"/>
    <w:docVar w:name="LW_REF.INST.NEW_ADOPTED" w:val="final"/>
    <w:docVar w:name="LW_REF.INST.NEW_TEXT" w:val="(2019) 3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ým se m\u283?ní na\u345?ízení (EU) 2017/2403, pokud jde o oprávn\u283?ní k rybolovu pro plavidla Unie ve vodách Spojeného království a rybolovné operace rybá\u345?ských plavidel Spojeného království ve vodách Unie"/>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2">
    <w:name w:val="List Number 2"/>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2">
    <w:name w:val="List Number 2"/>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UTO/?uri=OJ:L:2018:325:TOC" TargetMode="External"/><Relationship Id="rId2" Type="http://schemas.openxmlformats.org/officeDocument/2006/relationships/hyperlink" Target="https://eur-lex.europa.eu/legal-content/EN/AUTO/?uri=OJ:L:2018:325:TOC" TargetMode="External"/><Relationship Id="rId1" Type="http://schemas.openxmlformats.org/officeDocument/2006/relationships/hyperlink" Target="https://eur-lex.europa.eu/legal-content/EN/AUTO/?uri=OJ:L:2018:325:TOC" TargetMode="External"/><Relationship Id="rId4" Type="http://schemas.openxmlformats.org/officeDocument/2006/relationships/hyperlink" Target="https://eur-lex.europa.eu/legal-content/EN/AUTO/?uri=OJ:L:2018:325: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10</Pages>
  <Words>2749</Words>
  <Characters>15921</Characters>
  <Application>Microsoft Office Word</Application>
  <DocSecurity>0</DocSecurity>
  <Lines>279</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2019-09-09T15:26:00Z</dcterms:created>
  <dcterms:modified xsi:type="dcterms:W3CDTF">2019-09-10T09:04:00Z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