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CAA3B648-90F6-48AD-841D-ECB956C01ABF" style="width:450.75pt;height:34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KOMUNIKAT KOMISJI DO PARLAMENTU EUROPEJSKIEGO, RADY EUROPEJSKIEJ, RADY, EUROPEJSKIEGO BANKU CENTRALNEGO, EUROPEJSKIEGO KOMITETU EKONOMICZNO-SPOŁECZNEGO, KOMITETU REGIONÓW I EUROPEJSKIEGO BANKU INWESTYCYJNEGO</w:t>
      </w:r>
    </w:p>
    <w:p>
      <w:pPr>
        <w:pStyle w:val="Titreobjet"/>
        <w:rPr>
          <w:noProof/>
        </w:rPr>
      </w:pPr>
      <w:r>
        <w:rPr>
          <w:noProof/>
        </w:rPr>
        <w:t>Finalizacja przygotowań do wystąpienia Zjednoczonego Królestwa z Unii Europejskiej w dniu 1 listopada 2019 r.</w:t>
      </w:r>
    </w:p>
    <w:p>
      <w:pPr>
        <w:pStyle w:val="Heading1"/>
        <w:numPr>
          <w:ilvl w:val="0"/>
          <w:numId w:val="26"/>
        </w:numPr>
        <w:spacing w:before="360" w:after="240"/>
        <w:jc w:val="both"/>
        <w:rPr>
          <w:rFonts w:cs="Times New Roman"/>
          <w:b/>
          <w:noProof/>
          <w:color w:val="auto"/>
          <w:szCs w:val="24"/>
        </w:rPr>
      </w:pPr>
      <w:r>
        <w:rPr>
          <w:b/>
          <w:bCs/>
          <w:smallCaps/>
          <w:noProof/>
          <w:u w:color="000000"/>
          <w:bdr w:val="nil"/>
        </w:rPr>
        <w:t>Wprowadzenie</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W dniu 29 marca 2017 r. Zjednoczone Królestwo notyfikowało zamiar wystąpienia z Unii Europejskiej, powołując się na procedurę przewidzianą w art. 50 Traktatu o Unii Europejskiej (TUE). W dniu 11 kwietnia 2019 r., na wniosek Zjednoczonego Królestwa, Rada Europejska (art. 50) podjęła decyzję</w:t>
      </w:r>
      <w:r>
        <w:rPr>
          <w:rStyle w:val="FootnoteReference"/>
          <w:rFonts w:ascii="Times New Roman" w:hAnsi="Times New Roman" w:cs="Times New Roman"/>
          <w:noProof/>
        </w:rPr>
        <w:footnoteReference w:id="2"/>
      </w:r>
      <w:r>
        <w:rPr>
          <w:rFonts w:ascii="Times New Roman" w:hAnsi="Times New Roman"/>
          <w:noProof/>
          <w:u w:color="000000"/>
          <w:bdr w:val="nil"/>
        </w:rPr>
        <w:t>, że okres przewidziany w art. 50 ust. 3 TUE zostanie przedłużony ponownie do dnia 31 października 2019 r. Jeżeli Zjednoczone Królestwo nie ratyfikuje umowy o wystąpieniu</w:t>
      </w:r>
      <w:r>
        <w:rPr>
          <w:rStyle w:val="FootnoteReference"/>
          <w:rFonts w:ascii="Times New Roman" w:eastAsia="Arial Unicode MS" w:hAnsi="Times New Roman" w:cs="Times New Roman"/>
          <w:noProof/>
          <w:u w:color="000000"/>
          <w:bdr w:val="nil"/>
        </w:rPr>
        <w:footnoteReference w:id="3"/>
      </w:r>
      <w:r>
        <w:rPr>
          <w:rFonts w:ascii="Times New Roman" w:hAnsi="Times New Roman"/>
          <w:noProof/>
          <w:u w:color="000000"/>
          <w:bdr w:val="nil"/>
        </w:rPr>
        <w:t xml:space="preserve"> do dnia 31 października 2019 r. ani nie zwróci się o trzecie przedłużenie, na które Rada Europejska (art. 50) wyrazi jednomyślną zgodę, od dnia 1 listopada 2019 r. Zjednoczone Królestwo będzie państwem trzecim bez umowy, która zapewniałaby uporządkowane wystąpienie.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Od samego początku negocjacji Komisja wyraża zdecydowany pogląd, że optymalnym rozwiązaniem byłoby uporządkowane wystąpienie Zjednoczonego Królestwa z Unii Europejskiej na podstawie umowy o wystąpieniu. Jak Komisja nieustannie podkreśla, wystąpienie bez umowy spowoduje znaczące zakłócenia zarówno w Zjednoczone Królestwie, jak i w UE-27. Środki awaryjne mogą jedynie ograniczyć najbardziej znaczące zakłócenia, jakie mogą wyniknąć z wystąpienia bez umowy.</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Do dnia 31 października 2019 r. pozostało tylko osiem tygodni. Ten krótki okres, jaki pozostał do wyznaczonego terminu, oraz sytuacja polityczna w Zjednoczonym Królestwie zwiększają ryzyko, że Zjednoczone Królestwo wystąpi w tym dniu z UE bez umowy. Zgodnie z podejściem, na które Rada Europejska (art. 50) nieustannie zwraca uwagę, wszyscy muszą kontynuować przygotowania z uwzględnieniem wszelkich możliwych wersji rozwoju wydarzeń. Z uwagi na to wszyscy powinni teraz dokonać wszelkich koniecznych ostatnich korekt swoich planów w związku z możliwością bezumownego wystąpienia, do którego może dojść w dniu 1 listopada 2019 r. Nie należy opierać się na założeniu, że Zjednoczone Królestwo wystąpi o trzecie przedłużenie i że Rada Europejska (art. 50) wyrazi na nie zgodę przed dniem 31 października.</w:t>
      </w:r>
    </w:p>
    <w:p>
      <w:pPr>
        <w:rPr>
          <w:noProof/>
          <w:u w:color="000000"/>
          <w:bdr w:val="nil"/>
        </w:rPr>
      </w:pPr>
      <w:r>
        <w:rPr>
          <w:noProof/>
        </w:rPr>
        <w:br w:type="page"/>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lastRenderedPageBreak/>
        <w:t>Prawa obywateli</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Komisja niezmiennie podkreśla, że jej priorytetem jest ochrona obywateli Unii w Zjednoczonym Królestwie oraz obywateli Zjednoczonego Królestwa w Unii Europejskiej. Jak wskazała w swoim piątym komunikacie w sprawie gotowości na brexit z dnia 12 czerwca 2019 r.</w:t>
      </w:r>
      <w:r>
        <w:rPr>
          <w:rStyle w:val="FootnoteReference"/>
          <w:rFonts w:ascii="Times New Roman" w:hAnsi="Times New Roman"/>
          <w:noProof/>
          <w:u w:color="000000"/>
          <w:bdr w:val="nil"/>
        </w:rPr>
        <w:footnoteReference w:id="4"/>
      </w:r>
      <w:r>
        <w:rPr>
          <w:rFonts w:ascii="Times New Roman" w:hAnsi="Times New Roman"/>
          <w:noProof/>
          <w:u w:color="000000"/>
          <w:bdr w:val="nil"/>
        </w:rPr>
        <w:t>, państwa członkowskie UE-27 wprowadziły krajowe środki awaryjne w celu zapewnienia, aby obywatele Zjednoczonego Królestwa i członkowie ich rodzin pochodzący spoza UE mogli nadal legalnie przebywać w UE w okresie bezpośrednio po wystąpieniu bez umowy. Komisja współpracuje z państwami członkowskimi UE-27, aby zapewnić spójność ogólnego podejścia, a jednocześnie uznaje potrzebę zachowania elastyczności na poziomie krajowym. Na swoich stronach internetowych poświęconych kwestiom związanym z gotowością na brexit</w:t>
      </w:r>
      <w:r>
        <w:rPr>
          <w:rStyle w:val="FootnoteReference"/>
          <w:rFonts w:ascii="Times New Roman" w:hAnsi="Times New Roman"/>
          <w:noProof/>
          <w:u w:color="000000"/>
          <w:bdr w:val="nil"/>
        </w:rPr>
        <w:footnoteReference w:id="5"/>
      </w:r>
      <w:r>
        <w:rPr>
          <w:rFonts w:ascii="Times New Roman" w:hAnsi="Times New Roman"/>
          <w:noProof/>
          <w:u w:color="000000"/>
          <w:bdr w:val="nil"/>
        </w:rPr>
        <w:t xml:space="preserve"> Komisji zamieszcza aktualny przegląd wszystkich krajowych środków awaryjnych dotyczących prawa pobytu.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Obywatele Unii mieszkający w Zjednoczonym Królestwie mogą znaleźć informacje na temat ich prawa pobytu w Zjednoczonym Królestwie na stronie internetowej rządu brytyjskiego</w:t>
      </w:r>
      <w:r>
        <w:rPr>
          <w:rStyle w:val="FootnoteReference"/>
          <w:rFonts w:ascii="Times New Roman" w:eastAsia="Arial Unicode MS" w:hAnsi="Times New Roman" w:cs="Times New Roman"/>
          <w:noProof/>
          <w:u w:color="000000"/>
          <w:bdr w:val="nil"/>
        </w:rPr>
        <w:footnoteReference w:id="6"/>
      </w:r>
      <w:r>
        <w:rPr>
          <w:rFonts w:ascii="Times New Roman" w:hAnsi="Times New Roman"/>
          <w:noProof/>
          <w:u w:color="000000"/>
          <w:bdr w:val="nil"/>
        </w:rPr>
        <w:t>. Oprócz starań podejmowanych przez przedstawicielstwa dyplomatyczne państw członkowskich w Zjednoczonym Królestwie, przedstawicielstwa Komisji w Zjednoczonym Królestwie oraz odpowiednie służby w Brukseli będą nadal uważnie monitorować działania podejmowane przez Zjednoczone Królestwo w kwestii dalszego pobytu obywateli Unii w Zjednoczonym Królestwie. Zapewnią one zainteresowanym obywatelom dostęp do informacji i fachowej wiedzy.</w:t>
      </w:r>
    </w:p>
    <w:p>
      <w:pPr>
        <w:spacing w:after="240" w:line="240" w:lineRule="auto"/>
        <w:jc w:val="both"/>
        <w:rPr>
          <w:rFonts w:ascii="Times New Roman" w:hAnsi="Times New Roman"/>
          <w:noProof/>
          <w:sz w:val="24"/>
          <w:u w:color="000000"/>
          <w:bdr w:val="nil"/>
        </w:rPr>
      </w:pPr>
      <w:r>
        <w:rPr>
          <w:rFonts w:ascii="Times New Roman" w:hAnsi="Times New Roman"/>
          <w:noProof/>
        </w:rPr>
        <w:t>Wprawdzie uprawnienia obywateli do zabezpieczenia społecznego związane ze Zjednoczonym Królestwem sprzed wystąpienia z UE są chronione na mocy odpowiedniego rozporządzenia awaryjnego</w:t>
      </w:r>
      <w:r>
        <w:rPr>
          <w:rStyle w:val="FootnoteReference"/>
          <w:rFonts w:ascii="Times New Roman" w:hAnsi="Times New Roman"/>
          <w:noProof/>
          <w:u w:color="000000"/>
          <w:bdr w:val="nil"/>
        </w:rPr>
        <w:footnoteReference w:id="7"/>
      </w:r>
      <w:r>
        <w:rPr>
          <w:rFonts w:ascii="Times New Roman" w:hAnsi="Times New Roman"/>
          <w:noProof/>
        </w:rPr>
        <w:t xml:space="preserve">, jednak niektóre państwa członkowskie wprowadzają także jednostronne środki awaryjne na poziomie krajowym na okres po wystąpieniu. Środki te stanowią uzupełnienie ochrony uprawnień do zabezpieczenia społecznego zapewnianej na poziomie UE, przewidując na przykład stosowanie zasady sumowania okresów pracy, ubezpieczenia i zamieszkania w Zjednoczonym Królestwie po wystąpieniu lub dalszą ochronę uprawnień do zabezpieczenia społecznego tych obywateli po wystąpieniu. </w:t>
      </w:r>
      <w:r>
        <w:rPr>
          <w:rFonts w:ascii="Times New Roman" w:hAnsi="Times New Roman"/>
          <w:noProof/>
          <w:u w:color="000000"/>
          <w:bdr w:val="nil"/>
        </w:rPr>
        <w:t>Na swoich stronach internetowych poświęconym kwestiom związanym z gotowością na brexit</w:t>
      </w:r>
      <w:r>
        <w:rPr>
          <w:rStyle w:val="FootnoteReference"/>
          <w:rFonts w:ascii="Times New Roman" w:hAnsi="Times New Roman"/>
          <w:noProof/>
          <w:u w:color="000000"/>
          <w:bdr w:val="nil"/>
        </w:rPr>
        <w:footnoteReference w:id="8"/>
      </w:r>
      <w:r>
        <w:rPr>
          <w:rFonts w:ascii="Times New Roman" w:hAnsi="Times New Roman"/>
          <w:noProof/>
          <w:u w:color="000000"/>
          <w:bdr w:val="nil"/>
        </w:rPr>
        <w:t xml:space="preserve"> Komisja zamieszcza aktualny przegląd wszystkich krajowych środków awaryjnych związanych z uprawnieniami do zabezpieczenia społecznego.</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Dokończenie przygotowań w wybranych sektorach</w:t>
      </w:r>
    </w:p>
    <w:p>
      <w:pPr>
        <w:pStyle w:val="NormalWeb"/>
        <w:spacing w:before="0" w:beforeAutospacing="0" w:after="240" w:afterAutospacing="0"/>
        <w:jc w:val="both"/>
        <w:rPr>
          <w:rFonts w:eastAsia="Arial Unicode MS"/>
          <w:noProof/>
          <w:u w:color="000000"/>
          <w:bdr w:val="nil"/>
        </w:rPr>
      </w:pPr>
      <w:r>
        <w:rPr>
          <w:noProof/>
          <w:u w:color="000000"/>
          <w:bdr w:val="nil"/>
        </w:rPr>
        <w:t>W każdym z pięciu poprzednich</w:t>
      </w:r>
      <w:r>
        <w:rPr>
          <w:noProof/>
        </w:rPr>
        <w:t xml:space="preserve"> komunikatów dotyczących gotowości na brexit</w:t>
      </w:r>
      <w:r>
        <w:rPr>
          <w:rStyle w:val="FootnoteReference"/>
          <w:noProof/>
          <w:u w:color="000000"/>
          <w:bdr w:val="nil"/>
        </w:rPr>
        <w:footnoteReference w:id="9"/>
      </w:r>
      <w:r>
        <w:rPr>
          <w:noProof/>
          <w:u w:color="000000"/>
          <w:bdr w:val="nil"/>
        </w:rPr>
        <w:t xml:space="preserve"> Komisja wzywała zainteresowane strony do przygotowań. Będzie też w dalszym ciągu kierować działania informacyjno-doradcze do wszystkich zainteresowanych stron. Państwa członkowskie i podmioty prywatne, w tym stowarzyszenia i izby handlowe, powinny także w dalszym ciągu przekazywać informacje, żeby pomóc obywatelom i przedsiębiorcom zakończyć przygotowania. Może się to odbywać m.in. za pośrednictwem różnych forów, które utworzono specjalnie w tym celu. </w:t>
      </w:r>
    </w:p>
    <w:p>
      <w:pPr>
        <w:pStyle w:val="NormalWeb"/>
        <w:spacing w:before="0" w:beforeAutospacing="0" w:after="240" w:afterAutospacing="0"/>
        <w:jc w:val="both"/>
        <w:rPr>
          <w:rFonts w:eastAsia="Arial Unicode MS"/>
          <w:noProof/>
          <w:u w:color="000000"/>
          <w:bdr w:val="nil"/>
        </w:rPr>
      </w:pPr>
      <w:r>
        <w:rPr>
          <w:noProof/>
          <w:u w:color="000000"/>
          <w:bdr w:val="nil"/>
        </w:rPr>
        <w:lastRenderedPageBreak/>
        <w:t>Aby ułatwić przedsiębiorcom sprawdzenie stanu przygotowań, Komisja zamieściła na swoich stronach internetowych dotyczących gotowości na brexit listę kontrolną</w:t>
      </w:r>
      <w:r>
        <w:rPr>
          <w:rStyle w:val="FootnoteReference"/>
          <w:noProof/>
          <w:u w:color="000000"/>
          <w:bdr w:val="nil"/>
        </w:rPr>
        <w:footnoteReference w:id="10"/>
      </w:r>
      <w:r>
        <w:rPr>
          <w:noProof/>
          <w:u w:color="000000"/>
          <w:bdr w:val="nil"/>
        </w:rPr>
        <w:t>. Pomoże ona stwierdzić, jakie działania są jeszcze konieczne, aby dokończyć przygotowania na wypadek bezumownego wystąpienia, do którego może dojść w dniu 1 listopada 2019 r. Komisja opublikowała także zawiadomienia dla zainteresowanych stron poświęcone różnym zagadnieniom w poszczególnych sektorach</w:t>
      </w:r>
      <w:r>
        <w:rPr>
          <w:rStyle w:val="FootnoteReference"/>
          <w:noProof/>
          <w:u w:color="000000"/>
          <w:bdr w:val="nil"/>
        </w:rPr>
        <w:footnoteReference w:id="11"/>
      </w:r>
      <w:r>
        <w:rPr>
          <w:noProof/>
          <w:u w:color="000000"/>
          <w:bdr w:val="nil"/>
        </w:rPr>
        <w:t xml:space="preserve">. Podobne pomoce zostały opracowane na poziomie krajowym oraz przez różne stowarzyszenia przedsiębiorców. Wszystkie podmioty gospodarcze zachęca się do korzystania z tego rodzaju pomocy. </w:t>
      </w:r>
    </w:p>
    <w:p>
      <w:pPr>
        <w:pStyle w:val="NormalWeb"/>
        <w:spacing w:before="0" w:beforeAutospacing="0" w:after="240" w:afterAutospacing="0"/>
        <w:jc w:val="both"/>
        <w:rPr>
          <w:noProof/>
        </w:rPr>
      </w:pPr>
      <w:r>
        <w:rPr>
          <w:noProof/>
        </w:rPr>
        <w:t>W niniejszej sekcji skupiono się na obszarach, które w nadchodzących miesiącach nadal wymagają szczególnej uwagi.</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Formalności graniczne i handel</w:t>
      </w:r>
    </w:p>
    <w:p>
      <w:pPr>
        <w:spacing w:after="240" w:line="240" w:lineRule="auto"/>
        <w:jc w:val="both"/>
        <w:rPr>
          <w:rFonts w:ascii="Times New Roman" w:hAnsi="Times New Roman" w:cs="Times New Roman"/>
          <w:noProof/>
          <w:sz w:val="24"/>
          <w:szCs w:val="24"/>
        </w:rPr>
      </w:pPr>
      <w:r>
        <w:rPr>
          <w:rFonts w:ascii="Times New Roman" w:hAnsi="Times New Roman"/>
          <w:noProof/>
          <w:u w:color="000000"/>
          <w:bdr w:val="nil"/>
        </w:rPr>
        <w:t>Wystąpienie wpłynie na wszystkie sektory, w których prowadzony jest handel towarami i usługami ze Zjednoczonym Królestwem. Szczególnie w przypadku handlu towarami</w:t>
      </w:r>
      <w:r>
        <w:rPr>
          <w:rFonts w:ascii="Times New Roman" w:hAnsi="Times New Roman"/>
          <w:noProof/>
        </w:rPr>
        <w:t xml:space="preserve"> podmioty gospodarcze powinny przygotować się na znaczące konsekwencje, </w:t>
      </w:r>
      <w:r>
        <w:rPr>
          <w:rFonts w:ascii="Times New Roman" w:hAnsi="Times New Roman"/>
          <w:noProof/>
          <w:u w:color="000000"/>
          <w:bdr w:val="nil"/>
        </w:rPr>
        <w:t>jeżeli</w:t>
      </w:r>
      <w:r>
        <w:rPr>
          <w:rFonts w:ascii="Times New Roman" w:hAnsi="Times New Roman"/>
          <w:noProof/>
        </w:rPr>
        <w:t xml:space="preserve"> chodzi o formalności celne, podatki pośrednie oraz, w stosownych przypadkach, kontrole sanitarne i fitosanitarne od dnia 1 listopada 2019 r., w razie gdyby Zjednoczone Królestwo wystąpiło z Unii bez umowy. Do tych konsekwencji zalicza się między innymi konieczność dopełnienia</w:t>
      </w:r>
      <w:r>
        <w:rPr>
          <w:rFonts w:ascii="Times New Roman" w:hAnsi="Times New Roman"/>
          <w:b/>
          <w:noProof/>
        </w:rPr>
        <w:t xml:space="preserve"> </w:t>
      </w:r>
      <w:r>
        <w:rPr>
          <w:rFonts w:ascii="Times New Roman" w:hAnsi="Times New Roman"/>
          <w:noProof/>
        </w:rPr>
        <w:t xml:space="preserve">formalności celnych. Konieczne będzie składanie deklaracji, a organy celne mogą żądać zabezpieczeń potencjalnego lub istniejącego długu celnego. W odniesieniu do niektórych towarów wwożonych do UE ze Zjednoczonego Królestwa lub wywożonych z UE do Zjednoczonego Królestwa mogą także obowiązywać </w:t>
      </w:r>
      <w:r>
        <w:rPr>
          <w:rFonts w:ascii="Times New Roman" w:hAnsi="Times New Roman"/>
          <w:bCs/>
          <w:noProof/>
        </w:rPr>
        <w:t>zakazy lub ograniczenia</w:t>
      </w:r>
      <w:r>
        <w:rPr>
          <w:rFonts w:ascii="Times New Roman" w:hAnsi="Times New Roman"/>
          <w:noProof/>
        </w:rPr>
        <w:t>, co oznacza, że wymagane może być posiadanie pozwolenia na przywóz lub wywóz.</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Od dnia 1 listopada 2019 r. towary ze Zjednoczonego Królestwa wwożone do UE będą także podlegać należnościom </w:t>
      </w:r>
      <w:r>
        <w:rPr>
          <w:rFonts w:ascii="Times New Roman" w:hAnsi="Times New Roman"/>
          <w:bCs/>
          <w:noProof/>
        </w:rPr>
        <w:t>celnym</w:t>
      </w:r>
      <w:r>
        <w:rPr>
          <w:rStyle w:val="FootnoteReference"/>
          <w:rFonts w:ascii="Times New Roman" w:hAnsi="Times New Roman" w:cs="Times New Roman"/>
          <w:noProof/>
        </w:rPr>
        <w:footnoteReference w:id="12"/>
      </w:r>
      <w:r>
        <w:rPr>
          <w:rFonts w:ascii="Times New Roman" w:hAnsi="Times New Roman"/>
          <w:noProof/>
        </w:rPr>
        <w:t>, a towary unijne mogą podlegać należnościom celnym w Zjednoczonym Królestwie. Średnie stawki unijne wynoszą ok. 2,7 % w przypadku produktów nierolnych przywożonych do Unii, i 8,1 % w przypadku produktów rolnych</w:t>
      </w:r>
      <w:r>
        <w:rPr>
          <w:rStyle w:val="FootnoteReference"/>
          <w:rFonts w:ascii="Times New Roman" w:hAnsi="Times New Roman" w:cs="Times New Roman"/>
          <w:noProof/>
        </w:rPr>
        <w:footnoteReference w:id="13"/>
      </w:r>
      <w:r>
        <w:rPr>
          <w:rFonts w:ascii="Times New Roman" w:hAnsi="Times New Roman"/>
          <w:noProof/>
        </w:rPr>
        <w:t>. Na przykład średnia stawka na przetwory mleczne wynosi 44,8 %, na mięso – 17,8 %, na ryby – 11,4 %, na ubrania – 11,5 %, a na samochody – 10 %</w:t>
      </w:r>
      <w:r>
        <w:rPr>
          <w:rStyle w:val="FootnoteReference"/>
          <w:rFonts w:ascii="Times New Roman" w:hAnsi="Times New Roman" w:cs="Times New Roman"/>
          <w:noProof/>
        </w:rPr>
        <w:footnoteReference w:id="14"/>
      </w:r>
      <w:r>
        <w:rPr>
          <w:rFonts w:ascii="Times New Roman" w:hAnsi="Times New Roman"/>
          <w:noProof/>
        </w:rPr>
        <w:t xml:space="preserve">. Podmioty gospodarcze z UE-27 powinny ocenić swoje łańcuchy dostaw i upewnić się, że w swoich planach biznesowych uwzględniły stosowanie tych należności celnych. Państwa członkowskie będą także pobierać </w:t>
      </w:r>
      <w:r>
        <w:rPr>
          <w:rFonts w:ascii="Times New Roman" w:hAnsi="Times New Roman"/>
          <w:bCs/>
          <w:noProof/>
        </w:rPr>
        <w:t>podatek od wartości dodanej przy przywozie</w:t>
      </w:r>
      <w:r>
        <w:rPr>
          <w:rFonts w:ascii="Times New Roman" w:hAnsi="Times New Roman"/>
          <w:noProof/>
        </w:rPr>
        <w:t xml:space="preserve"> towarów ze Zjednoczonego Królestwa do UE. </w:t>
      </w:r>
    </w:p>
    <w:p>
      <w:pPr>
        <w:pStyle w:val="NormalWeb"/>
        <w:spacing w:before="0" w:beforeAutospacing="0" w:after="240" w:afterAutospacing="0"/>
        <w:jc w:val="both"/>
        <w:rPr>
          <w:rFonts w:eastAsia="Arial Unicode MS"/>
          <w:noProof/>
          <w:u w:color="000000"/>
          <w:bdr w:val="nil"/>
        </w:rPr>
      </w:pPr>
      <w:r>
        <w:rPr>
          <w:noProof/>
          <w:u w:color="000000"/>
          <w:bdr w:val="nil"/>
        </w:rPr>
        <w:t xml:space="preserve">Aby jak najbardziej ograniczyć zakłócenia w handlu towarami, które będą przewożone przez granice począwszy od pierwszego dnia po wystąpieniu, przedsiębiorstwa handlowe oraz przewoźnicy i nadawcy towarów z całej Europy, którzy zamierzają przewozić towary do lub ze Zjednoczonego Królestwa, powinni być gotowi na konieczność dopełnienia wszystkich wymaganych formalności. Muszą się do tego przygotować bez względu na miejsce siedziby. Dotyczy to nie tylko podmiotów, które mają siedzibę w regionach sąsiadujących ze Zjednoczonym Królestwem lub które mają duże obroty handlowe z tym państwem. </w:t>
      </w:r>
    </w:p>
    <w:p>
      <w:pPr>
        <w:pStyle w:val="NormalWeb"/>
        <w:spacing w:before="0" w:beforeAutospacing="0" w:after="240" w:afterAutospacing="0"/>
        <w:jc w:val="both"/>
        <w:rPr>
          <w:rFonts w:eastAsia="Arial Unicode MS"/>
          <w:noProof/>
          <w:u w:color="000000"/>
          <w:bdr w:val="nil"/>
        </w:rPr>
      </w:pPr>
      <w:r>
        <w:rPr>
          <w:noProof/>
          <w:u w:color="000000"/>
          <w:bdr w:val="nil"/>
        </w:rPr>
        <w:t>Wszystkie podmioty w łańcuchu dostaw muszą być świadome odpowiedzialności, jaka na nich spoczywa w związku z koniecznością dopełnienia wszelkich wymaganych formalności, i powinny zadbać o posiadanie odpowiednich wymaganych dokumentów i zaświadczeń. Przygotowanie się na wypadek konieczności dopełnienia odpowiednich formalności może być czasochłonne i wymagać kontaktów z właściwymi organami po obu stronach granicy. Przewożone towary można objąć wspólną procedurą tranzytową, aby ograniczyć formalności przy przekraczaniu granic</w:t>
      </w:r>
      <w:r>
        <w:rPr>
          <w:rStyle w:val="FootnoteReference"/>
          <w:noProof/>
        </w:rPr>
        <w:footnoteReference w:id="15"/>
      </w:r>
      <w:r>
        <w:rPr>
          <w:noProof/>
          <w:u w:color="000000"/>
          <w:bdr w:val="nil"/>
        </w:rPr>
        <w:t xml:space="preserve">. Zważywszy na ewentualne zakłócenia na granicach po wystąpieniu, przedsiębiorstwa handlowe oraz przewoźnicy i nadawcy towarów powinni sprawdzić sytuację na zwykle wybieranej trasie przewozów handlowych i podjąć odpowiednie działania. </w:t>
      </w:r>
    </w:p>
    <w:p>
      <w:pPr>
        <w:pStyle w:val="NormalWeb"/>
        <w:spacing w:before="0" w:beforeAutospacing="0" w:after="240" w:afterAutospacing="0"/>
        <w:jc w:val="both"/>
        <w:rPr>
          <w:rFonts w:eastAsia="Arial Unicode MS"/>
          <w:noProof/>
          <w:u w:color="000000"/>
          <w:bdr w:val="nil"/>
        </w:rPr>
      </w:pPr>
      <w:r>
        <w:rPr>
          <w:noProof/>
          <w:u w:color="000000"/>
          <w:bdr w:val="nil"/>
        </w:rPr>
        <w:t>Przy wywozie towarów pochodzących z UE konieczne jest spełnienie niezbędnych wymogów, aby można było skorzystać z preferencji handlowych przyznanych w umowach handlowych</w:t>
      </w:r>
      <w:r>
        <w:rPr>
          <w:rStyle w:val="FootnoteReference"/>
          <w:noProof/>
          <w:u w:color="000000"/>
          <w:bdr w:val="nil"/>
        </w:rPr>
        <w:footnoteReference w:id="16"/>
      </w:r>
      <w:r>
        <w:rPr>
          <w:noProof/>
          <w:u w:color="000000"/>
          <w:bdr w:val="nil"/>
        </w:rPr>
        <w:t>. Materiały, części i komponenty pochodzące ze Zjednoczonego Królestwa zawarte w towarach wyprodukowanych w UE nie będą uznawane za pochodzące z UE. Podmioty gospodarcze muszą zatem dostosować swoje łańcuchy dostaw i zadbać o to, aby wywożone towary oraz wszystkie dokumenty i formalności były zgodne z wymogami dotyczącymi reguł pochodzenia zawartymi w odpowiednich umowach handlowych.</w:t>
      </w:r>
    </w:p>
    <w:p>
      <w:pPr>
        <w:pStyle w:val="NormalWeb"/>
        <w:spacing w:before="0" w:beforeAutospacing="0" w:after="240" w:afterAutospacing="0"/>
        <w:jc w:val="both"/>
        <w:rPr>
          <w:rFonts w:eastAsia="Arial Unicode MS"/>
          <w:noProof/>
          <w:u w:color="000000"/>
          <w:bdr w:val="nil"/>
        </w:rPr>
      </w:pPr>
      <w:r>
        <w:rPr>
          <w:noProof/>
          <w:u w:color="000000"/>
          <w:bdr w:val="nil"/>
        </w:rPr>
        <w:t xml:space="preserve">Komisja przygotowała wiele zawiadomień i szczegółowych wskazówek w dziedzinie ceł, pochodzenia, podatku od wartości dodanej i akcyzy, która można znaleźć </w:t>
      </w:r>
      <w:r>
        <w:rPr>
          <w:i/>
          <w:iCs/>
          <w:noProof/>
          <w:u w:color="000000"/>
          <w:bdr w:val="nil"/>
        </w:rPr>
        <w:t>online</w:t>
      </w:r>
      <w:r>
        <w:rPr>
          <w:rStyle w:val="FootnoteReference"/>
          <w:noProof/>
        </w:rPr>
        <w:footnoteReference w:id="17"/>
      </w:r>
      <w:r>
        <w:rPr>
          <w:noProof/>
          <w:u w:color="000000"/>
          <w:bdr w:val="nil"/>
        </w:rPr>
        <w:t>. W internecie dostępne są także krótkie szkolenia e-learningowe poświęcone konsekwencjom brexitu w zakresie ceł i podatków, a także praktyczne karty informacyjne z wyjaśnieniem najważniejszych pojęć celnych</w:t>
      </w:r>
      <w:r>
        <w:rPr>
          <w:rStyle w:val="FootnoteReference"/>
          <w:noProof/>
        </w:rPr>
        <w:footnoteReference w:id="18"/>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W swoim piątym komunikacie dotyczącym gotowości na brexit z dnia 12 czerwca 2019 r.</w:t>
      </w:r>
      <w:r>
        <w:rPr>
          <w:rStyle w:val="FootnoteReference"/>
          <w:noProof/>
        </w:rPr>
        <w:footnoteReference w:id="19"/>
      </w:r>
      <w:r>
        <w:rPr>
          <w:noProof/>
          <w:u w:color="000000"/>
          <w:bdr w:val="nil"/>
        </w:rPr>
        <w:t xml:space="preserve"> Komisja podkreśliła, że pierwszy etap kampanii informacyjnej już pokazał, że niektóre przedsiębiorstwa podjęły działania, ale przygotowania we wszystkich państwach członkowskich trzeba kontynuować do dnia wystąpienia. Komisji nasili teraz swoją wielojęzyczną kampanię informacyjną</w:t>
      </w:r>
      <w:r>
        <w:rPr>
          <w:rStyle w:val="FootnoteReference"/>
          <w:noProof/>
        </w:rPr>
        <w:footnoteReference w:id="20"/>
      </w:r>
      <w:r>
        <w:rPr>
          <w:noProof/>
          <w:u w:color="000000"/>
          <w:bdr w:val="nil"/>
        </w:rPr>
        <w:t>, rozpoczętą dnia 18 lutego 2019 r., skierowaną do unijnych przedsiębiorstw, a wszystkie związane z nią informacje są dostępne publicznie</w:t>
      </w:r>
      <w:r>
        <w:rPr>
          <w:rStyle w:val="FootnoteReference"/>
          <w:noProof/>
        </w:rPr>
        <w:footnoteReference w:id="21"/>
      </w:r>
      <w:r>
        <w:rPr>
          <w:noProof/>
          <w:u w:color="000000"/>
          <w:bdr w:val="nil"/>
        </w:rPr>
        <w:t xml:space="preserve">. </w:t>
      </w:r>
    </w:p>
    <w:p>
      <w:pPr>
        <w:pStyle w:val="NormalWeb"/>
        <w:spacing w:before="0" w:beforeAutospacing="0" w:after="240" w:afterAutospacing="0"/>
        <w:jc w:val="both"/>
        <w:rPr>
          <w:rFonts w:eastAsia="Arial Unicode MS"/>
          <w:noProof/>
          <w:u w:color="000000"/>
          <w:bdr w:val="nil"/>
        </w:rPr>
      </w:pPr>
      <w:r>
        <w:rPr>
          <w:noProof/>
          <w:u w:color="000000"/>
          <w:bdr w:val="nil"/>
        </w:rPr>
        <w:t xml:space="preserve">Państwa członkowskie, szczególnie te, które są głównymi punktami wejściowymi i wyjściowymi w handlu między UE a Zjednoczonym Królestwem, poczyniły ze swojej strony znaczne inwestycje w zasoby ludzkie i infrastrukturę, zarówno fizyczną (w tym punkty kontroli granicznej), jak i technologiczną, aby ułatwić przepływ towarów na swoich granicach ze Zjednoczonym Królestwem. </w:t>
      </w:r>
      <w:r>
        <w:rPr>
          <w:noProof/>
        </w:rPr>
        <w:t>Ponadto te państwa członkowskie prowadzą i w nadchodzących miesiącach dalej będą prowadzić kampanie informacyjne, aby wyjaśniać wszystkim zainteresowanym niezbędne formalności związane zarówno z kontrolami celnymi</w:t>
      </w:r>
      <w:r>
        <w:rPr>
          <w:rStyle w:val="FootnoteReference"/>
          <w:noProof/>
        </w:rPr>
        <w:footnoteReference w:id="22"/>
      </w:r>
      <w:r>
        <w:rPr>
          <w:noProof/>
        </w:rPr>
        <w:t>, jak i kontrolami sanitarnymi i fitosanitarnymi</w:t>
      </w:r>
      <w:r>
        <w:rPr>
          <w:rStyle w:val="FootnoteReference"/>
          <w:noProof/>
        </w:rPr>
        <w:footnoteReference w:id="23"/>
      </w:r>
      <w:r>
        <w:rPr>
          <w:noProof/>
        </w:rPr>
        <w:t>.</w:t>
      </w:r>
      <w:r>
        <w:rPr>
          <w:noProof/>
          <w:u w:color="000000"/>
          <w:bdr w:val="nil"/>
        </w:rPr>
        <w:t xml:space="preserve"> Zachęca się przedsiębiorstwa handlowe oraz przewoźników i nadawców towarów do zapoznania się ze stosownymi formalnościami, a także z procedurami i infrastrukturą techniczną, z jakich korzysta się na przewidywanych przez nich trasach przewozów handlowych</w:t>
      </w:r>
      <w:r>
        <w:rPr>
          <w:rStyle w:val="FootnoteReference"/>
          <w:noProof/>
        </w:rPr>
        <w:footnoteReference w:id="24"/>
      </w:r>
      <w:r>
        <w:rPr>
          <w:noProof/>
          <w:u w:color="000000"/>
          <w:bdr w:val="nil"/>
        </w:rPr>
        <w:t xml:space="preserv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Produkty lecznicze, wyroby medyczne i substancje chemiczne</w:t>
      </w:r>
    </w:p>
    <w:p>
      <w:pPr>
        <w:spacing w:after="240" w:line="240" w:lineRule="auto"/>
        <w:jc w:val="both"/>
        <w:rPr>
          <w:rFonts w:ascii="Times New Roman" w:hAnsi="Times New Roman" w:cs="Times New Roman"/>
          <w:noProof/>
          <w:sz w:val="24"/>
          <w:szCs w:val="24"/>
        </w:rPr>
      </w:pPr>
      <w:r>
        <w:rPr>
          <w:rFonts w:ascii="Times New Roman" w:hAnsi="Times New Roman"/>
          <w:noProof/>
        </w:rPr>
        <w:t>Wprawdzie przygotowania do wystąpienia Zjednoczonego Królestwa z UE prowadzone w takich dziedzinach, jak produkty lecznicze, wyroby medyczne i substancje chemiczne, przyspieszyły pod koniec marca i na początku kwietnia 2019 r., jednak trzeba podjąć jeszcze ostatnie znaczące starania</w:t>
      </w:r>
      <w:r>
        <w:rPr>
          <w:rStyle w:val="FootnoteReference"/>
          <w:rFonts w:ascii="Times New Roman" w:hAnsi="Times New Roman" w:cs="Times New Roman"/>
          <w:noProof/>
        </w:rPr>
        <w:footnoteReference w:id="25"/>
      </w:r>
      <w:r>
        <w:rPr>
          <w:rFonts w:ascii="Times New Roman" w:hAnsi="Times New Roman"/>
          <w:noProof/>
        </w:rPr>
        <w:t>. Komisja wraz z Europejską Agencją Leków, siecią szefów agencji ds. leków, siecią właściwych organów ds. wyrobów medycznych oraz Europejską Agencją Chemikaliów stale przypomina zainteresowanym stronom o konieczności przygotowań przed dniem 31 października 2019. Bez zmian pozostaje to, że produktów leczniczych, wyrobów medycznych i substancji chemicznych nie można wprowadzać na rynek UE po tej dacie, jeżeli nie zostanie zapewniona ich zgodność z przepisami UE. Komisja uważa, że obecne przedłużenie okresu przewidzianego w art. 50 ust. 3 TUE zapewnia wystarczająco dużo czasu na przygotowania, i nie planuje żadnych dodatkowych środków awaryjnych.</w:t>
      </w:r>
    </w:p>
    <w:p>
      <w:pPr>
        <w:keepNext/>
        <w:spacing w:line="240" w:lineRule="auto"/>
        <w:jc w:val="both"/>
        <w:rPr>
          <w:rFonts w:ascii="Times New Roman" w:hAnsi="Times New Roman" w:cs="Times New Roman"/>
          <w:b/>
          <w:i/>
          <w:noProof/>
          <w:sz w:val="24"/>
          <w:szCs w:val="24"/>
        </w:rPr>
      </w:pPr>
      <w:r>
        <w:rPr>
          <w:rFonts w:ascii="Times New Roman" w:hAnsi="Times New Roman"/>
          <w:b/>
          <w:i/>
          <w:noProof/>
        </w:rPr>
        <w:t>Produkty lecznicze</w:t>
      </w:r>
    </w:p>
    <w:p>
      <w:pPr>
        <w:spacing w:after="240" w:line="240" w:lineRule="auto"/>
        <w:jc w:val="both"/>
        <w:rPr>
          <w:rFonts w:ascii="Times New Roman" w:hAnsi="Times New Roman" w:cs="Times New Roman"/>
          <w:noProof/>
          <w:sz w:val="24"/>
          <w:szCs w:val="24"/>
        </w:rPr>
      </w:pPr>
      <w:r>
        <w:rPr>
          <w:rFonts w:ascii="Times New Roman" w:hAnsi="Times New Roman"/>
          <w:noProof/>
        </w:rPr>
        <w:t>Zezwolenia na produkty lecznicze stosowane u ludzi i zwierząt są wydawane centralnie przez Komisję lub przez organy krajowe państw członkowskich. Wystąpienie Zjednoczonego Królestwa ma wpływ na obydwie kategorie produktów leczniczych. Jak wskazano w piątym komunikacie dotyczącym gotowości na brexit z dnia 12 czerwca 2019 r.</w:t>
      </w:r>
      <w:r>
        <w:rPr>
          <w:rStyle w:val="FootnoteReference"/>
          <w:rFonts w:ascii="Times New Roman" w:hAnsi="Times New Roman" w:cs="Times New Roman"/>
          <w:noProof/>
        </w:rPr>
        <w:footnoteReference w:id="26"/>
      </w:r>
      <w:r>
        <w:rPr>
          <w:rFonts w:ascii="Times New Roman" w:hAnsi="Times New Roman"/>
          <w:noProof/>
        </w:rPr>
        <w:t>, w kwietniu 2019 r. Europejska Agencja Leków była bliska zakończenia procesu zapewniania zgodności z przepisami w odniesieniu do niemal wszystkich produktów dopuszczonych do obrotu centralnie, natomiast dalsze działania były konieczne w odniesieniu do produktów dopuszczonych na poziomie krajowym. Od tamtego czasu osiągnięto znaczne postępy i obecnie w odniesieniu do ponad 80 % produktów dopuszczonych na poziomie krajowym prace są na tyle zaawansowane, że do dnia 31 października 2019 r. powinna zostać zapewniona zgodność z przepisami. Postępy te osiągnięto częściowo dzięki udzieleniu przedsiębiorstwom tymczasowego zwolnienia, tak by mogły one przenieść swoje obiekty służące do badania partii produktów ze Zjednoczonego Królestwa do UE-27 do końca 2019 r. Te zmiany są pozytywne, ale i tak zdecydowanie zachęca się podmioty z branży do zapewnienia pełnej zgodności z przepisami wszystkich dopuszczonych produktów, których to dotyczy, do dnia 31 października 2019 r. oraz do zakończenia procesu przenoszenia obiektów do testowania partii produktów do dnia 31 grudnia 2019 r., aby dane produkty mogły być nadal wprowadzane na rynek UE. Ponadto, zważywszy na szczególne wyzwania, przed jakimi stoją mniejsze państwa członkowskie, które w przeszłości w dużym stopniu polegały na pozwoleniach na dopuszczenie do obrotu wydawanych w Zjednoczonym Królestwie, na branży spoczywa obowiązek współpracy z tymi państwami członkowskimi w celu zapewnienia im dostępności produktów leczniczych.</w:t>
      </w:r>
    </w:p>
    <w:p>
      <w:pPr>
        <w:keepNext/>
        <w:spacing w:line="240" w:lineRule="auto"/>
        <w:jc w:val="both"/>
        <w:rPr>
          <w:rFonts w:ascii="Times New Roman" w:hAnsi="Times New Roman" w:cs="Times New Roman"/>
          <w:b/>
          <w:i/>
          <w:noProof/>
          <w:sz w:val="24"/>
          <w:szCs w:val="24"/>
        </w:rPr>
      </w:pPr>
      <w:r>
        <w:rPr>
          <w:rFonts w:ascii="Times New Roman" w:hAnsi="Times New Roman"/>
          <w:b/>
          <w:i/>
          <w:noProof/>
        </w:rPr>
        <w:t>Wyroby medyczne</w:t>
      </w:r>
    </w:p>
    <w:p>
      <w:pPr>
        <w:spacing w:after="240" w:line="240" w:lineRule="auto"/>
        <w:jc w:val="both"/>
        <w:rPr>
          <w:rFonts w:ascii="Times New Roman" w:hAnsi="Times New Roman" w:cs="Times New Roman"/>
          <w:noProof/>
          <w:sz w:val="24"/>
          <w:szCs w:val="24"/>
        </w:rPr>
      </w:pPr>
      <w:r>
        <w:rPr>
          <w:rFonts w:ascii="Times New Roman" w:hAnsi="Times New Roman"/>
          <w:noProof/>
        </w:rPr>
        <w:t>Dane pochodzące od jednostek notyfikowanych w Zjednoczonym Królestwie wskazują, że przenoszenie certyfikatów dotyczących wyrobów medycznych wprowadzonych do obrotu w UE-27 do jednostek notyfikowanych UE-27 jest na zaawansowanym etapie i odniesieniu do przeważającej większości wyrobów zostanie zakończone do dnia 31 października 2019 r. Grupa zadaniowa ds. brexitu w ramach sieci właściwych organów ds. wyrobów medycznych w ścisłej współpracy z Komisją śledzi postępy w odniesieniu do pozostałych certyfikatów na podstawie informacji zwrotnych uzyskanych w odpowiedzi na ankietę przeprowadzoną latem 2019 r. wśród zainteresowanych producentów i jednostek notyfikowanych. Jej wyniki wskazują, że nadal są producenci, którzy nie podjęli wszystkich działań niezbędnych do przeniesienia certyfikatów do jednostki notyfikowanej UE-27. Zdecydowanie zachęca się, by pozostali producenci i jednostki notyfikowane w Zjednoczonym Królestwie zapewnili przekazanie wszystkich stosownych certyfikatów i zakończyli niezbędne dostosowania etykiet produktów do dnia wystąpienia, tak aby producenci mogli w dalszym ciągu wprowadzać swoje produkty do obrotu w UE. Komisja oraz sieć właściwych organów ds. wyrobów medycznych będą w dalszym ciągu monitorować rozwój sytuacji we wrześniu i w październiku.</w:t>
      </w:r>
    </w:p>
    <w:p>
      <w:pPr>
        <w:keepNext/>
        <w:spacing w:line="240" w:lineRule="auto"/>
        <w:jc w:val="both"/>
        <w:rPr>
          <w:rFonts w:ascii="Times New Roman" w:hAnsi="Times New Roman" w:cs="Times New Roman"/>
          <w:b/>
          <w:i/>
          <w:noProof/>
          <w:sz w:val="24"/>
          <w:szCs w:val="24"/>
        </w:rPr>
      </w:pPr>
      <w:r>
        <w:rPr>
          <w:rFonts w:ascii="Times New Roman" w:hAnsi="Times New Roman"/>
          <w:b/>
          <w:i/>
          <w:noProof/>
        </w:rPr>
        <w:t xml:space="preserve">Substancje chemiczne </w:t>
      </w:r>
    </w:p>
    <w:p>
      <w:pPr>
        <w:spacing w:after="240" w:line="240" w:lineRule="auto"/>
        <w:jc w:val="both"/>
        <w:rPr>
          <w:rFonts w:ascii="Times New Roman" w:hAnsi="Times New Roman" w:cs="Times New Roman"/>
          <w:noProof/>
          <w:sz w:val="24"/>
          <w:szCs w:val="24"/>
        </w:rPr>
      </w:pPr>
      <w:r>
        <w:rPr>
          <w:rFonts w:ascii="Times New Roman" w:hAnsi="Times New Roman"/>
          <w:noProof/>
        </w:rPr>
        <w:t>Jeśli chodzi o substancje chemiczne, jedynie 52 % zainteresowanych rejestrujących w systemie REACH</w:t>
      </w:r>
      <w:r>
        <w:rPr>
          <w:rStyle w:val="FootnoteReference"/>
          <w:rFonts w:ascii="Times New Roman" w:hAnsi="Times New Roman" w:cs="Times New Roman"/>
          <w:noProof/>
        </w:rPr>
        <w:footnoteReference w:id="27"/>
      </w:r>
      <w:r>
        <w:rPr>
          <w:rFonts w:ascii="Times New Roman" w:hAnsi="Times New Roman"/>
          <w:noProof/>
        </w:rPr>
        <w:t xml:space="preserve"> przekazało swoje rejestracje do UE-27 do połowy sierpnia 2019 r. Europejska Agencja Chemikaliów otworzyła „okno dla brexitu” w REACH-IT, aby rejestrujący mogli podjąć niezbędne działania w celu przekazania rejestracji REACH przed dniem wystąpienia. „Okno dla brexitu” pozostanie otwarte do dnia 31 października 2019 r. Jeżeli chodzi o zezwolenia w ramach REACH, wzywa się posiadaczy zezwoleń w Zjednoczonym Królestwie, składających wnioski o zezwolenie w Zjednoczonym Królestwie oraz dalszych użytkowników w Zjednoczonym Królestwie, dostarczających substancje lub mieszaniny do UE-27 w ramach istniejących łańcuchów dostaw, do podjęcia niezbędnych kroków, aby umożliwić odpowiednim dalszym użytkownikom w UE-27 zachowanie zgodności z przepisami. Z kolei dalsi użytkownicy w UE-27 substancji zarejestrowanych przez rejestrujących ze Zjednoczonego Królestwa, posiadacze zezwoleń w Zjednoczonym Królestwie, składający wnioski o zezwolenie w Zjednoczonym Królestwie oraz dalsi użytkownicy w Zjednoczonym Królestwie powinni sprawdzić u swoich dostawców, czy do dnia 31 października 2019 r. zostanie zapewniona zgodność odnośnych produktów z przepisami, a w stosownych przypadkach podjąć odpowiednie działania, korzystając z dostępnych wskazówek</w:t>
      </w:r>
      <w:r>
        <w:rPr>
          <w:rStyle w:val="FootnoteReference"/>
          <w:rFonts w:ascii="Times New Roman" w:hAnsi="Times New Roman" w:cs="Times New Roman"/>
          <w:noProof/>
        </w:rPr>
        <w:footnoteReference w:id="28"/>
      </w:r>
      <w:r>
        <w:rPr>
          <w:rFonts w:ascii="Times New Roman" w:hAnsi="Times New Roman"/>
          <w:noProof/>
        </w:rPr>
        <w:t>. Zgodność z przepisami ma podstawowe znaczenie dla kontynuowania wprowadzania chemikaliów do obrotu w UE po dniu wystąpienia.</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Usługi finansowe</w:t>
      </w:r>
    </w:p>
    <w:p>
      <w:pPr>
        <w:spacing w:after="240" w:line="240" w:lineRule="auto"/>
        <w:jc w:val="both"/>
        <w:rPr>
          <w:rFonts w:ascii="Times New Roman" w:hAnsi="Times New Roman" w:cs="Times New Roman"/>
          <w:noProof/>
          <w:sz w:val="24"/>
          <w:szCs w:val="24"/>
        </w:rPr>
      </w:pPr>
      <w:r>
        <w:rPr>
          <w:rFonts w:ascii="Times New Roman" w:hAnsi="Times New Roman"/>
          <w:noProof/>
        </w:rPr>
        <w:t>W dziedzinie usług finansowych Komisja zdecydowanie zachęca zakłady ubezpieczeń i inne podmioty świadczące usługi finansowe, które jeszcze tego nie uczyniły, do zakończenia przygotowań do dnia 31 października 2019 r.</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W dniu 19 grudnia 2018 r. Komisja wprowadziła kilka środków awaryjnych; przyjęła m.in. dwie ściśle ograniczone w czasie decyzje w kwestii równoważności, aby umożliwić podmiotom z UE-27 przeniesienie ich stosunków umownych na usługodawców, którzy mogą prowadzić działalność na terenie UE-27. W pierwszej z tych dwóch decyzji zezwala się Europejskiemu Urzędowi Nadzoru Giełd i Papierów Wartościowych na tymczasowe uznawanie kontrahentów centralnych obecnie mających siedzibę w Zjednoczonym Królestwie, co pozwala im na dalsze świadczenie usług w Unii. Decyzja ta wygasa dnia 30 marca 2020 r. W drugiej decyzji tymczasowo zezwala się centralnym depozytom papierów wartościowych w Zjednoczonym Królestwie na dalsze świadczenie usług notarialnych i centralnych usług prowadzenia rachunku na rzecz podmiotów w Unii. Decyzja ta wygasa dnia 30 marca 2021 r. Ponadto Komisja przyjęła dwa rozporządzenia delegowane, aby umożliwić podmiotom z UE-27, które mają obowiązujące nierozliczone kontrakty pochodne, zastąpienie kontrahentów ze Zjednoczonego Królestwa kontrahentami z UE w terminie 12 miesięcy od wystąpienia Zjednoczonego Królestwa z UE, bez utraty ostrożnościowego traktowania, które obecnie przysługuje tym kontraktom. Komisja ocenia, że przedsiębiorstwa przygotowały się w dużej mierze na </w:t>
      </w:r>
      <w:r>
        <w:rPr>
          <w:rFonts w:ascii="Times New Roman" w:hAnsi="Times New Roman"/>
          <w:noProof/>
          <w:u w:color="000000"/>
          <w:bdr w:val="nil"/>
        </w:rPr>
        <w:t>wystąpienie bez umowy</w:t>
      </w:r>
      <w:r>
        <w:rPr>
          <w:rFonts w:ascii="Times New Roman" w:hAnsi="Times New Roman"/>
          <w:noProof/>
          <w:bdr w:val="none" w:sz="0" w:space="0" w:color="auto" w:frame="1"/>
        </w:rPr>
        <w:t>, m.in. przez nowację (odnowienie) swoich obowiązujących kontraktów celem zastąpienia kontrahentów ze Zjednoczonego Królestwa,</w:t>
      </w:r>
      <w:r>
        <w:rPr>
          <w:rFonts w:ascii="Times New Roman" w:hAnsi="Times New Roman"/>
          <w:noProof/>
        </w:rPr>
        <w:t xml:space="preserve"> oraz że teraz muszą tylko zakończyć przygotowania w terminie wskazanym w tych przepisach awaryjnych. W związku z tym Komisja nie uważa, że konieczne są dodatkowe środki awaryjne. Będzie ona nadal oceniać sytuację na rynkach po dniu wystąpienia i podejmie decyzję w sprawie właściwego kierunku działań na podstawie obowiązującego prawodawstwa UE w danym momencie, biorąc pod uwagę w szczególności ramy prawne stworzone rozporządzeniem w sprawie infrastruktury rynku europejskiego w odniesieniu do wymogów dotyczących uznawania kontrahentów centralnych z państw trzecich.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Rybołówstwo</w:t>
      </w:r>
    </w:p>
    <w:p>
      <w:pPr>
        <w:pStyle w:val="NormalWeb"/>
        <w:spacing w:before="0" w:beforeAutospacing="0" w:after="240" w:afterAutospacing="0"/>
        <w:jc w:val="both"/>
        <w:rPr>
          <w:noProof/>
        </w:rPr>
      </w:pPr>
      <w:r>
        <w:rPr>
          <w:noProof/>
        </w:rPr>
        <w:t>Oprócz przepisów awaryjnych (zob. sekcja 3.2) w obszarze rybołówstwa Komisja kontynuuje konsultacje z państwami członkowskimi w sprawie skoordynowanego podejścia, jakie należałoby przyjąć na wypadek, gdyby statki UE przestały mieć dostęp do wód Zjednoczonego Królestwa. Istnieje wspólne zobowiązanie do ścisłej współpracy i koordynacji w tym przypadku, m.in. dzięki wspólnym ramom służącym do monitorowania zmian lub zakłóceń w działalności połowowej na wodach UE. Prace te zostaną zintensyfikowane w nadchodzącym okresie, a Komisja jest gotowa przyczynić się do dalszej analizy i dyskusji. W dniu 18 lipca 2019 r. służby Komisji opublikowały również nowy dokument zawierający pytania i odpowiedzi na temat konsekwencji, jakie wystąpienie bez umowy może mieć dla działalności połowowej</w:t>
      </w:r>
      <w:r>
        <w:rPr>
          <w:rStyle w:val="FootnoteReference"/>
          <w:noProof/>
        </w:rPr>
        <w:footnoteReference w:id="29"/>
      </w:r>
      <w:r>
        <w:rPr>
          <w:noProof/>
        </w:rPr>
        <w:t>. Oprócz wyjaśnień dotyczących dostępu do wód (i kontroli tego dostępu) oraz uprawnień do połowów dokument zawiera praktyczne informacje na szereg konkretnych tematów, takich jak kontrole sanitarne i cła. Zachęca się organy państw członkowskich i stowarzyszenia rybaków do rozpowszechniania zawartych w nim informacji w szerokim zakresie.</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Dostosowanie techniczne środków awaryjnych i przyjęcie innych wcześniej zapowiadanych aktów</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Jak stwierdzono w piątym komunikacie dotyczącym gotowości na brexit z dnia 12 czerwca 2019 r.</w:t>
      </w:r>
      <w:r>
        <w:rPr>
          <w:rStyle w:val="FootnoteReference"/>
          <w:rFonts w:ascii="Times New Roman" w:eastAsia="Arial Unicode MS" w:hAnsi="Times New Roman" w:cs="Times New Roman"/>
          <w:noProof/>
          <w:u w:color="000000"/>
          <w:bdr w:val="nil"/>
        </w:rPr>
        <w:footnoteReference w:id="30"/>
      </w:r>
      <w:r>
        <w:rPr>
          <w:rFonts w:ascii="Times New Roman" w:hAnsi="Times New Roman"/>
          <w:noProof/>
          <w:u w:color="000000"/>
          <w:bdr w:val="nil"/>
        </w:rPr>
        <w:t xml:space="preserve">, Komisja dokonała przeglądu wszystkich środków na poziomie UE wprowadzonych w celu przygotowania się na wystąpienie Zjednoczonego Królestwa z UE i stwierdziła, że te akty ustawodawcze i nieustawodawcze nadal odpowiadają zamierzonym celom. Nie ma zatem potrzeby wprowadzania w nich zmian merytorycznych. Z drugiej strony, z uwagi na nowy harmonogram wynikający z obecnego przedłużenia, konieczne są pewne ukierunkowane dostosowania techniczne w określonych sektorach. Wyjaśniono je w poniższych sekcjach.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Ponieważ akty awaryjne o charakterze nieustawodawczym, które wchodzą w zakres przepisów sanitarnych UE i które Komisja przyjęła w związku z poprzednią datą wystąpienia wyznaczoną na dzień 12 kwietnia 2019 r., stały się bezprzedmiotowe z powodu przedłużenia terminu przewidzianego w art. 50 ust. 3 TUE, Komisja dokona ponownej oceny sytuacji w okresie bliższym dacie wystąpienia i – o ile Zjednoczone Królestwo będzie nadal udzielać niezbędnych gwarancji – ponownie przyjmie te akty, aby zapewnić ich stosowanie od dnia 1 listopada 2019 r.</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Transport</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W dziedzinie transportu wprowadzono przepisy awaryjne, aby utrzymać niezbędne połączenia transportowe. Dotyczą one tych rodzajów transportu, w przypadku których skutki wystąpienia byłyby najbardziej odczuwalne: lotnictwa, transportu kolejowego oraz transportu drogowego, obejmującego zarówno przewozy pasażerów, jak i towarów.</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Zgodnie z zasadami leżącymi u podstaw wszystkich środków awaryjnych, rozporządzenia awaryjne umożliwiające utrzymanie ciągłości połączeń mają jednostronny charakter, ograniczony zakres i obowiązują przez ograniczony czas. Rozporządzenie zapewniające podstawowe połączenia w zakresie transportu drogowego towarów i przewozu osób</w:t>
      </w:r>
      <w:r>
        <w:rPr>
          <w:rFonts w:ascii="Times New Roman" w:eastAsia="Arial Unicode MS" w:hAnsi="Times New Roman" w:cs="Times New Roman"/>
          <w:noProof/>
          <w:u w:color="000000"/>
          <w:bdr w:val="nil"/>
          <w:vertAlign w:val="superscript"/>
        </w:rPr>
        <w:footnoteReference w:id="31"/>
      </w:r>
      <w:r>
        <w:rPr>
          <w:rFonts w:ascii="Times New Roman" w:hAnsi="Times New Roman"/>
          <w:noProof/>
          <w:u w:color="000000"/>
          <w:bdr w:val="nil"/>
        </w:rPr>
        <w:t xml:space="preserve"> zostało przyjęte wkrótce po pierwszym krótkim przedłużeniu okresu, o którym mowa w art. 50 ust. 3 TUE, do dnia 12 kwietnia 2019 r., z datą zakończenia stosowania określoną na dzień 31 grudnia 2019 r., również z uwagi na możliwe ustalenia dotyczące podstawowych połączeń, jakie mają zostać dokonane w ramach wielostronnego systemu kwot Europejskiej Konferencji Ministrów Transportu (ECMT).</w:t>
      </w:r>
      <w:r>
        <w:rPr>
          <w:rFonts w:ascii="Times New Roman" w:hAnsi="Times New Roman"/>
          <w:noProof/>
        </w:rPr>
        <w:t xml:space="preserve"> </w:t>
      </w:r>
      <w:r>
        <w:rPr>
          <w:rFonts w:ascii="Times New Roman" w:hAnsi="Times New Roman"/>
          <w:noProof/>
          <w:u w:color="000000"/>
          <w:bdr w:val="nil"/>
        </w:rPr>
        <w:t>Z podobnych powodów okres stosowania rozporządzenia zapewniającego podstawowe połączenia lotnicze</w:t>
      </w:r>
      <w:r>
        <w:rPr>
          <w:rFonts w:ascii="Times New Roman" w:eastAsia="Arial Unicode MS" w:hAnsi="Times New Roman" w:cs="Times New Roman"/>
          <w:noProof/>
          <w:u w:color="000000"/>
          <w:bdr w:val="nil"/>
          <w:vertAlign w:val="superscript"/>
        </w:rPr>
        <w:footnoteReference w:id="32"/>
      </w:r>
      <w:r>
        <w:rPr>
          <w:rFonts w:ascii="Times New Roman" w:hAnsi="Times New Roman"/>
          <w:noProof/>
          <w:u w:color="000000"/>
          <w:bdr w:val="nil"/>
        </w:rPr>
        <w:t xml:space="preserve"> dostosowano do czasu trwania sezonu zimowego 2019/2020 określonego przez Zrzeszenie Międzynarodowego Transportu Lotniczego (IATA), w związku z czym rozporządzenie to wygaśnie w dniu 30 marca 2020 r. wraz z końcem tego sezonu.</w:t>
      </w:r>
    </w:p>
    <w:p>
      <w:pPr>
        <w:pBdr>
          <w:top w:val="nil"/>
          <w:left w:val="nil"/>
          <w:bottom w:val="nil"/>
          <w:right w:val="nil"/>
          <w:between w:val="nil"/>
          <w:bar w:val="nil"/>
        </w:pBd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Jeżeli Zjednoczone Królestwo wystąpi z Unii Europejskiej bez umowy w dniu 1 listopada 2019 r., okres stosowania rozporządzenia (UE) 2019/501 byłby zatem ograniczony do dwóch miesięcy, a okres stosowania rozporządzenia (UE) 2019/502 – do mniej niż połowy początkowo przewidywanego okresu.</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Aby dzięki tym rozporządzeniom awaryjnym można było osiągnąć cele, jakie wyznaczono na początku, m.in. w odniesieniu do okresu stosowania, oraz w świetle przesunięcia o siedem miesięcy daty wystąpienia Zjednoczonego Królestwa z Unii, Komisja przyjęła dziś wniosek w sprawie przedłużenia okresu obowiązywania rozporządzeń (UE) 2019/501 i (UE) 2019/502 o taki sam okres. Proponuje się zatem przedłużenie okresu stosowania rozporządzenia awaryjnego zapewniającego podstawowe połączenia w zakresie transportu drogowego towarów i przewozu osób do dnia 31 lipca 2020 r. Bez uszczerbku dla wyłącznej kompetencji Unii państwa członkowskie powinny kontynuować prace w celu zwiększenia liczby dostępnych zezwoleń ECMT, które umożliwią wykonywanie przewozów do Zjednoczonego Królestwa w przyszłości. Proponuje się również przedłużenie okresu stosowania rozporządzenia awaryjnego zapewniającego podstawowe połączenia lotnicze do dnia 24 października 2020 r., tak by okres ten nadal pokrywał się z sezonami IATA.</w:t>
      </w:r>
    </w:p>
    <w:p>
      <w:pPr>
        <w:spacing w:after="240" w:line="240" w:lineRule="auto"/>
        <w:jc w:val="both"/>
        <w:rPr>
          <w:rFonts w:ascii="Times New Roman" w:hAnsi="Times New Roman" w:cs="Times New Roman"/>
          <w:noProof/>
          <w:sz w:val="24"/>
          <w:szCs w:val="24"/>
          <w:bdr w:val="none" w:sz="0" w:space="0" w:color="auto" w:frame="1"/>
        </w:rPr>
      </w:pPr>
      <w:r>
        <w:rPr>
          <w:rFonts w:ascii="Times New Roman" w:hAnsi="Times New Roman"/>
          <w:noProof/>
          <w:u w:color="000000"/>
          <w:bdr w:val="nil"/>
        </w:rPr>
        <w:t xml:space="preserve">W obszarze transportu lotniczego w rozporządzeniu awaryjnym (UE) 2019/502 przewidziano również szczególny mechanizm umożliwiający unijnym liniom lotniczym spełnienie unijnych wymogów dotyczących udziału większościowego i kontroli po wystąpieniu Zjednoczonego Królestwa z UE. Organy krajowe zakończyły obecnie analizę planów przedstawionych przez zainteresowane linie lotnicze i poinformowały te linie oraz Komisję o pozytywnych wynikach oceny. </w:t>
      </w:r>
      <w:r>
        <w:rPr>
          <w:rFonts w:ascii="Times New Roman" w:hAnsi="Times New Roman"/>
          <w:noProof/>
        </w:rPr>
        <w:t>Komisja skontaktowała się z właściwymi organami krajowymi i w niektórych przypadkach wyraziła wątpliwości co do tego, czy przedstawione plany zapewnią zgodność z wymogami UE.</w:t>
      </w:r>
      <w:r>
        <w:rPr>
          <w:rFonts w:ascii="Times New Roman" w:hAnsi="Times New Roman"/>
          <w:noProof/>
          <w:u w:color="000000"/>
          <w:bdr w:val="nil"/>
        </w:rPr>
        <w:t xml:space="preserve"> </w:t>
      </w:r>
      <w:r>
        <w:rPr>
          <w:rFonts w:ascii="Times New Roman" w:hAnsi="Times New Roman"/>
          <w:noProof/>
        </w:rPr>
        <w:t>Linie lotnicze, których to dotyczy, mają obowiązek zapewnić pełną zgodność z wymogami UE dotyczącymi udziału większościowego i kontroli najpóźniej do końca okresu przewidzianego w rozporządzeniu (UE) 2019/502.</w:t>
      </w:r>
      <w:r>
        <w:rPr>
          <w:rFonts w:ascii="Times New Roman" w:hAnsi="Times New Roman"/>
          <w:noProof/>
          <w:bdr w:val="none" w:sz="0" w:space="0" w:color="auto" w:frame="1"/>
        </w:rPr>
        <w:t xml:space="preserve"> Jeżeli okres stosowania rozporządzenia (UE) 2019/502 zostanie przedłużony zgodnie z dzisiejszym wnioskiem, zakończy się on w dniu 30 kwietnia 2020 r.</w:t>
      </w:r>
      <w:r>
        <w:rPr>
          <w:rStyle w:val="FootnoteReference"/>
          <w:rFonts w:ascii="Times New Roman" w:hAnsi="Times New Roman" w:cs="Times New Roman"/>
          <w:noProof/>
          <w:bdr w:val="none" w:sz="0" w:space="0" w:color="auto" w:frame="1"/>
        </w:rPr>
        <w:footnoteReference w:id="33"/>
      </w:r>
      <w:r>
        <w:rPr>
          <w:rFonts w:ascii="Times New Roman" w:hAnsi="Times New Roman"/>
          <w:noProof/>
          <w:bdr w:val="none" w:sz="0" w:space="0" w:color="auto" w:frame="1"/>
        </w:rPr>
        <w:t xml:space="preserve"> </w:t>
      </w:r>
      <w:r>
        <w:rPr>
          <w:rFonts w:ascii="Times New Roman" w:hAnsi="Times New Roman"/>
          <w:noProof/>
        </w:rPr>
        <w:t>Do obowiązków organów krajowych należy upewnienie się, że do tego czasu prawo UE jest przestrzegane i skutecznie egzekwowane.</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Chociaż nie przyjęto żadnych aktów awaryjnych w odniesieniu do okazjonalnych przewozów pasażerów autobusami, poczyniono niezbędne przygotowania, aby od dnia wystąpienia zapewnić tego rodzaju połączenia w oparciu o instrument międzynarodowy, jakim jest umowa INTERBUS</w:t>
      </w:r>
      <w:r>
        <w:rPr>
          <w:rStyle w:val="FootnoteReference"/>
          <w:rFonts w:ascii="Times New Roman" w:eastAsia="Arial Unicode MS" w:hAnsi="Times New Roman" w:cs="Times New Roman"/>
          <w:noProof/>
          <w:u w:color="000000"/>
          <w:bdr w:val="nil"/>
        </w:rPr>
        <w:footnoteReference w:id="34"/>
      </w:r>
      <w:r>
        <w:rPr>
          <w:rFonts w:ascii="Times New Roman" w:hAnsi="Times New Roman"/>
          <w:noProof/>
          <w:u w:color="000000"/>
          <w:bdr w:val="nil"/>
        </w:rPr>
        <w:t xml:space="preserve">. Zjednoczone Królestwo złożyło swój dokument przystąpienia, który potwierdza, że stanie się ono niezależną stroną tej umowy zaraz po wystąpieniu z UE. </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Działalność połowowa </w:t>
      </w:r>
    </w:p>
    <w:p>
      <w:pPr>
        <w:pStyle w:val="NormalWeb"/>
        <w:spacing w:before="0" w:beforeAutospacing="0" w:after="240" w:afterAutospacing="0"/>
        <w:jc w:val="both"/>
        <w:rPr>
          <w:noProof/>
        </w:rPr>
      </w:pPr>
      <w:r>
        <w:rPr>
          <w:noProof/>
        </w:rPr>
        <w:t>Mając na uwadze ryzyko wystąpienia bez umowy w dniu 1 listopada 2019 r., znaczenie rybołówstwa jako źródła utrzymania wielu społeczności nadbrzeżnych oraz zapewnienie zrównoważonego charakteru rybołówstwa na odpowiednich wodach, ważne jest opracowanie rozwiązań, które zapewnią stały wzajemny dostęp do zasobów połowowych dla statków UE i Zjednoczonego Królestwa na wodach każdej ze stron, zgodnie z warunkami określonymi w odpowiednich rozporządzeniach Rady ustanawiających uprawnienia do połowów, pod warunkiem że wielkości dopuszczalne połowów ustalone przez obie strony łącznie będą zgodne z zasadami zrównoważonego zarządzania odnośnymi stadami. W tym celu Komisja przyjęła dziś wniosek w sprawie przedłużenia okresu stosowania rozporządzenia awaryjnego w sprawie upoważnień do połowów, przyjętego w marcu 2019 r.</w:t>
      </w:r>
      <w:r>
        <w:rPr>
          <w:rStyle w:val="FootnoteReference"/>
          <w:noProof/>
        </w:rPr>
        <w:footnoteReference w:id="35"/>
      </w:r>
      <w:r>
        <w:rPr>
          <w:noProof/>
        </w:rPr>
        <w:t>, do końca 2020 r. Pozwoliłoby to na utrzymanie uproszczonych ram prawnych, które umożliwiałyby Unii Europejskiej dalsze udzielanie statkom Zjednoczonego Królestwa upoważnień do wpłynięcia na wody UE oraz zarządzanie wnioskami o upoważnienia złożonymi przez statki UE wpływające na wody Zjednoczonego Królestwa, o ile spełnione zostaną warunki wzajemnego dostępu i zrównoważonego charakteru rybołówstwa. Te tymczasowe ramy, które zapewniają rybakom pewność prawa i gwarantują ochronę zasobów rybnych, są konieczne w przypadku braku porozumienia w sprawie połowów ze Zjednoczonym Królestwem o nowym statusie państwa trzeciego. Na tej podstawie i w oparciu o wcześniejszą koordynację z państwami członkowskimi Komisja jest gotowa wystąpić do Zjednoczonego Królestwa z wnioskami o upoważnienia dla statków UE zaraz po wystąpieniu Zjednoczonego Królestwa z Unii Europejskiej. We wniosku utrzymano możliwość wymiany kwot ze Zjednoczonym Królestwem w 2020 r., dzięki której Komisja mogłaby dokonać wymiany kwot ze Zjednoczonym Królestwem zgodnie ze szczegółową procedurą określoną we wniosku.</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 xml:space="preserve">Budżet UE </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W przypadku wystąpienia bez umowy w wielu przypadkach Zjednoczone Królestwo i beneficjenci ze Zjednoczonego Królestwa nie będą mogli ubiegać się o nowe finansowanie i przestaną kwalifikować się do otrzymania finansowania lub będą zmuszeni zakończyć uczestnictwo w programach unijnych. W związku z tym płatności musiałyby zostać zawieszone i mogłyby być dokonywane tylko wtedy, gdyby Unia Europejska i Zjednoczone Królestwo osiągnęły porozumienie finansowe. W niektórych przypadkach może zaistnieć potrzeba rozwiązania umów, jeżeli nie będą one już spełniać wymogów kwalifikowalności związanych z uczestnictwem w programach UE lub konieczne będzie wprowadzenie zmian w celu zapewnienia zgodności z wymogami kwalifikowalności</w:t>
      </w:r>
      <w:r>
        <w:rPr>
          <w:rStyle w:val="FootnoteReference"/>
          <w:rFonts w:ascii="Times New Roman" w:eastAsia="Arial Unicode MS" w:hAnsi="Times New Roman" w:cs="Times New Roman"/>
          <w:noProof/>
          <w:u w:color="000000"/>
          <w:bdr w:val="nil"/>
        </w:rPr>
        <w:footnoteReference w:id="36"/>
      </w:r>
      <w:r>
        <w:rPr>
          <w:rFonts w:ascii="Times New Roman" w:hAnsi="Times New Roman"/>
          <w:noProof/>
          <w:u w:color="000000"/>
          <w:bdr w:val="nil"/>
        </w:rPr>
        <w:t>. Aby zminimalizować zakłócenia, do jakich mogłoby dość wskutek takiej sytuacji, w dniu 9 lipca 2019 r. Unia Europejska przyjęła rozporządzenie awaryjne w sprawie budżetu UE</w:t>
      </w:r>
      <w:r>
        <w:rPr>
          <w:rStyle w:val="FootnoteReference"/>
          <w:rFonts w:ascii="Times New Roman" w:eastAsia="Arial Unicode MS" w:hAnsi="Times New Roman" w:cs="Times New Roman"/>
          <w:noProof/>
          <w:u w:color="000000"/>
          <w:bdr w:val="nil"/>
        </w:rPr>
        <w:footnoteReference w:id="37"/>
      </w:r>
      <w:r>
        <w:rPr>
          <w:rFonts w:ascii="Times New Roman" w:hAnsi="Times New Roman"/>
          <w:noProof/>
          <w:u w:color="000000"/>
          <w:bdr w:val="nil"/>
        </w:rPr>
        <w:t xml:space="preserve">, w którym utrzymuje się kwalifikowalność Zjednoczonego Królestwa i beneficjentów ze Zjednoczonego Królestwa w odniesieniu do kosztów poniesionych w 2019 r., pod warunkiem że Zjednoczone Królestwo spełni szereg warunków, w szczególności że wniesie swój wkład do budżetu UE na 2019 r. przed określoną datą i umożliwi niezbędne audyty i kontrole, w tym także na jego terytorium, zgodnie z odpowiednimi przepisami UE. </w:t>
      </w:r>
      <w:r>
        <w:rPr>
          <w:rFonts w:ascii="Times New Roman" w:hAnsi="Times New Roman"/>
          <w:noProof/>
        </w:rPr>
        <w:t>Równolegle do prac nad niniejszym komunikatem Komisja prowadzi konsultacje z ekspertami z państw członkowskich, zgodnie z obowiązującymi procedurami, w sprawie projektu rozporządzenia delegowanego dostosowującego terminy określone w rozporządzeniu awaryjnym w świetle przedłużenia okresu przewidzianego w art. 50 ust. 3 TUE.</w:t>
      </w:r>
    </w:p>
    <w:p>
      <w:pPr>
        <w:spacing w:after="240" w:line="240" w:lineRule="auto"/>
        <w:jc w:val="both"/>
        <w:rPr>
          <w:rFonts w:ascii="Times New Roman" w:eastAsia="Arial Unicode MS" w:hAnsi="Times New Roman" w:cs="Times New Roman"/>
          <w:noProof/>
          <w:sz w:val="24"/>
          <w:szCs w:val="24"/>
          <w:u w:color="000000"/>
          <w:bdr w:val="nil"/>
        </w:rPr>
      </w:pPr>
      <w:r>
        <w:rPr>
          <w:rFonts w:ascii="Times New Roman" w:hAnsi="Times New Roman"/>
          <w:noProof/>
          <w:u w:color="000000"/>
          <w:bdr w:val="nil"/>
        </w:rPr>
        <w:t>Po przedłużeniu okresu, o którym mowa w art. 50 ust. 3 TUE, do dnia 31 października 2019 r., środek w obecnej formie obejmowałby jedynie okres dwóch miesięcy. Z tego względu Komisja przyjęła dziś wniosek, który powiela obecne rozporządzenie awaryjne na 2019 r. w odniesieniu do 2020 r. Oznacza to, że Zjednoczone Królestwo i beneficjenci z tego kraju będą nadal kwalifikować się do uczestnictwa w programach w ramach budżetu UE i otrzymywać finansowanie do końca 2020 r., jeżeli Zjednoczone Królestwo zaakceptuje i spełni warunki określone w rozporządzeniu awaryjnym z 2019 r., opłaci składki budżetowe za 2020 r. i umożliwi przeprowadzenie wymaganych audytów i kontroli.</w:t>
      </w:r>
    </w:p>
    <w:p>
      <w:pPr>
        <w:pStyle w:val="Heading1"/>
        <w:keepLines w:val="0"/>
        <w:numPr>
          <w:ilvl w:val="1"/>
          <w:numId w:val="26"/>
        </w:numPr>
        <w:spacing w:after="240"/>
        <w:ind w:left="426" w:hanging="431"/>
        <w:rPr>
          <w:rFonts w:eastAsia="Arial Unicode MS" w:cs="Times New Roman"/>
          <w:b/>
          <w:bCs/>
          <w:noProof/>
          <w:color w:val="auto"/>
          <w:szCs w:val="24"/>
          <w:u w:color="000000"/>
          <w:bdr w:val="nil"/>
        </w:rPr>
      </w:pPr>
      <w:r>
        <w:rPr>
          <w:b/>
          <w:bCs/>
          <w:noProof/>
          <w:u w:color="000000"/>
          <w:bdr w:val="nil"/>
        </w:rPr>
        <w:t>Awaryjne wsparcie finansowe</w:t>
      </w:r>
    </w:p>
    <w:p>
      <w:pPr>
        <w:spacing w:after="240" w:line="240" w:lineRule="auto"/>
        <w:jc w:val="both"/>
        <w:rPr>
          <w:rFonts w:ascii="Times New Roman" w:hAnsi="Times New Roman" w:cs="Times New Roman"/>
          <w:noProof/>
          <w:sz w:val="24"/>
          <w:szCs w:val="24"/>
        </w:rPr>
      </w:pPr>
      <w:r>
        <w:rPr>
          <w:rFonts w:ascii="Times New Roman" w:hAnsi="Times New Roman"/>
          <w:noProof/>
        </w:rPr>
        <w:t>Jak zapowiedziano w czwartym komunikacie dotyczącym gotowości na brexit z dnia 10 kwietnia 2019 r.</w:t>
      </w:r>
      <w:r>
        <w:rPr>
          <w:rStyle w:val="FootnoteReference"/>
          <w:rFonts w:ascii="Times New Roman" w:hAnsi="Times New Roman" w:cs="Times New Roman"/>
          <w:noProof/>
        </w:rPr>
        <w:footnoteReference w:id="38"/>
      </w:r>
      <w:r>
        <w:rPr>
          <w:rFonts w:ascii="Times New Roman" w:hAnsi="Times New Roman"/>
          <w:noProof/>
        </w:rPr>
        <w:t xml:space="preserve">, Komisja zbadała, w jaki sposób można by wykorzystać istniejące programy i instrumenty, aby udzielić wsparcia najbardziej narażonym sektorom, szczególnie sektorom rolnictwa i rybołówstwa oraz regionom i organom krajowym, które będą miały do czynienia z poważnymi zakłóceniami mimo przygotowań. Celem tego pakietu wsparcia finansowego jest zapewnienie, w ramach dostępnych zasobów, wsparcia dla tych, którzy w największym stopniu odczują skutki wystąpienia bez umowy.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W sektorze rolnictwa dostępna będzie pełna gama istniejących instrumentów wspierania rynku i bezpośredniego wsparcia finansowego dla rolników w celu złagodzenia najbardziej niekorzystnego wpływu na rynki rolno-spożywcze w przypadku brexitu bez umowy. Krajowe wsparcie finansowe powinno być równoważne unijnym nadzwyczajnym środkom wspierania rynku, co pozwoliłoby spotęgować efekt interwencji Unii Europejskiej.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Komisja przyjęła dziś wniosek w sprawie rozszerzenia zakresu zastosowania Funduszu Solidarności Unii Europejskiej, tak by obejmował on poważne obciążenia finansowe państw członkowskich, które można bezpośrednio przypisać wystąpieniu bez umowy i których nie można było uniknąć mimo wcześniejszych przygotowań. Dotyczy to wsparcia przeznaczonego na programy pomocy państwa dla przedsiębiorstw, na utrzymanie istniejących miejsc pracy oraz zapewnienie funkcjonowania kontroli granicznych, celnych oraz sanitarnych i fitosanitarnych.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Komisja przyjęła dziś również wniosek, który ma zapewnić dostępność środków z Europejskiego Funduszu Dostosowania do Globalizacji na wspieranie, z zastrzeżeniem spełnienia określonych warunków, pracowników zwolnionych w wyniku wystąpienia bez umowy. </w:t>
      </w:r>
    </w:p>
    <w:p>
      <w:pPr>
        <w:spacing w:after="240" w:line="240" w:lineRule="auto"/>
        <w:jc w:val="both"/>
        <w:rPr>
          <w:rFonts w:ascii="Times New Roman" w:hAnsi="Times New Roman" w:cs="Times New Roman"/>
          <w:noProof/>
          <w:sz w:val="24"/>
          <w:szCs w:val="24"/>
        </w:rPr>
      </w:pPr>
      <w:r>
        <w:rPr>
          <w:rFonts w:ascii="Times New Roman" w:hAnsi="Times New Roman"/>
          <w:noProof/>
        </w:rPr>
        <w:t>Oprócz dwóch aktów ustawodawczych wspomnianych powyżej możliwe są inne interwencje niewymagające zmian prawodawstwa. Jeżeli państwa członkowskie zdecydują się na zmiany w swoich programach realizowanych w ramach funduszy strukturalnych i inwestycyjnych</w:t>
      </w:r>
      <w:r>
        <w:rPr>
          <w:rStyle w:val="FootnoteReference"/>
          <w:rFonts w:ascii="Times New Roman" w:hAnsi="Times New Roman" w:cs="Times New Roman"/>
          <w:noProof/>
        </w:rPr>
        <w:footnoteReference w:id="39"/>
      </w:r>
      <w:r>
        <w:rPr>
          <w:rFonts w:ascii="Times New Roman" w:hAnsi="Times New Roman"/>
          <w:noProof/>
        </w:rPr>
        <w:t>, Komisja jest gotowa podjąć szybkie działania, aby przydzielić część dostępnych zasobów, w ramach krajowych pul środków, na wyzwania związane z wystąpieniem bez umowy. Jeżeli państwa członkowskie będą chciały dokonać zmian w przydziale krajowej puli środków finansowych w ramach Europejskiego Funduszu Morskiego i Rybackiego, Komisja również szybko podejmie działania. Ponadto Komisja jest gotowa zaproponować zmiany umowy między Unią Europejską a Europejskim Funduszem Inwestycyjnym, żeby umożliwić wykorzystanie programu na rzecz konkurencyjności małych i średnich przedsiębiorstw (COSME), pod warunkiem spełnienia odpowiednich warunków i dostępności środków budżetowych, aby ułatwić dostęp do finansowania małym i średnim przedsiębiorstwom, które muszą dokonać inwestycji, aby zmienić swoją organizację w konsekwencji wystąpienia Zjednoczonego Królestwa z UE bez umowy.</w:t>
      </w:r>
    </w:p>
    <w:p>
      <w:pPr>
        <w:spacing w:after="240" w:line="240" w:lineRule="auto"/>
        <w:jc w:val="both"/>
        <w:rPr>
          <w:rFonts w:ascii="Times New Roman" w:hAnsi="Times New Roman" w:cs="Times New Roman"/>
          <w:noProof/>
          <w:sz w:val="24"/>
          <w:szCs w:val="24"/>
        </w:rPr>
      </w:pPr>
      <w:r>
        <w:rPr>
          <w:rFonts w:ascii="Times New Roman" w:hAnsi="Times New Roman"/>
          <w:noProof/>
        </w:rPr>
        <w:t>Jeżeli chodzi o bezpośrednie wsparcie na rzecz odpowiednich zainteresowanych podmiotów, na przykład małych i średnich przedsiębiorstw o znaczącej ekspozycji na Zjednoczone Królestwo, należy przypomnieć, że w unijnych zasadach pomocy państwa przewidziano elastyczne rozwiązania, które można zastosować przy wprowadzaniu krajowych środków wsparcia.</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Irlandia</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Jeżeli Zjednoczone Królestwo wystąpi z UE bez umowy, na wyspie Irlandii powstaną dwie odrębne przestrzenie fiskalne i regulacyjne. Zgodnie z prawem międzynarodowym, w szczególności z zasadami Światowej Organizacji Handlu, od dnia 1 listopada 2019 r. zarówno UE, jak i Zjednoczone Królestwo będą zobowiązane do nakładania na produkty drugiej strony taryf stosowanych w odniesieniu do towarów pochodzących z jakiegokolwiek innego państwa będącego członkiem Światowej Organizacji Handlu, które nie korzysta z uzgodnień preferencyjnych. Ponadto zgodnie z prawem UE wszystkie towary przywożone do Irlandii ze Zjednoczonego Królestwa będą podlegały odpowiednim kontrolom, które służą ochronie bezpieczeństwa i zdrowia obywateli UE, zachowaniu integralności rynku wewnętrznego oraz umożliwiają egzekwowanie obowiązków podatkowych (cła i podatki pośrednie). </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Komisja i Irlandia w dalszym ciągu ze sobą współpracują, mając na uwadze wyjątkową sytuację na wyspie Irlandii oraz ten sam cel obu stron, jakim jest ochrona integralności rynku wewnętrznego bez jednoczesnego tworzenia twardej granicy, aby opracować rozwiązania awaryjne, które można by zastosować bezpośrednio po wystąpieniu bez umowy, jak i rozwiązania o bardziej trwałym charakterze do zastosowania po tym okresie. Rozwiązanie awaryjne przewidziane w umowie o wystąpieniu jest jedynym znanym rozwiązaniem, które zabezpiecza porozumienie wielkopiątkowe (z Belfastu), zapewnia zgodność z zobowiązaniami wynikającymi z prawa międzynarodowego i zachowuje integralność rynku wewnętrznego. </w:t>
      </w:r>
    </w:p>
    <w:p>
      <w:pPr>
        <w:pStyle w:val="Heading1"/>
        <w:numPr>
          <w:ilvl w:val="0"/>
          <w:numId w:val="26"/>
        </w:numPr>
        <w:spacing w:before="360" w:after="240"/>
        <w:jc w:val="both"/>
        <w:rPr>
          <w:rFonts w:eastAsia="Arial Unicode MS" w:cs="Times New Roman"/>
          <w:b/>
          <w:bCs/>
          <w:smallCaps/>
          <w:noProof/>
          <w:color w:val="auto"/>
          <w:szCs w:val="24"/>
          <w:u w:color="000000"/>
          <w:bdr w:val="nil"/>
        </w:rPr>
      </w:pPr>
      <w:r>
        <w:rPr>
          <w:b/>
          <w:bCs/>
          <w:smallCaps/>
          <w:noProof/>
          <w:u w:color="000000"/>
          <w:bdr w:val="nil"/>
        </w:rPr>
        <w:t>Przeciwdziałanie zakłóceniom bezpośrednio po wystąpieniu bez umowy</w:t>
      </w:r>
    </w:p>
    <w:p>
      <w:pPr>
        <w:spacing w:after="240" w:line="240" w:lineRule="auto"/>
        <w:jc w:val="both"/>
        <w:rPr>
          <w:rFonts w:ascii="Times New Roman" w:hAnsi="Times New Roman" w:cs="Times New Roman"/>
          <w:noProof/>
          <w:sz w:val="24"/>
          <w:szCs w:val="24"/>
        </w:rPr>
      </w:pPr>
      <w:r>
        <w:rPr>
          <w:rFonts w:ascii="Times New Roman" w:hAnsi="Times New Roman"/>
          <w:noProof/>
        </w:rPr>
        <w:t xml:space="preserve">Jeżeli Zjednoczone Królestwo wystąpi z Unii Europejskiej bez umowy, przewiduje się, że wiele podmiotów doświadczy zakłóceń, zwłaszcza w początkowym okresie. Komisja i państwa członkowskie pozostaną w ścisłym kontakcie, aby koordynować działania w związku z wszelkimi kwestiami, jakie mogą wystąpić, oraz określić najlepsze sposoby ich rozwiązywania. Biorąc pod uwagę ewentualny brak porozumienia, na okres bezpośrednio po wystąpieniu Komisja utworzyła </w:t>
      </w:r>
      <w:r>
        <w:rPr>
          <w:rFonts w:ascii="Times New Roman" w:hAnsi="Times New Roman"/>
          <w:noProof/>
          <w:u w:val="single"/>
        </w:rPr>
        <w:t>centrum obsługi telefonicznej dla administracji państw członkowskich</w:t>
      </w:r>
      <w:r>
        <w:rPr>
          <w:rFonts w:ascii="Times New Roman" w:hAnsi="Times New Roman"/>
          <w:noProof/>
        </w:rPr>
        <w:t xml:space="preserve">, które zapewni im szybki dostęp do wiedzy fachowej służb Komisji. Będzie ono stanowiło bezpośredni kanał komunikacji oraz ułatwi niezbędną koordynację między organami krajowymi. </w:t>
      </w:r>
      <w:r>
        <w:rPr>
          <w:rFonts w:ascii="Times New Roman" w:hAnsi="Times New Roman"/>
          <w:noProof/>
          <w:u w:val="single"/>
        </w:rPr>
        <w:t>Obywatele UE, przedsiębiorcy i inne zainteresowane strony</w:t>
      </w:r>
      <w:r>
        <w:rPr>
          <w:rFonts w:ascii="Times New Roman" w:hAnsi="Times New Roman"/>
          <w:noProof/>
        </w:rPr>
        <w:t xml:space="preserve"> mogą kontaktować się krajowymi lub lokalnymi organami administracji w swoich krajach za pośrednictwem zwykłych kanałów. Odpowiedzi na wszelkie pytanie można również uzyskać, dzwoniąc na infolinię centrum telefonicznego Europe Direct (bezpłatny numer 00 800 6 7 8 9 10 11 z dowolnego miejsca w Unii Europejskiej). Centrum telefoniczne Europe Direct będzie miało wydłużone godziny pracy w okresie poprzedzającym wystąpienie Zjednoczonego Królestwa z UE oraz bezpośrednio po wystąpieniu.</w:t>
      </w:r>
    </w:p>
    <w:p>
      <w:pPr>
        <w:pStyle w:val="Heading1"/>
        <w:numPr>
          <w:ilvl w:val="0"/>
          <w:numId w:val="26"/>
        </w:numPr>
        <w:spacing w:before="360" w:after="240"/>
        <w:rPr>
          <w:rFonts w:eastAsia="Arial Unicode MS" w:cs="Times New Roman"/>
          <w:b/>
          <w:bCs/>
          <w:smallCaps/>
          <w:noProof/>
          <w:color w:val="auto"/>
          <w:szCs w:val="24"/>
          <w:u w:color="000000"/>
          <w:bdr w:val="nil"/>
        </w:rPr>
      </w:pPr>
      <w:r>
        <w:rPr>
          <w:b/>
          <w:bCs/>
          <w:smallCaps/>
          <w:noProof/>
          <w:u w:color="000000"/>
          <w:bdr w:val="nil"/>
        </w:rPr>
        <w:t>Wnioski</w:t>
      </w:r>
    </w:p>
    <w:p>
      <w:pPr>
        <w:spacing w:after="240" w:line="240" w:lineRule="auto"/>
        <w:jc w:val="both"/>
        <w:rPr>
          <w:rFonts w:ascii="Times New Roman" w:hAnsi="Times New Roman" w:cs="Times New Roman"/>
          <w:noProof/>
          <w:sz w:val="24"/>
          <w:szCs w:val="24"/>
        </w:rPr>
      </w:pPr>
      <w:r>
        <w:rPr>
          <w:rFonts w:ascii="Times New Roman" w:hAnsi="Times New Roman"/>
          <w:noProof/>
        </w:rPr>
        <w:t>Celem UE jest wprawdzie zapewnienia uporządkowanego wystąpienia Zjednoczonego Królestwa z UE, ale Komisja powtarza, że każdy musi przygotować się na ewentualne wystąpienie Zjednoczonego Królestwa bez umowy w dniu 1 listopada 2019 r. Komisja nadal wzywa wszystkie zainteresowane strony do zakończenia przygotowań i wskazuje w szczególności na potrzebę podjęcia przez poszczególne branże działań w newralgicznych obszarach, takich jak leki, wyroby medyczne i chemikalia. Wzywa także wszystkie unijne podmioty gospodarcze, które będą prowadzić handel towarami ze Zjednoczonym Królestwem lub przewozić towary do lub z tego państwa po wystąpieniu, aby uwzględniły konieczność poddania się kontrolom celnym, sanitarnym i fitosanitarnym oraz dopełnienia procedur, a także wyzwania logistyczne, jakich można się spodziewać w nowej sytuacji prawnej w okolicach przejść granicznych w drodze do i ze Zjednoczonego Królestwa.</w:t>
      </w:r>
    </w:p>
    <w:p>
      <w:pPr>
        <w:spacing w:after="240" w:line="240" w:lineRule="auto"/>
        <w:jc w:val="both"/>
        <w:rPr>
          <w:rFonts w:ascii="Times New Roman" w:hAnsi="Times New Roman" w:cs="Times New Roman"/>
          <w:noProof/>
          <w:sz w:val="24"/>
          <w:szCs w:val="24"/>
        </w:rPr>
      </w:pPr>
      <w:r>
        <w:rPr>
          <w:rFonts w:ascii="Times New Roman" w:hAnsi="Times New Roman"/>
          <w:noProof/>
        </w:rPr>
        <w:t>Wraz z niniejszym komunikatem Komisja przyjęła trzy wnioski ustawodawcze w celu uwzględnienia odroczenia daty wystąpienia poprzez przedłużenie, w razie konieczności, okresu obowiązywania istniejących aktów awaryjnych w dziedzinie transportu i rybołówstwa lub zapewnienie ram na 2020 r. w kontekście budżetu UE. Komisja przyjęła również dwa kolejne wnioski ustawodawcze w ramach pakietu umożliwiającego, w razie potrzeby, udzielanie awaryjnego wsparcia finansowego. Ponadto Komisja przesłała do konsultacji z ekspertami z państw członkowskich, zgodnie z obowiązującymi procedurami, akt delegowany w sprawie dostosowania terminów przewidzianych w rozporządzeniu awaryjnym w sprawie budżetu UE na 2019 r.</w:t>
      </w:r>
      <w:r>
        <w:rPr>
          <w:rStyle w:val="FootnoteReference"/>
          <w:rFonts w:ascii="Times New Roman" w:eastAsia="Arial Unicode MS" w:hAnsi="Times New Roman" w:cs="Times New Roman"/>
          <w:noProof/>
          <w:u w:color="000000"/>
          <w:bdr w:val="nil"/>
        </w:rPr>
        <w:footnoteReference w:id="40"/>
      </w:r>
      <w:r>
        <w:rPr>
          <w:rFonts w:ascii="Times New Roman" w:hAnsi="Times New Roman"/>
          <w:noProof/>
        </w:rPr>
        <w:t xml:space="preserve"> do obecnej daty wystąpienia. Komisja apeluje do współustawodawców o szybkie przyjęcie zaproponowanych aktów ustawodawczych, tak by mogły one wejść w życie do czasu wystąpienia Zjednoczonego Królestwa z UE.</w:t>
      </w:r>
    </w:p>
    <w:p>
      <w:pPr>
        <w:spacing w:after="240" w:line="240" w:lineRule="auto"/>
        <w:jc w:val="both"/>
        <w:rPr>
          <w:rFonts w:ascii="Times New Roman" w:hAnsi="Times New Roman" w:cs="Times New Roman"/>
          <w:noProof/>
          <w:sz w:val="24"/>
          <w:szCs w:val="24"/>
        </w:rPr>
      </w:pPr>
      <w:r>
        <w:rPr>
          <w:rFonts w:ascii="Times New Roman" w:hAnsi="Times New Roman"/>
          <w:noProof/>
        </w:rPr>
        <w:t>Na okres poprzedzający wystąpienie Zjednoczonego Królestwa z UE oraz po wystąpieniu Komisja wydłuży czas pracy swojego centrum obsługi telefonicznej dla obywateli i przedsiębiorstw oraz utworzy specjalne centrum obsługi telefonicznej dla organów państw członkowskich, które zapewni dostęp do wiedzy fachowej i ułatwi niezbędną koordynację działań organów krajowych. Komisja apeluje również do państw członkowskich o wytężenie działań informacyjnych rozpoczętych już we wcześniejszych miesiącach tego roku, nawiązywanie kontaktu z zainteresowanymi stronami w danym kraju oraz podejmowanie niezbędnych działań, aby przeciwdziałać wszelkim zakłóceniom, zwłaszcza zaraz po wystąpieniu, jeżeli dojdzie do niego bez umowy.</w:t>
      </w:r>
    </w:p>
    <w:sectPr>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4744311"/>
      <w:docPartObj>
        <w:docPartGallery w:val="Page Numbers (Bottom of Page)"/>
        <w:docPartUnique/>
      </w:docPartObj>
    </w:sdtPr>
    <w:sdtEndPr>
      <w:rPr>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775796"/>
      <w:docPartObj>
        <w:docPartGallery w:val="Page Numbers (Bottom of Page)"/>
        <w:docPartUnique/>
      </w:docPartObj>
    </w:sdtPr>
    <w:sdtEndPr>
      <w:rPr>
        <w:noProof/>
      </w:rPr>
    </w:sdtEndPr>
    <w:sdtContent>
      <w:p>
        <w:pPr>
          <w:pStyle w:val="Footer"/>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60"/>
        <w:ind w:left="284" w:hanging="284"/>
      </w:pPr>
      <w:r>
        <w:rPr>
          <w:rStyle w:val="FootnoteReference"/>
        </w:rPr>
        <w:footnoteRef/>
      </w:r>
      <w:r>
        <w:t xml:space="preserve"> </w:t>
      </w:r>
      <w:r>
        <w:tab/>
        <w:t>Decyzja Rady Europejskiej (UE) 2019/584, Dz.U. L 101 z 11.4.2019, s. 1. Decyzja stanowi również, że jeżeli Zjednoczone Królestwo dokona ratyfikacji umowy o wystąpieniu przed dniem 31 października, wystąpienie będzie mieć miejsce pierwszego dnia miesiąca następującego po zakończeniu procedury ratyfikacji. Wcześniej, w dniu 22 marca 2019 r., na wniosek Zjednoczona Królestwa Rada Europejska zdecydowała o pierwszym przedłużeniu (decyzja Rady Europejskiej (UE) 2019/476, Dz.U. L 80I z 22.3.2019, s. 1).</w:t>
      </w:r>
    </w:p>
  </w:footnote>
  <w:footnote w:id="3">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rStyle w:val="FootnoteReference"/>
        </w:rPr>
        <w:tab/>
      </w:r>
      <w:r>
        <w:rPr>
          <w:rStyle w:val="FootnoteReference"/>
          <w:vertAlign w:val="baseline"/>
        </w:rPr>
        <w:t>Umowa o wystąpieniu Zjednoczonego Królestwa Wielkiej Brytanii i Irlandii Północnej z Unii Europejskiej i Europejskiej Wspólnoty Energii Atomowej, Dz.U. C 144I, 25.4.2019, s. 1.</w:t>
      </w:r>
    </w:p>
  </w:footnote>
  <w:footnote w:id="4">
    <w:p>
      <w:pPr>
        <w:pStyle w:val="FootnoteText"/>
        <w:spacing w:after="60"/>
        <w:ind w:left="284" w:hanging="284"/>
      </w:pPr>
      <w:r>
        <w:rPr>
          <w:rStyle w:val="FootnoteReference"/>
        </w:rPr>
        <w:footnoteRef/>
      </w:r>
      <w:r>
        <w:t xml:space="preserve"> </w:t>
      </w:r>
      <w:r>
        <w:tab/>
        <w:t>COM(2019) 276 final.</w:t>
      </w:r>
    </w:p>
  </w:footnote>
  <w:footnote w:id="5">
    <w:p>
      <w:pPr>
        <w:pStyle w:val="FootnoteText"/>
        <w:spacing w:after="60"/>
        <w:ind w:left="284" w:hanging="284"/>
      </w:pPr>
      <w:r>
        <w:rPr>
          <w:rStyle w:val="FootnoteReference"/>
        </w:rPr>
        <w:footnoteRef/>
      </w:r>
      <w:r>
        <w:t xml:space="preserve"> </w:t>
      </w:r>
      <w:r>
        <w:tab/>
      </w:r>
      <w:hyperlink r:id="rId1" w:history="1">
        <w:r>
          <w:rPr>
            <w:rStyle w:val="Hyperlink"/>
          </w:rPr>
          <w:t>https://ec.europa.eu/info/files/overview-table-residence-rights-uk-nationals-eu27-member-states_en</w:t>
        </w:r>
      </w:hyperlink>
      <w:r>
        <w:t>.</w:t>
      </w:r>
    </w:p>
  </w:footnote>
  <w:footnote w:id="6">
    <w:p>
      <w:pPr>
        <w:pStyle w:val="FootnoteText"/>
        <w:spacing w:after="60"/>
        <w:ind w:left="284" w:hanging="284"/>
      </w:pPr>
      <w:r>
        <w:rPr>
          <w:rStyle w:val="FootnoteReference"/>
        </w:rPr>
        <w:footnoteRef/>
      </w:r>
      <w:r>
        <w:t xml:space="preserve"> </w:t>
      </w:r>
      <w:r>
        <w:tab/>
      </w:r>
      <w:hyperlink r:id="rId2" w:history="1">
        <w:r>
          <w:rPr>
            <w:rStyle w:val="Hyperlink"/>
          </w:rPr>
          <w:t>https://www.gov.uk/eusettledstatus</w:t>
        </w:r>
      </w:hyperlink>
      <w:r>
        <w:t xml:space="preserve">. </w:t>
      </w:r>
    </w:p>
  </w:footnote>
  <w:footnote w:id="7">
    <w:p>
      <w:pPr>
        <w:pStyle w:val="FootnoteText"/>
        <w:spacing w:after="60"/>
        <w:ind w:left="284" w:hanging="284"/>
      </w:pPr>
      <w:r>
        <w:rPr>
          <w:rStyle w:val="FootnoteReference"/>
        </w:rPr>
        <w:footnoteRef/>
      </w:r>
      <w:r>
        <w:tab/>
        <w:t>Rozporządzenie Parlamentu Europejskiego i Rady (UE) 2019/500 z dnia 25 marca 2019 r. w sprawie ustanowienia środków awaryjnych w dziedzinie koordynacji systemów zabezpieczenia społecznego w następstwie wystąpienia Zjednoczonego Królestwa z Unii, Dz.U. L 85I z 27.3.2019, s. 35.</w:t>
      </w:r>
    </w:p>
  </w:footnote>
  <w:footnote w:id="8">
    <w:p>
      <w:pPr>
        <w:pStyle w:val="FootnoteText"/>
        <w:spacing w:after="60"/>
        <w:ind w:left="284" w:hanging="284"/>
      </w:pPr>
      <w:r>
        <w:rPr>
          <w:rStyle w:val="FootnoteReference"/>
        </w:rPr>
        <w:footnoteRef/>
      </w:r>
      <w:r>
        <w:t xml:space="preserve"> </w:t>
      </w:r>
      <w:r>
        <w:tab/>
      </w:r>
      <w:hyperlink r:id="rId3" w:history="1">
        <w:r>
          <w:rPr>
            <w:rStyle w:val="Hyperlink"/>
          </w:rPr>
          <w:t>https://ec.europa.eu/info/files/overview-national-measures-area-social-security-coordination_en</w:t>
        </w:r>
      </w:hyperlink>
      <w:r>
        <w:t>.</w:t>
      </w:r>
    </w:p>
  </w:footnote>
  <w:footnote w:id="9">
    <w:p>
      <w:pPr>
        <w:pStyle w:val="FootnoteText"/>
        <w:spacing w:after="60"/>
        <w:ind w:left="284" w:hanging="284"/>
      </w:pPr>
      <w:r>
        <w:rPr>
          <w:rStyle w:val="FootnoteReference"/>
        </w:rPr>
        <w:footnoteRef/>
      </w:r>
      <w:r>
        <w:t xml:space="preserve"> </w:t>
      </w:r>
      <w:r>
        <w:tab/>
        <w:t>19.7.2018: COM(2018) 556 final/2; 13.11.2018: COM(2018) 880 final; 19.12.2018: COM(2018) 890 final; 10.4.2019: COM (2019) 195 final; 12.06.2019: COM(2019) 276 final.</w:t>
      </w:r>
    </w:p>
  </w:footnote>
  <w:footnote w:id="10">
    <w:p>
      <w:pPr>
        <w:pStyle w:val="FootnoteText"/>
        <w:spacing w:after="60"/>
        <w:ind w:left="284" w:hanging="284"/>
        <w:rPr>
          <w:rStyle w:val="FootnoteReference"/>
          <w:vertAlign w:val="baseline"/>
        </w:rPr>
      </w:pPr>
      <w:r>
        <w:rPr>
          <w:rStyle w:val="FootnoteReference"/>
        </w:rPr>
        <w:footnoteRef/>
      </w:r>
      <w:r>
        <w:rPr>
          <w:rStyle w:val="FootnoteReference"/>
        </w:rPr>
        <w:t xml:space="preserve"> </w:t>
      </w:r>
      <w:r>
        <w:rPr>
          <w:vertAlign w:val="superscript"/>
        </w:rPr>
        <w:tab/>
      </w:r>
      <w:hyperlink r:id="rId4" w:history="1">
        <w:r>
          <w:rPr>
            <w:rStyle w:val="Hyperlink"/>
          </w:rPr>
          <w:t>https://ec.europa.eu/info/files/brexit-preparedness-checklist</w:t>
        </w:r>
      </w:hyperlink>
      <w:r>
        <w:t>.</w:t>
      </w:r>
    </w:p>
  </w:footnote>
  <w:footnote w:id="11">
    <w:p>
      <w:pPr>
        <w:pStyle w:val="FootnoteText"/>
        <w:spacing w:after="60"/>
        <w:ind w:left="284" w:hanging="284"/>
      </w:pPr>
      <w:r>
        <w:rPr>
          <w:rStyle w:val="FootnoteReference"/>
        </w:rPr>
        <w:footnoteRef/>
      </w:r>
      <w:r>
        <w:t xml:space="preserve"> </w:t>
      </w:r>
      <w:r>
        <w:tab/>
      </w:r>
      <w:hyperlink r:id="rId5" w:history="1">
        <w:r>
          <w:rPr>
            <w:rStyle w:val="Hyperlink"/>
          </w:rPr>
          <w:t>https://ec.europa.eu/info/brexit/brexit-preparedness/preparedness-notices_pl</w:t>
        </w:r>
      </w:hyperlink>
      <w:r>
        <w:t>.</w:t>
      </w:r>
    </w:p>
  </w:footnote>
  <w:footnote w:id="12">
    <w:p>
      <w:pPr>
        <w:pStyle w:val="FootnoteText"/>
        <w:spacing w:after="60"/>
        <w:ind w:left="284" w:hanging="284"/>
      </w:pPr>
      <w:r>
        <w:rPr>
          <w:rStyle w:val="FootnoteReference"/>
        </w:rPr>
        <w:footnoteRef/>
      </w:r>
      <w:r>
        <w:rPr>
          <w:rStyle w:val="FootnoteReference"/>
        </w:rPr>
        <w:t xml:space="preserve"> </w:t>
      </w:r>
      <w:r>
        <w:tab/>
      </w:r>
      <w:r>
        <w:rPr>
          <w:rStyle w:val="FootnoteReference"/>
          <w:vertAlign w:val="baseline"/>
        </w:rPr>
        <w:t xml:space="preserve">Towary przywożone ze </w:t>
      </w:r>
      <w:r>
        <w:t xml:space="preserve">Zjednoczonego </w:t>
      </w:r>
      <w:r>
        <w:rPr>
          <w:rStyle w:val="FootnoteReference"/>
          <w:vertAlign w:val="baseline"/>
        </w:rPr>
        <w:t xml:space="preserve">Królestwa na obszar celny Unii </w:t>
      </w:r>
      <w:r>
        <w:t>od</w:t>
      </w:r>
      <w:r>
        <w:rPr>
          <w:rStyle w:val="FootnoteReference"/>
          <w:vertAlign w:val="baseline"/>
        </w:rPr>
        <w:t xml:space="preserve"> dnia wystąpienia będą objęte takimi samymi stawkami jak towary </w:t>
      </w:r>
      <w:r>
        <w:t>pochodzące</w:t>
      </w:r>
      <w:r>
        <w:rPr>
          <w:rStyle w:val="FootnoteReference"/>
          <w:vertAlign w:val="baseline"/>
        </w:rPr>
        <w:t xml:space="preserve"> z państw trzecich, z którymi UE nie zawarła żadnych umów preferencyjnych</w:t>
      </w:r>
      <w:r>
        <w:t>. Obowiązujące stawki można znaleźć w </w:t>
      </w:r>
      <w:r>
        <w:rPr>
          <w:rStyle w:val="FootnoteReference"/>
          <w:vertAlign w:val="baseline"/>
        </w:rPr>
        <w:t>bazie danych TARIC (</w:t>
      </w:r>
      <w:hyperlink r:id="rId6" w:history="1">
        <w:r>
          <w:rPr>
            <w:rStyle w:val="Hyperlink"/>
          </w:rPr>
          <w:t>https://ec.europa.eu/taxation_customs/dds2/taric/taric_consultation.jsp?Lang=pl&amp;Taric=&amp;MinCharFts=3&amp;EndPub=&amp;MeasText=&amp;Area=&amp;callbackuri=CBU-0&amp;Regulation=&amp;LangDescr=&amp;MeasType=&amp;SimDate=20190830&amp;StartPub=&amp;LastSelectedCode=&amp;OrderNum=&amp;GoodsText=&amp;Level=&amp;Expand=false</w:t>
        </w:r>
      </w:hyperlink>
      <w:r>
        <w:rPr>
          <w:rStyle w:val="FootnoteReference"/>
          <w:vertAlign w:val="baseline"/>
        </w:rPr>
        <w:t>).</w:t>
      </w:r>
    </w:p>
  </w:footnote>
  <w:footnote w:id="13">
    <w:p>
      <w:pPr>
        <w:pStyle w:val="FootnoteText"/>
        <w:spacing w:after="60"/>
        <w:ind w:left="284" w:hanging="284"/>
      </w:pPr>
      <w:r>
        <w:rPr>
          <w:rStyle w:val="FootnoteReference"/>
        </w:rPr>
        <w:footnoteRef/>
      </w:r>
      <w:r>
        <w:rPr>
          <w:vertAlign w:val="superscript"/>
        </w:rPr>
        <w:t xml:space="preserve"> </w:t>
      </w:r>
      <w:r>
        <w:rPr>
          <w:vertAlign w:val="superscript"/>
        </w:rPr>
        <w:tab/>
      </w:r>
      <w:hyperlink r:id="rId7" w:history="1">
        <w:r>
          <w:rPr>
            <w:rStyle w:val="Hyperlink"/>
          </w:rPr>
          <w:t>https://www.wto.org/english/res_e/booksp_e/tariff_profiles19_e.pdf</w:t>
        </w:r>
      </w:hyperlink>
      <w:r>
        <w:rPr>
          <w:rStyle w:val="Hyperlink"/>
        </w:rPr>
        <w:t>.</w:t>
      </w:r>
      <w:r>
        <w:t xml:space="preserve"> </w:t>
      </w:r>
    </w:p>
  </w:footnote>
  <w:footnote w:id="14">
    <w:p>
      <w:pPr>
        <w:pStyle w:val="FootnoteText"/>
        <w:spacing w:after="60"/>
        <w:ind w:left="284" w:hanging="284"/>
      </w:pPr>
      <w:r>
        <w:rPr>
          <w:rStyle w:val="FootnoteReference"/>
        </w:rPr>
        <w:footnoteRef/>
      </w:r>
      <w:r>
        <w:t xml:space="preserve"> </w:t>
      </w:r>
      <w:r>
        <w:tab/>
        <w:t>Źródło: WTO World Tariff profile 2019.</w:t>
      </w:r>
    </w:p>
  </w:footnote>
  <w:footnote w:id="15">
    <w:p>
      <w:pPr>
        <w:pStyle w:val="FootnoteText"/>
        <w:spacing w:after="60"/>
        <w:ind w:left="284" w:hanging="284"/>
      </w:pPr>
      <w:r>
        <w:rPr>
          <w:rStyle w:val="FootnoteReference"/>
        </w:rPr>
        <w:footnoteRef/>
      </w:r>
      <w:r>
        <w:t xml:space="preserve"> </w:t>
      </w:r>
      <w:r>
        <w:tab/>
      </w:r>
      <w:hyperlink r:id="rId8" w:history="1">
        <w:r>
          <w:rPr>
            <w:rStyle w:val="Hyperlink"/>
          </w:rPr>
          <w:t>https://ec.europa.eu/taxation_customs/business/customs-procedures/what-is-customs-transit/common-union-transit_en</w:t>
        </w:r>
      </w:hyperlink>
      <w:r>
        <w:rPr>
          <w:rStyle w:val="Hyperlink"/>
        </w:rPr>
        <w:t>.</w:t>
      </w:r>
    </w:p>
  </w:footnote>
  <w:footnote w:id="16">
    <w:p>
      <w:pPr>
        <w:pStyle w:val="FootnoteText"/>
        <w:ind w:left="284" w:hanging="284"/>
      </w:pPr>
      <w:r>
        <w:rPr>
          <w:rStyle w:val="FootnoteReference"/>
        </w:rPr>
        <w:footnoteRef/>
      </w:r>
      <w:r>
        <w:tab/>
        <w:t xml:space="preserve">Zob. również zawiadomienie Komisji dla zainteresowanych stron poświęcone temu zagadnieniu: </w:t>
      </w:r>
      <w:hyperlink r:id="rId9" w:history="1">
        <w:r>
          <w:rPr>
            <w:rStyle w:val="Hyperlink"/>
          </w:rPr>
          <w:t>https://ec.europa.eu/info/sites/info/files/file_import/preferential_rules_of_origin_pl.pdf</w:t>
        </w:r>
      </w:hyperlink>
      <w:r>
        <w:t xml:space="preserve">. </w:t>
      </w:r>
    </w:p>
  </w:footnote>
  <w:footnote w:id="17">
    <w:p>
      <w:pPr>
        <w:pStyle w:val="FootnoteText"/>
        <w:spacing w:after="60"/>
        <w:ind w:left="284" w:hanging="284"/>
      </w:pPr>
      <w:r>
        <w:rPr>
          <w:rStyle w:val="FootnoteReference"/>
        </w:rPr>
        <w:footnoteRef/>
      </w:r>
      <w:r>
        <w:t xml:space="preserve"> </w:t>
      </w:r>
      <w:r>
        <w:tab/>
      </w:r>
      <w:hyperlink r:id="rId10" w:anchor="heading_2" w:history="1">
        <w:r>
          <w:rPr>
            <w:rStyle w:val="Hyperlink"/>
          </w:rPr>
          <w:t>https://ec.europa.eu/taxation_customs/uk_withdrawal_en#heading_2</w:t>
        </w:r>
      </w:hyperlink>
      <w:r>
        <w:t xml:space="preserve">. </w:t>
      </w:r>
    </w:p>
  </w:footnote>
  <w:footnote w:id="18">
    <w:p>
      <w:pPr>
        <w:pStyle w:val="FootnoteText"/>
        <w:spacing w:after="60"/>
        <w:ind w:left="284" w:hanging="284"/>
      </w:pPr>
      <w:r>
        <w:rPr>
          <w:rStyle w:val="FootnoteReference"/>
        </w:rPr>
        <w:footnoteRef/>
      </w:r>
      <w:r>
        <w:t xml:space="preserve"> </w:t>
      </w:r>
      <w:r>
        <w:tab/>
      </w:r>
      <w:hyperlink r:id="rId11" w:history="1">
        <w:r>
          <w:rPr>
            <w:rStyle w:val="Hyperlink"/>
          </w:rPr>
          <w:t>https://ec.europa.eu/taxation_customs/eu-training/general-overview_en</w:t>
        </w:r>
      </w:hyperlink>
      <w:r>
        <w:t xml:space="preserve">. </w:t>
      </w:r>
    </w:p>
  </w:footnote>
  <w:footnote w:id="19">
    <w:p>
      <w:pPr>
        <w:pStyle w:val="FootnoteText"/>
        <w:spacing w:after="60"/>
        <w:ind w:left="284" w:hanging="284"/>
      </w:pPr>
      <w:r>
        <w:rPr>
          <w:rStyle w:val="FootnoteReference"/>
        </w:rPr>
        <w:footnoteRef/>
      </w:r>
      <w:r>
        <w:t xml:space="preserve"> </w:t>
      </w:r>
      <w:r>
        <w:tab/>
        <w:t>COM(2019) 276 final.</w:t>
      </w:r>
    </w:p>
  </w:footnote>
  <w:footnote w:id="20">
    <w:p>
      <w:pPr>
        <w:pStyle w:val="FootnoteText"/>
        <w:spacing w:after="60"/>
        <w:ind w:left="284" w:hanging="284"/>
      </w:pPr>
      <w:r>
        <w:rPr>
          <w:rStyle w:val="FootnoteReference"/>
        </w:rPr>
        <w:footnoteRef/>
      </w:r>
      <w:r>
        <w:t xml:space="preserve"> </w:t>
      </w:r>
      <w:r>
        <w:tab/>
      </w:r>
      <w:hyperlink r:id="rId12" w:history="1">
        <w:r>
          <w:rPr>
            <w:rStyle w:val="Hyperlink"/>
          </w:rPr>
          <w:t>https://ec.europa.eu/taxation_customs/uk-withdrawal-pl</w:t>
        </w:r>
      </w:hyperlink>
      <w:r>
        <w:t>.</w:t>
      </w:r>
    </w:p>
  </w:footnote>
  <w:footnote w:id="21">
    <w:p>
      <w:pPr>
        <w:pStyle w:val="FootnoteText"/>
        <w:spacing w:after="60"/>
        <w:ind w:left="284" w:hanging="284"/>
      </w:pPr>
      <w:r>
        <w:rPr>
          <w:rStyle w:val="FootnoteReference"/>
        </w:rPr>
        <w:footnoteRef/>
      </w:r>
      <w:r>
        <w:t xml:space="preserve"> </w:t>
      </w:r>
      <w:r>
        <w:tab/>
      </w:r>
      <w:hyperlink r:id="rId13" w:anchor="heading_4" w:history="1">
        <w:r>
          <w:rPr>
            <w:rStyle w:val="Hyperlink"/>
          </w:rPr>
          <w:t>https://ec.europa.eu/taxation_customs/uk_withdrawal_en#heading_4</w:t>
        </w:r>
      </w:hyperlink>
      <w:r>
        <w:t>.</w:t>
      </w:r>
    </w:p>
  </w:footnote>
  <w:footnote w:id="22">
    <w:p>
      <w:pPr>
        <w:pStyle w:val="FootnoteText"/>
        <w:spacing w:after="60"/>
        <w:ind w:left="284" w:hanging="284"/>
      </w:pPr>
      <w:r>
        <w:rPr>
          <w:rStyle w:val="FootnoteReference"/>
        </w:rPr>
        <w:footnoteRef/>
      </w:r>
      <w:r>
        <w:t xml:space="preserve"> </w:t>
      </w:r>
      <w:r>
        <w:tab/>
        <w:t xml:space="preserve">Na przykład w przypadku Belgii informacje na temat formalności celnych w związku z brexitem można znaleźć na stronie: </w:t>
      </w:r>
      <w:hyperlink r:id="rId14" w:history="1">
        <w:r>
          <w:rPr>
            <w:rStyle w:val="Hyperlink"/>
          </w:rPr>
          <w:t>https://finance.belgium.be/en/customs_excises/enterprises/brexit</w:t>
        </w:r>
      </w:hyperlink>
      <w:r>
        <w:t xml:space="preserve">; podobnie jest w przypadku Francji: </w:t>
      </w:r>
      <w:hyperlink r:id="rId15" w:history="1">
        <w:r>
          <w:rPr>
            <w:rStyle w:val="Hyperlink"/>
          </w:rPr>
          <w:t>http://douane.gouv.fr/articles/c957-entreprises-preparez-vous-au-brexit</w:t>
        </w:r>
      </w:hyperlink>
      <w:r>
        <w:t xml:space="preserve">; oraz Niderlandów: </w:t>
      </w:r>
      <w:hyperlink r:id="rId16" w:history="1">
        <w:r>
          <w:rPr>
            <w:rStyle w:val="Hyperlink"/>
          </w:rPr>
          <w:t>https://www.getreadyforbrexit.eu/en</w:t>
        </w:r>
      </w:hyperlink>
      <w:r>
        <w:t xml:space="preserve">. </w:t>
      </w:r>
    </w:p>
    <w:p>
      <w:pPr>
        <w:pStyle w:val="FootnoteText"/>
        <w:spacing w:after="60"/>
        <w:ind w:left="284"/>
      </w:pPr>
      <w:r>
        <w:t xml:space="preserve">Ponadto użytkownicy portów w Zjednoczonym Królestwie oraz Eurotunelu mogą skorzystać z informacji na stronie: </w:t>
      </w:r>
      <w:hyperlink r:id="rId17" w:history="1">
        <w:r>
          <w:rPr>
            <w:rStyle w:val="Hyperlink"/>
          </w:rPr>
          <w:t>https://www.gov.uk/government/publications/communications-pack-roll-on-roll-off-ports-and-eurotunnel-in-the-event-of-a-no-deal-eu-exit/information-for-users-of-roll-on-roll-off-ports-and-eurotunnel-in-a-no-deal-scenario</w:t>
        </w:r>
      </w:hyperlink>
      <w:r>
        <w:t xml:space="preserve">. </w:t>
      </w:r>
    </w:p>
  </w:footnote>
  <w:footnote w:id="23">
    <w:p>
      <w:pPr>
        <w:pStyle w:val="FootnoteText"/>
        <w:spacing w:after="60"/>
        <w:ind w:left="284" w:hanging="284"/>
      </w:pPr>
      <w:r>
        <w:rPr>
          <w:rStyle w:val="FootnoteReference"/>
        </w:rPr>
        <w:footnoteRef/>
      </w:r>
      <w:r>
        <w:t xml:space="preserve"> </w:t>
      </w:r>
      <w:r>
        <w:tab/>
        <w:t xml:space="preserve">Na przykład w przypadku Belgii informacje o kontrolach sanitarnych i fitosanitarnych w związku z brexitem można znaleźć na stronie: </w:t>
      </w:r>
      <w:hyperlink r:id="rId18" w:history="1">
        <w:r>
          <w:rPr>
            <w:rStyle w:val="Hyperlink"/>
          </w:rPr>
          <w:t>http://www.favv-afsca.fgov.be/brexit/</w:t>
        </w:r>
      </w:hyperlink>
      <w:r>
        <w:t xml:space="preserve">; podobnie jest w przypadku Francji: </w:t>
      </w:r>
      <w:hyperlink r:id="rId19" w:history="1">
        <w:r>
          <w:rPr>
            <w:rStyle w:val="Hyperlink"/>
          </w:rPr>
          <w:t>https://agriculture.gouv.fr/le-brexit-et-les-controles-sanitaires-et-phytosanitaires</w:t>
        </w:r>
      </w:hyperlink>
      <w:r>
        <w:t xml:space="preserve"> oraz Niderlandów: </w:t>
      </w:r>
      <w:hyperlink r:id="rId20" w:history="1">
        <w:r>
          <w:rPr>
            <w:rStyle w:val="Hyperlink"/>
          </w:rPr>
          <w:t>https://www.nvwa.nl/onderwerpen/brexit/</w:t>
        </w:r>
      </w:hyperlink>
      <w:r>
        <w:t xml:space="preserve">. </w:t>
      </w:r>
    </w:p>
  </w:footnote>
  <w:footnote w:id="24">
    <w:p>
      <w:pPr>
        <w:pStyle w:val="FootnoteText"/>
        <w:spacing w:after="60"/>
        <w:ind w:left="284" w:hanging="284"/>
      </w:pPr>
      <w:r>
        <w:rPr>
          <w:rStyle w:val="FootnoteReference"/>
        </w:rPr>
        <w:footnoteRef/>
      </w:r>
      <w:r>
        <w:t xml:space="preserve"> </w:t>
      </w:r>
      <w:r>
        <w:tab/>
        <w:t xml:space="preserve">Zob. np. informacje na temat rozwiązania „smart border” opracowanego przez francuską służbę celną (dostępne na stronie </w:t>
      </w:r>
      <w:hyperlink r:id="rId21" w:history="1">
        <w:r>
          <w:rPr>
            <w:rStyle w:val="Hyperlink"/>
          </w:rPr>
          <w:t>http://www.douane.gouv.fr/articles/a16171-the-smart-border</w:t>
        </w:r>
      </w:hyperlink>
      <w:r>
        <w:rPr>
          <w:rStyle w:val="Hyperlink"/>
        </w:rPr>
        <w:t>)</w:t>
      </w:r>
      <w:r>
        <w:t xml:space="preserve">; niderlandzkiego Port Community System (dostępne na stronie </w:t>
      </w:r>
      <w:hyperlink r:id="rId22" w:history="1">
        <w:r>
          <w:rPr>
            <w:rStyle w:val="Hyperlink"/>
          </w:rPr>
          <w:t>https://www.portbase.com/en/</w:t>
        </w:r>
      </w:hyperlink>
      <w:r>
        <w:t xml:space="preserve">); oraz systemów używanych w belgijskich portach w Zeebrugge (dostępne na stronie </w:t>
      </w:r>
      <w:hyperlink r:id="rId23" w:history="1">
        <w:r>
          <w:rPr>
            <w:rStyle w:val="Hyperlink"/>
          </w:rPr>
          <w:t>https://rxseaport.eu/en/</w:t>
        </w:r>
      </w:hyperlink>
      <w:r>
        <w:t xml:space="preserve">) oraz w Antwerpii (dostępne na stronie </w:t>
      </w:r>
      <w:hyperlink r:id="rId24" w:history="1">
        <w:r>
          <w:rPr>
            <w:rStyle w:val="Hyperlink"/>
          </w:rPr>
          <w:t>https://www.nxtport.com/</w:t>
        </w:r>
      </w:hyperlink>
      <w:r>
        <w:t xml:space="preserve">). </w:t>
      </w:r>
    </w:p>
  </w:footnote>
  <w:footnote w:id="25">
    <w:p>
      <w:pPr>
        <w:pStyle w:val="FootnoteText"/>
        <w:spacing w:after="60"/>
        <w:ind w:left="284" w:hanging="284"/>
      </w:pPr>
      <w:r>
        <w:rPr>
          <w:rStyle w:val="FootnoteReference"/>
        </w:rPr>
        <w:footnoteRef/>
      </w:r>
      <w:r>
        <w:t xml:space="preserve"> </w:t>
      </w:r>
      <w:r>
        <w:tab/>
        <w:t>Podane poniżej dane dotyczące produktów, w przypadku których nadal trzeba zapewnić zgodność z przepisami, wynikają z ostrożnych szacunków, w których nie uwzględnia się tego, że w odniesieniu do niektórych z tych produktów żadne przygotowania w związku z brexitem mogą nie być konieczne ze względów handlowych, które nie są znane Komisji. Możliwe jest na przykład, że niektóre produkty wprowadza się na rynek tylko w Zjednoczonym Królestwie, niektóre mogą już nie występować na rynku lub mogą być zastępowane innymi produktami.</w:t>
      </w:r>
    </w:p>
  </w:footnote>
  <w:footnote w:id="26">
    <w:p>
      <w:pPr>
        <w:pStyle w:val="FootnoteText"/>
        <w:spacing w:after="60"/>
        <w:ind w:left="284" w:hanging="284"/>
      </w:pPr>
      <w:r>
        <w:rPr>
          <w:rStyle w:val="FootnoteReference"/>
        </w:rPr>
        <w:footnoteRef/>
      </w:r>
      <w:r>
        <w:t xml:space="preserve"> </w:t>
      </w:r>
      <w:r>
        <w:tab/>
        <w:t>COM(2019) 276 final.</w:t>
      </w:r>
    </w:p>
  </w:footnote>
  <w:footnote w:id="27">
    <w:p>
      <w:pPr>
        <w:pStyle w:val="FootnoteText"/>
        <w:spacing w:after="60"/>
        <w:ind w:left="284" w:hanging="284"/>
      </w:pPr>
      <w:r>
        <w:rPr>
          <w:rStyle w:val="FootnoteReference"/>
        </w:rPr>
        <w:footnoteRef/>
      </w:r>
      <w:r>
        <w:tab/>
        <w:t>Rozporządzenie (WE) nr 1907/2006 Parlamentu Europejskiego i Rady z dnia 18 grudnia 2006 r. w sprawie rejestracji, oceny, udzielania zezwoleń i stosowanych ograniczeń w zakresie chemikaliów (REACH), utworzenia Europejskiej Agencji Chemikaliów, zmieniające dyrektywę 1999/45/WE oraz uchylające rozporządzenie Rady (EWG) nr 793/93 i rozporządzenie Komisji (WE) nr 1488/94, jak również dyrektywę Rady 76/769/EWG i dyrektywy Komisji 91/155/EWG, 93/67/EWG, 93/105/WE i 2000/21/WE (Dz.U. L 396 z 30.12.2006, s. 1).</w:t>
      </w:r>
    </w:p>
  </w:footnote>
  <w:footnote w:id="28">
    <w:p>
      <w:pPr>
        <w:pStyle w:val="FootnoteText"/>
        <w:spacing w:after="60"/>
        <w:ind w:left="284" w:hanging="284"/>
      </w:pPr>
      <w:r>
        <w:rPr>
          <w:rStyle w:val="FootnoteReference"/>
        </w:rPr>
        <w:footnoteRef/>
      </w:r>
      <w:r>
        <w:t xml:space="preserve"> </w:t>
      </w:r>
      <w:r>
        <w:tab/>
      </w:r>
      <w:hyperlink r:id="rId25" w:anchor="envgrow" w:history="1">
        <w:r>
          <w:rPr>
            <w:rStyle w:val="Hyperlink"/>
          </w:rPr>
          <w:t>https://ec.europa.eu/info/brexit/brexit-preparedness/preparedness-notices_pl#vgrow</w:t>
        </w:r>
      </w:hyperlink>
      <w:r>
        <w:t xml:space="preserve">; i </w:t>
      </w:r>
      <w:hyperlink r:id="rId26" w:history="1">
        <w:r>
          <w:rPr>
            <w:rStyle w:val="Hyperlink"/>
          </w:rPr>
          <w:t>https://echa.europa.eu/uk-withdrawal-from-the-eu</w:t>
        </w:r>
      </w:hyperlink>
      <w:r>
        <w:t>.</w:t>
      </w:r>
    </w:p>
  </w:footnote>
  <w:footnote w:id="29">
    <w:p>
      <w:pPr>
        <w:pStyle w:val="FootnoteText"/>
        <w:spacing w:after="60"/>
        <w:ind w:left="284" w:hanging="284"/>
      </w:pPr>
      <w:r>
        <w:rPr>
          <w:rStyle w:val="FootnoteReference"/>
        </w:rPr>
        <w:footnoteRef/>
      </w:r>
      <w:r>
        <w:t xml:space="preserve"> </w:t>
      </w:r>
      <w:r>
        <w:tab/>
      </w:r>
      <w:hyperlink r:id="rId27" w:history="1">
        <w:r>
          <w:rPr>
            <w:rStyle w:val="Hyperlink"/>
          </w:rPr>
          <w:t>https://ec.europa.eu/info/sites/info/files/fisheries-qanda_en.pdf</w:t>
        </w:r>
      </w:hyperlink>
      <w:r>
        <w:t xml:space="preserve">. </w:t>
      </w:r>
    </w:p>
  </w:footnote>
  <w:footnote w:id="30">
    <w:p>
      <w:pPr>
        <w:pStyle w:val="FootnoteText"/>
        <w:spacing w:after="60"/>
        <w:ind w:left="284" w:hanging="284"/>
      </w:pPr>
      <w:r>
        <w:rPr>
          <w:rStyle w:val="FootnoteReference"/>
        </w:rPr>
        <w:footnoteRef/>
      </w:r>
      <w:r>
        <w:t xml:space="preserve"> </w:t>
      </w:r>
      <w:r>
        <w:tab/>
        <w:t>COM(2019) 276 final.</w:t>
      </w:r>
    </w:p>
  </w:footnote>
  <w:footnote w:id="31">
    <w:p>
      <w:pPr>
        <w:pStyle w:val="FootnoteText"/>
        <w:spacing w:after="60"/>
        <w:ind w:left="284" w:hanging="284"/>
      </w:pPr>
      <w:r>
        <w:rPr>
          <w:rStyle w:val="FootnoteReference"/>
        </w:rPr>
        <w:footnoteRef/>
      </w:r>
      <w:r>
        <w:t xml:space="preserve"> </w:t>
      </w:r>
      <w:r>
        <w:tab/>
        <w:t>Rozporządzenie Parlamentu Europejskiego i Rady (UE) 2019/501 z dnia 25 marca 2019 r. w sprawie wspólnych zasad zapewniających podstawowe połączenia w zakresie transportu drogowego towarów i przewozu osób w związku z wystąpieniem Zjednoczonego Królestwa Wielkiej Brytanii i Irlandii Północnej z Unii, Dz.U. L 85I z 27.3.2019, s. 39.</w:t>
      </w:r>
    </w:p>
  </w:footnote>
  <w:footnote w:id="32">
    <w:p>
      <w:pPr>
        <w:pStyle w:val="FootnoteText"/>
        <w:spacing w:after="60"/>
        <w:ind w:left="284" w:hanging="284"/>
      </w:pPr>
      <w:r>
        <w:rPr>
          <w:rStyle w:val="FootnoteReference"/>
        </w:rPr>
        <w:footnoteRef/>
      </w:r>
      <w:r>
        <w:t xml:space="preserve"> </w:t>
      </w:r>
      <w:r>
        <w:tab/>
        <w:t>Rozporządzenie Parlamentu Europejskiego i Rady (UE) 2019/502 z dnia 25 marca 2019 r. w sprawie wspólnych zasad zapewniających podstawowe połączenia lotnicze w związku z wystąpieniem Zjednoczonego Królestwa Wielkiej Brytanii i Irlandii Północnej z Unii, Dz.U. L 85I z 27.3.2019, s. 49.</w:t>
      </w:r>
    </w:p>
  </w:footnote>
  <w:footnote w:id="33">
    <w:p>
      <w:pPr>
        <w:pStyle w:val="FootnoteText"/>
        <w:spacing w:after="60"/>
        <w:ind w:left="284" w:hanging="284"/>
      </w:pPr>
      <w:r>
        <w:rPr>
          <w:rStyle w:val="FootnoteReference"/>
        </w:rPr>
        <w:footnoteRef/>
      </w:r>
      <w:r>
        <w:t xml:space="preserve"> </w:t>
      </w:r>
      <w:r>
        <w:tab/>
        <w:t>Art. 7 ust. 1 rozporządzenia (UE) 2019/502.</w:t>
      </w:r>
    </w:p>
  </w:footnote>
  <w:footnote w:id="34">
    <w:p>
      <w:pPr>
        <w:pStyle w:val="FootnoteText"/>
        <w:ind w:left="284" w:hanging="284"/>
      </w:pPr>
      <w:r>
        <w:rPr>
          <w:rStyle w:val="FootnoteReference"/>
        </w:rPr>
        <w:footnoteRef/>
      </w:r>
      <w:r>
        <w:t xml:space="preserve"> </w:t>
      </w:r>
      <w:r>
        <w:tab/>
        <w:t>Umowa w sprawie międzynarodowych okazjonalnych przewozów pasażerów autokarami i autobusami (INTERBUS), Dz.U. L 321 z 26.11.2002, s. 13.</w:t>
      </w:r>
    </w:p>
  </w:footnote>
  <w:footnote w:id="35">
    <w:p>
      <w:pPr>
        <w:pStyle w:val="FootnoteText"/>
        <w:spacing w:after="60"/>
        <w:ind w:left="284" w:hanging="284"/>
      </w:pPr>
      <w:r>
        <w:rPr>
          <w:rStyle w:val="FootnoteReference"/>
        </w:rPr>
        <w:footnoteRef/>
      </w:r>
      <w:r>
        <w:t xml:space="preserve"> </w:t>
      </w:r>
      <w:r>
        <w:tab/>
        <w:t>Rozporządzenie Parlamentu Europejskiego i Rady (UE) 2019/498 z dnia 25 marca 2019 r. zmieniające rozporządzenie (UE) 2017/2403 w odniesieniu do upoważnień dla unijnych statków rybackich do połowów na wodach Zjednoczonego Królestwa oraz w odniesieniu do operacji połowowych prowadzonych przez statki rybackie Zjednoczonego Królestwa na wodach Unii, Dz.U. L 85I z 27.3.2019, s. 25.</w:t>
      </w:r>
    </w:p>
  </w:footnote>
  <w:footnote w:id="36">
    <w:p>
      <w:pPr>
        <w:pStyle w:val="FootnoteText"/>
        <w:spacing w:after="60"/>
        <w:ind w:left="284" w:hanging="284"/>
      </w:pPr>
      <w:r>
        <w:rPr>
          <w:rStyle w:val="FootnoteReference"/>
        </w:rPr>
        <w:footnoteRef/>
      </w:r>
      <w:r>
        <w:t xml:space="preserve"> </w:t>
      </w:r>
      <w:r>
        <w:tab/>
        <w:t>Na przykład beneficjenci grantów Europejskiej Rady ds. Badań Naukowych w ramach programu „Horyzont 2020” mają możliwość przeniesienia swojego grantu do innego kraju. Zostaną wydane wskazówki dotyczące zgodności z odpowiednimi wymogami kwalifikowalności.</w:t>
      </w:r>
    </w:p>
  </w:footnote>
  <w:footnote w:id="37">
    <w:p>
      <w:pPr>
        <w:pStyle w:val="FootnoteText"/>
        <w:spacing w:after="60"/>
        <w:ind w:left="284" w:hanging="284"/>
      </w:pPr>
      <w:r>
        <w:rPr>
          <w:rStyle w:val="FootnoteReference"/>
        </w:rPr>
        <w:footnoteRef/>
      </w:r>
      <w:r>
        <w:t xml:space="preserve"> </w:t>
      </w:r>
      <w:r>
        <w:tab/>
        <w:t xml:space="preserve">Rozporządzenie Rady (UE, Euratom) 2019/1197 z dnia 9 lipca 2019 r. w sprawie środków dotyczących wykonania i finansowania budżetu ogólnego Unii w 2019 r. w związku z wystąpieniem Zjednoczonego Królestwa z Unii, Dz.U. L 189 z 15.7.2019, s. 1. </w:t>
      </w:r>
    </w:p>
  </w:footnote>
  <w:footnote w:id="38">
    <w:p>
      <w:pPr>
        <w:pStyle w:val="FootnoteText"/>
        <w:spacing w:after="60"/>
        <w:ind w:left="284" w:hanging="284"/>
      </w:pPr>
      <w:r>
        <w:rPr>
          <w:rStyle w:val="FootnoteReference"/>
        </w:rPr>
        <w:footnoteRef/>
      </w:r>
      <w:r>
        <w:t xml:space="preserve"> </w:t>
      </w:r>
      <w:r>
        <w:tab/>
        <w:t>COM(2019) 195 final.</w:t>
      </w:r>
    </w:p>
  </w:footnote>
  <w:footnote w:id="39">
    <w:p>
      <w:pPr>
        <w:pStyle w:val="FootnoteText"/>
        <w:spacing w:after="60"/>
        <w:ind w:left="284" w:hanging="284"/>
      </w:pPr>
      <w:r>
        <w:rPr>
          <w:rStyle w:val="FootnoteReference"/>
        </w:rPr>
        <w:footnoteRef/>
      </w:r>
      <w:r>
        <w:t xml:space="preserve"> </w:t>
      </w:r>
      <w:r>
        <w:tab/>
        <w:t>Europejski Fundusz Rozwoju Regionalnego, Europejski Fundusz Rolny na rzecz Rozwoju Obszarów Wiejskich, Europejski Fundusz Społeczny, Fundusz Spójności oraz Europejski Fundusz Morski i Rybacki.</w:t>
      </w:r>
    </w:p>
  </w:footnote>
  <w:footnote w:id="40">
    <w:p>
      <w:pPr>
        <w:pStyle w:val="FootnoteText"/>
        <w:spacing w:after="60"/>
        <w:ind w:left="284" w:hanging="284"/>
      </w:pPr>
      <w:r>
        <w:rPr>
          <w:rStyle w:val="FootnoteReference"/>
        </w:rPr>
        <w:footnoteRef/>
      </w:r>
      <w:r>
        <w:t xml:space="preserve"> </w:t>
      </w:r>
      <w:r>
        <w:tab/>
        <w:t xml:space="preserve">Rozporządzenie Rady (UE, Euratom) 2019/1197 z dnia 9 lipca 2019 r. w sprawie środków dotyczących wykonania i finansowania budżetu ogólnego Unii w 2019 r. w związku z wystąpieniem Zjednoczonego Królestwa z Unii, Dz.U. L 189 z 15.7.2019,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C0"/>
    <w:multiLevelType w:val="hybridMultilevel"/>
    <w:tmpl w:val="509E4720"/>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nsid w:val="0D5406AB"/>
    <w:multiLevelType w:val="hybridMultilevel"/>
    <w:tmpl w:val="CBAE75D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D632FB9"/>
    <w:multiLevelType w:val="hybridMultilevel"/>
    <w:tmpl w:val="8884B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1530E"/>
    <w:multiLevelType w:val="hybridMultilevel"/>
    <w:tmpl w:val="58844E90"/>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4">
    <w:nsid w:val="1A9D29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21696"/>
    <w:multiLevelType w:val="hybridMultilevel"/>
    <w:tmpl w:val="8EDC0F4A"/>
    <w:lvl w:ilvl="0" w:tplc="172C5F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921177"/>
    <w:multiLevelType w:val="hybridMultilevel"/>
    <w:tmpl w:val="5FF836B0"/>
    <w:lvl w:ilvl="0" w:tplc="08090003">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7A5C76"/>
    <w:multiLevelType w:val="hybridMultilevel"/>
    <w:tmpl w:val="A46E7C4C"/>
    <w:lvl w:ilvl="0" w:tplc="4DAC2E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23DA4"/>
    <w:multiLevelType w:val="hybridMultilevel"/>
    <w:tmpl w:val="1EE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B1F4D"/>
    <w:multiLevelType w:val="hybridMultilevel"/>
    <w:tmpl w:val="98266B68"/>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0C4665"/>
    <w:multiLevelType w:val="hybridMultilevel"/>
    <w:tmpl w:val="CAACA1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866E21"/>
    <w:multiLevelType w:val="hybridMultilevel"/>
    <w:tmpl w:val="3FC28354"/>
    <w:lvl w:ilvl="0" w:tplc="9008FBF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E23C08"/>
    <w:multiLevelType w:val="hybridMultilevel"/>
    <w:tmpl w:val="98F20AE0"/>
    <w:lvl w:ilvl="0" w:tplc="EA8A3D5A">
      <w:start w:val="1"/>
      <w:numFmt w:val="decimal"/>
      <w:lvlText w:val="%1."/>
      <w:lvlJc w:val="left"/>
      <w:pPr>
        <w:ind w:left="1353"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13D34"/>
    <w:multiLevelType w:val="hybridMultilevel"/>
    <w:tmpl w:val="5D2E3BC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C024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5D13D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6">
    <w:nsid w:val="5D583119"/>
    <w:multiLevelType w:val="hybridMultilevel"/>
    <w:tmpl w:val="F886CD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C27D6"/>
    <w:multiLevelType w:val="hybridMultilevel"/>
    <w:tmpl w:val="EAE6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3E05565"/>
    <w:multiLevelType w:val="hybridMultilevel"/>
    <w:tmpl w:val="29B684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9D535D"/>
    <w:multiLevelType w:val="hybridMultilevel"/>
    <w:tmpl w:val="718CA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3485E"/>
    <w:multiLevelType w:val="hybridMultilevel"/>
    <w:tmpl w:val="FCB69320"/>
    <w:lvl w:ilvl="0" w:tplc="B6AA3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431CEB"/>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411C0E"/>
    <w:multiLevelType w:val="hybridMultilevel"/>
    <w:tmpl w:val="8EDC0F4A"/>
    <w:lvl w:ilvl="0" w:tplc="172C5FB2">
      <w:start w:val="1"/>
      <w:numFmt w:val="lowerRoman"/>
      <w:lvlText w:val="%1."/>
      <w:lvlJc w:val="left"/>
      <w:pPr>
        <w:ind w:left="851" w:hanging="72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3">
    <w:nsid w:val="6B8932A6"/>
    <w:multiLevelType w:val="hybridMultilevel"/>
    <w:tmpl w:val="6D1E7F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00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2301A1"/>
    <w:multiLevelType w:val="hybridMultilevel"/>
    <w:tmpl w:val="581462EE"/>
    <w:lvl w:ilvl="0" w:tplc="A9861BB6">
      <w:start w:val="1"/>
      <w:numFmt w:val="decimal"/>
      <w:lvlText w:val="%1."/>
      <w:lvlJc w:val="left"/>
      <w:pPr>
        <w:ind w:left="644" w:hanging="360"/>
      </w:pPr>
      <w:rPr>
        <w:rFonts w:eastAsia="Arial Unicode MS" w:cs="Arial Unicode M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160D"/>
    <w:multiLevelType w:val="hybridMultilevel"/>
    <w:tmpl w:val="53A430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5"/>
  </w:num>
  <w:num w:numId="5">
    <w:abstractNumId w:val="12"/>
  </w:num>
  <w:num w:numId="6">
    <w:abstractNumId w:val="2"/>
  </w:num>
  <w:num w:numId="7">
    <w:abstractNumId w:val="22"/>
  </w:num>
  <w:num w:numId="8">
    <w:abstractNumId w:val="15"/>
  </w:num>
  <w:num w:numId="9">
    <w:abstractNumId w:val="8"/>
  </w:num>
  <w:num w:numId="10">
    <w:abstractNumId w:val="7"/>
  </w:num>
  <w:num w:numId="11">
    <w:abstractNumId w:val="23"/>
  </w:num>
  <w:num w:numId="12">
    <w:abstractNumId w:val="21"/>
  </w:num>
  <w:num w:numId="13">
    <w:abstractNumId w:val="16"/>
  </w:num>
  <w:num w:numId="14">
    <w:abstractNumId w:val="6"/>
  </w:num>
  <w:num w:numId="15">
    <w:abstractNumId w:val="17"/>
  </w:num>
  <w:num w:numId="16">
    <w:abstractNumId w:val="13"/>
  </w:num>
  <w:num w:numId="17">
    <w:abstractNumId w:val="18"/>
  </w:num>
  <w:num w:numId="18">
    <w:abstractNumId w:val="19"/>
  </w:num>
  <w:num w:numId="19">
    <w:abstractNumId w:val="25"/>
  </w:num>
  <w:num w:numId="20">
    <w:abstractNumId w:val="1"/>
  </w:num>
  <w:num w:numId="21">
    <w:abstractNumId w:val="26"/>
  </w:num>
  <w:num w:numId="22">
    <w:abstractNumId w:val="3"/>
  </w:num>
  <w:num w:numId="23">
    <w:abstractNumId w:val="9"/>
  </w:num>
  <w:num w:numId="24">
    <w:abstractNumId w:val="10"/>
  </w:num>
  <w:num w:numId="25">
    <w:abstractNumId w:val="4"/>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CAA3B648-90F6-48AD-841D-ECB956C01ABF"/>
    <w:docVar w:name="LW_COVERPAGE_TYPE" w:val="1"/>
    <w:docVar w:name="LW_CROSSREFERENCE" w:val="&lt;UNUSED&gt;"/>
    <w:docVar w:name="LW_DocType" w:val="NORMAL"/>
    <w:docVar w:name="LW_EMISSION" w:val="4.9.2019"/>
    <w:docVar w:name="LW_EMISSION_ISODATE" w:val="2019-09-04"/>
    <w:docVar w:name="LW_EMISSION_LOCATION" w:val="BRX"/>
    <w:docVar w:name="LW_EMISSION_PREFIX" w:val="Bruksela, dnia "/>
    <w:docVar w:name="LW_EMISSION_SUFFIX" w:val=" r."/>
    <w:docVar w:name="LW_ID_DOCTYPE_NONLW" w:val="CP-009"/>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3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Finalizacja przygotowa\u324? do wyst\u261?pienia Zjednoczonego Królestwa z Unii Europejskiej w dniu 1 listopada 2019 r."/>
    <w:docVar w:name="LW_TYPE.DOC.CP" w:val="KOMUNIKAT KOMISJI"/>
    <w:docVar w:name="LW_TYPE.DOC.CP.USERTEXT" w:val="DO PARLAMENTU EUROPEJSKIEGO, RADY EUROPEJSKIEJ, RADY, EUROPEJSKIEGO BANKU CENTRALNEGO, EUROPEJSKIEGO KOMITETU EKONOMICZNO-SPO\u321?ECZNEGO, KOMITETU REGIONÓW I EUROPEJSKIEGO BANKU INWESTYCYJNEG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color w:val="000000" w:themeColor="text1"/>
      <w:sz w:val="24"/>
      <w:szCs w:val="32"/>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paragraph" w:styleId="FootnoteText">
    <w:name w:val="footnote text"/>
    <w:basedOn w:val="Normal"/>
    <w:link w:val="FootnoteTextChar"/>
    <w:uiPriority w:val="99"/>
    <w:unhideWhenUsed/>
    <w:pPr>
      <w:spacing w:after="0" w:line="240" w:lineRule="auto"/>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HeaderSensitivityRightChar">
    <w:name w:val="Header Sensitivity Right Char"/>
    <w:basedOn w:val="TypedudocumentChar"/>
    <w:link w:val="HeaderSensitivityRight"/>
    <w:rPr>
      <w:rFonts w:ascii="Times New Roman" w:hAnsi="Times New Roman" w:cs="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582">
      <w:bodyDiv w:val="1"/>
      <w:marLeft w:val="0"/>
      <w:marRight w:val="0"/>
      <w:marTop w:val="0"/>
      <w:marBottom w:val="0"/>
      <w:divBdr>
        <w:top w:val="none" w:sz="0" w:space="0" w:color="auto"/>
        <w:left w:val="none" w:sz="0" w:space="0" w:color="auto"/>
        <w:bottom w:val="none" w:sz="0" w:space="0" w:color="auto"/>
        <w:right w:val="none" w:sz="0" w:space="0" w:color="auto"/>
      </w:divBdr>
    </w:div>
    <w:div w:id="981425054">
      <w:bodyDiv w:val="1"/>
      <w:marLeft w:val="0"/>
      <w:marRight w:val="0"/>
      <w:marTop w:val="0"/>
      <w:marBottom w:val="0"/>
      <w:divBdr>
        <w:top w:val="none" w:sz="0" w:space="0" w:color="auto"/>
        <w:left w:val="none" w:sz="0" w:space="0" w:color="auto"/>
        <w:bottom w:val="none" w:sz="0" w:space="0" w:color="auto"/>
        <w:right w:val="none" w:sz="0" w:space="0" w:color="auto"/>
      </w:divBdr>
    </w:div>
    <w:div w:id="1201477574">
      <w:bodyDiv w:val="1"/>
      <w:marLeft w:val="0"/>
      <w:marRight w:val="0"/>
      <w:marTop w:val="0"/>
      <w:marBottom w:val="0"/>
      <w:divBdr>
        <w:top w:val="none" w:sz="0" w:space="0" w:color="auto"/>
        <w:left w:val="none" w:sz="0" w:space="0" w:color="auto"/>
        <w:bottom w:val="none" w:sz="0" w:space="0" w:color="auto"/>
        <w:right w:val="none" w:sz="0" w:space="0" w:color="auto"/>
      </w:divBdr>
    </w:div>
    <w:div w:id="1221479005">
      <w:bodyDiv w:val="1"/>
      <w:marLeft w:val="0"/>
      <w:marRight w:val="0"/>
      <w:marTop w:val="0"/>
      <w:marBottom w:val="0"/>
      <w:divBdr>
        <w:top w:val="none" w:sz="0" w:space="0" w:color="auto"/>
        <w:left w:val="none" w:sz="0" w:space="0" w:color="auto"/>
        <w:bottom w:val="none" w:sz="0" w:space="0" w:color="auto"/>
        <w:right w:val="none" w:sz="0" w:space="0" w:color="auto"/>
      </w:divBdr>
    </w:div>
    <w:div w:id="14610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business/customs-procedures/what-is-customs-transit/common-union-transit_en" TargetMode="External"/><Relationship Id="rId13" Type="http://schemas.openxmlformats.org/officeDocument/2006/relationships/hyperlink" Target="https://ec.europa.eu/taxation_customs/uk_withdrawal_pl" TargetMode="External"/><Relationship Id="rId18" Type="http://schemas.openxmlformats.org/officeDocument/2006/relationships/hyperlink" Target="http://www.favv-afsca.fgov.be/brexit/" TargetMode="External"/><Relationship Id="rId26" Type="http://schemas.openxmlformats.org/officeDocument/2006/relationships/hyperlink" Target="https://echa.europa.eu/uk-withdrawal-from-the-eu" TargetMode="External"/><Relationship Id="rId3" Type="http://schemas.openxmlformats.org/officeDocument/2006/relationships/hyperlink" Target="https://ec.europa.eu/info/files/overview-national-measures-area-social-security-coordination_en" TargetMode="External"/><Relationship Id="rId21" Type="http://schemas.openxmlformats.org/officeDocument/2006/relationships/hyperlink" Target="http://www.douane.gouv.fr/articles/a16171-the-smart-border" TargetMode="External"/><Relationship Id="rId7" Type="http://schemas.openxmlformats.org/officeDocument/2006/relationships/hyperlink" Target="https://www.wto.org/english/res_e/booksp_e/tariff_profiles19_e.pdf" TargetMode="External"/><Relationship Id="rId12" Type="http://schemas.openxmlformats.org/officeDocument/2006/relationships/hyperlink" Target="https://ec.europa.eu/taxation_customs/uk-withdrawal-pl" TargetMode="External"/><Relationship Id="rId17" Type="http://schemas.openxmlformats.org/officeDocument/2006/relationships/hyperlink" Target="https://www.gov.uk/government/publications/communications-pack-roll-on-roll-off-ports-and-eurotunnel-in-the-event-of-a-no-deal-eu-exit/information-for-users-of-roll-on-roll-off-ports-and-eurotunnel-in-a-no-deal-scenario" TargetMode="External"/><Relationship Id="rId25" Type="http://schemas.openxmlformats.org/officeDocument/2006/relationships/hyperlink" Target="https://ec.europa.eu/info/brexit/brexit-preparedness/preparedness-notices_pl" TargetMode="External"/><Relationship Id="rId2" Type="http://schemas.openxmlformats.org/officeDocument/2006/relationships/hyperlink" Target="https://www.gov.uk/eusettledstatus" TargetMode="External"/><Relationship Id="rId16" Type="http://schemas.openxmlformats.org/officeDocument/2006/relationships/hyperlink" Target="https://www.getreadyforbrexit.eu/en" TargetMode="External"/><Relationship Id="rId20" Type="http://schemas.openxmlformats.org/officeDocument/2006/relationships/hyperlink" Target="https://urldefense.proofpoint.com/v2/url?u=https-3A__www.nvwa.nl_onderwerpen_brexit_&amp;d=DwMGaQ&amp;c=8NwulVB6ucrjuSGiwL_ckQ&amp;r=Szg7VZmvkiY9fqhmOGtQxCAianlIFYN6psOq9ULY7RA&amp;m=3ZGq__Vf2nDksWaxvHXy-wuOIoCeUWTwAk0eL5LYFWA&amp;s=fGoqpfITXFvdurN6uQz-bWRGYqORShH6dzbo6uV-6xs&amp;e=" TargetMode="External"/><Relationship Id="rId1" Type="http://schemas.openxmlformats.org/officeDocument/2006/relationships/hyperlink" Target="https://ec.europa.eu/info/files/overview-table-residence-rights-uk-nationals-eu27-member-states_en" TargetMode="External"/><Relationship Id="rId6" Type="http://schemas.openxmlformats.org/officeDocument/2006/relationships/hyperlink" Target="https://ec.europa.eu/taxation_customs/dds2/taric/taric_consultation.jsp?Lang=pl&amp;Taric=&amp;MinCharFts=3&amp;EndPub=&amp;MeasText=&amp;Area=&amp;callbackuri=CBU-0&amp;Regulation=&amp;LangDescr=&amp;MeasType=&amp;SimDate=20190830&amp;StartPub=&amp;LastSelectedCode=&amp;OrderNum=&amp;GoodsText=&amp;Level=&amp;Expand=false" TargetMode="External"/><Relationship Id="rId11" Type="http://schemas.openxmlformats.org/officeDocument/2006/relationships/hyperlink" Target="https://ec.europa.eu/taxation_customs/eu-training/general-overview_en" TargetMode="External"/><Relationship Id="rId24" Type="http://schemas.openxmlformats.org/officeDocument/2006/relationships/hyperlink" Target="https://www.nxtport.com/" TargetMode="External"/><Relationship Id="rId5" Type="http://schemas.openxmlformats.org/officeDocument/2006/relationships/hyperlink" Target="https://ec.europa.eu/info/brexit/brexit-preparedness/preparedness-notices_pl" TargetMode="External"/><Relationship Id="rId15" Type="http://schemas.openxmlformats.org/officeDocument/2006/relationships/hyperlink" Target="http://douane.gouv.fr/articles/c957-entreprises-preparez-vous-au-brexit" TargetMode="External"/><Relationship Id="rId23" Type="http://schemas.openxmlformats.org/officeDocument/2006/relationships/hyperlink" Target="https://rxseaport.eu/en/" TargetMode="External"/><Relationship Id="rId10" Type="http://schemas.openxmlformats.org/officeDocument/2006/relationships/hyperlink" Target="https://ec.europa.eu/taxation_customs/uk_withdrawal_en" TargetMode="External"/><Relationship Id="rId19" Type="http://schemas.openxmlformats.org/officeDocument/2006/relationships/hyperlink" Target="https://agriculture.gouv.fr/le-brexit-et-les-controles-sanitaires-et-phytosanitaires" TargetMode="External"/><Relationship Id="rId4" Type="http://schemas.openxmlformats.org/officeDocument/2006/relationships/hyperlink" Target="https://ec.europa.eu/info/files/brexit-preparedness-checklist" TargetMode="External"/><Relationship Id="rId9" Type="http://schemas.openxmlformats.org/officeDocument/2006/relationships/hyperlink" Target="https://ec.europa.eu/info/sites/info/files/file_import/preferential_rules_of_origin_pl.pdf" TargetMode="External"/><Relationship Id="rId14" Type="http://schemas.openxmlformats.org/officeDocument/2006/relationships/hyperlink" Target="https://finance.belgium.be/en/customs_excises/enterprises/brexit" TargetMode="External"/><Relationship Id="rId22" Type="http://schemas.openxmlformats.org/officeDocument/2006/relationships/hyperlink" Target="https://www.portbase.com/en/" TargetMode="External"/><Relationship Id="rId27" Type="http://schemas.openxmlformats.org/officeDocument/2006/relationships/hyperlink" Target="https://ec.europa.eu/info/sites/info/files/fisheries-qand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896F1F-A1C8-48CB-84DC-DB05249D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5102</Words>
  <Characters>33675</Characters>
  <Application>Microsoft Office Word</Application>
  <DocSecurity>0</DocSecurity>
  <Lines>474</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2019-08-29T10:25:00Z</cp:lastPrinted>
  <dcterms:created xsi:type="dcterms:W3CDTF">2019-09-03T09:09:00Z</dcterms:created>
  <dcterms:modified xsi:type="dcterms:W3CDTF">2019-09-10T09:01:00Z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y fmtid="{D5CDD505-2E9C-101B-9397-08002B2CF9AE}" pid="8" name="CPTemplateID">
    <vt:lpwstr>CP-009</vt:lpwstr>
  </property>
</Properties>
</file>