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5095C7DB-F608-43F4-ABA1-D2F8D7355747" style="width:451.25pt;height:409.4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Style w:val="NormalWeb"/>
        <w:jc w:val="both"/>
        <w:rPr>
          <w:noProof/>
          <w:color w:val="000000"/>
        </w:rPr>
      </w:pPr>
      <w:r>
        <w:rPr>
          <w:noProof/>
          <w:color w:val="000000"/>
        </w:rPr>
        <w:t>Veřejné služby zaměstnanosti (VSZ) jsou hlavními agenturami, které vykonávají politiky zaměstnanosti usnadňující integraci uchazečů o zaměstnání na trhu práce. Přestože se struktura těchto služeb v různých zemích liší, všechny pomáhají sladit nabídku a poptávku na trhu práce prostřednictvím vyhledávání zaměstnanců a informačních a aktivních podpůrných služeb na místní, národní a evropské úrovni. VSZ jsou zároveň hlavními aktéry při provádění aktivačních politik v členských státech a hrají důležitou roli při usnadňování úspěšných přechodů a integrace na trhu práce. Kvalita těchto služeb má přímé důsledky, pokud jde o dopad politik zaměstnanosti v praxi. Proto jsou VSZ klíčovými aktéry v boji proti nezaměstnanosti v Evropě a zajišťování úspěšného provádění příslušných politických iniciativ EU.</w:t>
      </w:r>
    </w:p>
    <w:p>
      <w:pPr>
        <w:pStyle w:val="NormalWeb"/>
        <w:jc w:val="both"/>
        <w:rPr>
          <w:noProof/>
          <w:color w:val="000000"/>
        </w:rPr>
      </w:pPr>
      <w:r>
        <w:rPr>
          <w:noProof/>
          <w:color w:val="000000"/>
        </w:rPr>
        <w:t>Spolupráce VSZ na evropské úrovni byla zahájena v roce 1997, kdy Komise zřídila neformální poradní skupinu vedoucích představitelů (HoPES). Jejím cílem bylo podpořit spolupráci, výměnu a vzájemné učení mezi členskými organizacemi a získat zpětnou vazbu ohledně iniciativ v oblasti politiky zaměstnanosti.</w:t>
      </w:r>
    </w:p>
    <w:p>
      <w:pPr>
        <w:pStyle w:val="NormalWeb"/>
        <w:jc w:val="both"/>
        <w:rPr>
          <w:noProof/>
          <w:color w:val="000000"/>
        </w:rPr>
      </w:pPr>
      <w:r>
        <w:rPr>
          <w:noProof/>
          <w:color w:val="000000"/>
        </w:rPr>
        <w:t xml:space="preserve">Na základě získaných zkušeností navrhla Komise v roce 2013 tuto spolupráci formalizovat, aby se podpořily inovace, referenční srovnávání a vzájemné učení na evropské úrovni. V roce 2014 byla </w:t>
      </w:r>
      <w:r>
        <w:rPr>
          <w:noProof/>
          <w:color w:val="000000"/>
        </w:rPr>
        <w:br/>
        <w:t>rozhodnutím Evropského parlamentu a Rady č. 573/2014/EU o posílení spolupráce mezi veřejnými službami zaměstnanosti zřízena síť veřejných služeb zaměstnanosti (dále jen „síť“) do 31. prosince 2020.</w:t>
      </w:r>
    </w:p>
    <w:p>
      <w:pPr>
        <w:pStyle w:val="NormalWeb"/>
        <w:jc w:val="both"/>
        <w:rPr>
          <w:noProof/>
          <w:color w:val="000000"/>
        </w:rPr>
      </w:pPr>
      <w:r>
        <w:rPr>
          <w:noProof/>
          <w:color w:val="000000"/>
        </w:rPr>
        <w:t>Tento návrh má za cíl dále posilovat kapacitu, efektivitu a účinnost veřejných služeb zaměstnanosti poskytnutím platformy pro porovnávání výsledků na evropské úrovni, určováním osvědčených postupů a rozvojem systému vzájemného učení. Jejím záměrem je také poskytovat VSZ více možností, jak pomáhat rozvoji inovativních, fakticky založených politik.</w:t>
      </w:r>
    </w:p>
    <w:p>
      <w:pPr>
        <w:pStyle w:val="NormalWeb"/>
        <w:jc w:val="both"/>
        <w:rPr>
          <w:noProof/>
          <w:color w:val="000000"/>
        </w:rPr>
      </w:pPr>
      <w:r>
        <w:rPr>
          <w:noProof/>
          <w:color w:val="000000"/>
        </w:rPr>
        <w:t>Mělo by se zajistit, že síť bude pouze doplňovat a nikoli nahrazovat či zdvojovat činnosti prováděné v rámci evropské strategie zaměstnanosti ve smyslu hlavy IX Smlouvy o fungování Evropské unie (SFEU), zejména opatření Výboru pro zaměstnanost (EMCO) a jeho nástroje, jako je společný hodnotící rámec, jakož i program vzájemného učení. Komise by kromě toho měla v zájmu součinnosti dále zajišťovat úzkou spolupráci mezi sekretariátem sítě a sekretariátem Výboru pro zaměstnanost.</w:t>
      </w:r>
    </w:p>
    <w:p>
      <w:pPr>
        <w:pStyle w:val="Text2"/>
        <w:ind w:left="0"/>
        <w:rPr>
          <w:noProof/>
          <w:szCs w:val="24"/>
        </w:rPr>
      </w:pPr>
      <w:r>
        <w:rPr>
          <w:noProof/>
        </w:rPr>
        <w:t>Proběhlo hodnocení s cílem objasnit stav provádění předchozího rozhodnutí, jakož i související výzvy a příležitosti pro další pokračování sítě po 31. prosinci 2020. Z hodnocení vyplývá, že provádění rozhodnutí bylo dosud úspěšné, a to zejména díky iniciativě týkající se učení na základě srovnání</w:t>
      </w:r>
      <w:r>
        <w:rPr>
          <w:rStyle w:val="FootnoteReference"/>
          <w:noProof/>
        </w:rPr>
        <w:footnoteReference w:id="1"/>
      </w:r>
      <w:r>
        <w:rPr>
          <w:noProof/>
        </w:rPr>
        <w:t>, která je úspěšným příkladem společného nástroje EU na podporu srovnávání, učení a vyspělosti mezi VSZ EU. Rovněž se v něm konstatuje, že síť byla při plnění cílů stanovených v rozhodnutí účinná.</w:t>
      </w:r>
    </w:p>
    <w:p>
      <w:pPr>
        <w:pStyle w:val="Text2"/>
        <w:ind w:left="0"/>
        <w:rPr>
          <w:noProof/>
          <w:szCs w:val="24"/>
        </w:rPr>
      </w:pPr>
    </w:p>
    <w:p>
      <w:pPr>
        <w:pBdr>
          <w:top w:val="nil"/>
          <w:left w:val="nil"/>
          <w:bottom w:val="nil"/>
          <w:right w:val="nil"/>
          <w:between w:val="nil"/>
          <w:bar w:val="nil"/>
        </w:pBdr>
        <w:spacing w:before="0" w:after="240"/>
        <w:rPr>
          <w:rFonts w:eastAsia="Arial Unicode MS"/>
          <w:noProof/>
        </w:rPr>
      </w:pPr>
      <w:r>
        <w:rPr>
          <w:noProof/>
          <w:color w:val="000000"/>
        </w:rPr>
        <w:t>Cílem návrhu, kterým se mění rozhodnutí č. 573/2014/EU je proto navázat na pozitivní přínosy sítě prokázané v závěrech tohoto hodnocení</w:t>
      </w:r>
      <w:r>
        <w:rPr>
          <w:rStyle w:val="FootnoteReference"/>
          <w:noProof/>
          <w:color w:val="000000"/>
        </w:rPr>
        <w:footnoteReference w:id="2"/>
      </w:r>
      <w:r>
        <w:rPr>
          <w:noProof/>
          <w:color w:val="000000"/>
        </w:rPr>
        <w:t xml:space="preserve"> a současně reagovat na potřeby a silnou podporu zúčastněných stran sítě, aby tato cenná spolupráce mohla pokračovat i po roce 2020. Jeho smyslem je prodloužit dobu zřízení</w:t>
      </w:r>
      <w:r>
        <w:rPr>
          <w:noProof/>
        </w:rPr>
        <w:t xml:space="preserve"> sítě </w:t>
      </w:r>
      <w:r>
        <w:rPr>
          <w:noProof/>
          <w:color w:val="000000"/>
        </w:rPr>
        <w:t>do 31. prosince 2027</w:t>
      </w:r>
      <w:r>
        <w:rPr>
          <w:noProof/>
        </w:rPr>
        <w:t>.</w:t>
      </w:r>
    </w:p>
    <w:p>
      <w:pPr>
        <w:pStyle w:val="ManualHeading2"/>
        <w:rPr>
          <w:rFonts w:eastAsia="Arial Unicode MS"/>
          <w:noProof/>
        </w:rPr>
      </w:pPr>
      <w:r>
        <w:rPr>
          <w:noProof/>
          <w:color w:val="000000"/>
          <w:u w:color="000000"/>
          <w:bdr w:val="nil"/>
        </w:rPr>
        <w:t>•</w:t>
      </w:r>
      <w:r>
        <w:rPr>
          <w:noProof/>
        </w:rPr>
        <w:tab/>
        <w:t>Soulad s platnými předpisy v této oblasti politiky</w:t>
      </w:r>
    </w:p>
    <w:p>
      <w:pPr>
        <w:pStyle w:val="Text2"/>
        <w:ind w:left="0"/>
        <w:rPr>
          <w:noProof/>
          <w:color w:val="000000"/>
        </w:rPr>
      </w:pPr>
      <w:r>
        <w:rPr>
          <w:noProof/>
          <w:color w:val="000000"/>
        </w:rPr>
        <w:t>Síť, jejímž právním základem je článek 149 SFEU, byla zřízena na podporu spolupráce mezi členskými státy a jejich činnosti v oblasti zaměstnanosti. Síť je součástí rámce politiky zaměstnanosti, který je rozvíjen s cílem reagovat na nové priority a změny na trhu práce. V souladu s čl. 148 odst. 4 Smlouvy přijala Rada rozhodnutím 2010/707/EU hlavní směry politik zaměstnanosti členských států, které byly aktualizovány (rozhodnutí Rady (EU) 2018/1215 ze dne 16, července 2018) a zachovány pro rok 2019.</w:t>
      </w:r>
    </w:p>
    <w:p>
      <w:pPr>
        <w:pStyle w:val="Text2"/>
        <w:ind w:left="0"/>
        <w:rPr>
          <w:noProof/>
          <w:color w:val="000000"/>
        </w:rPr>
      </w:pPr>
      <w:r>
        <w:rPr>
          <w:noProof/>
          <w:color w:val="000000"/>
        </w:rPr>
        <w:t xml:space="preserve">Směry zaměstnanosti společně se směry hospodářské politiky pomáhají členským státům při tvorbě jejich národních programů reforem a provádění reforem. Ve směru č. 7 se zdůrazňuje, že by členské státy měly usilovat o účinnější a účelnější veřejné služby zaměstnanosti tím, že zajistí včasné a individuálně uzpůsobené služby na podporu uchazečů o zaměstnání, podpoří poptávku na trhu práce a zavedou systémy řízení výkonnosti. Integrované směry tvoří základ doporučení pro jednotlivé země, které Rada adresuje členským státům v rámci procesu evropského semestru. V posledních letech tato doporučení obsahovala konkrétní doporučení k fungování a kapacitě VSZ a k účinnosti aktivních politik na trhu práce členských států. </w:t>
      </w:r>
      <w:r>
        <w:rPr>
          <w:noProof/>
        </w:rPr>
        <w:t>V tomto smyslu jde i o potřebu individuálnějších služeb přizpůsobených nezaměstnaným, komplexnější systém měření výkonnosti, lepší zacílení a stanovení priorit a lepší koordinaci mezi ústředními a regionálními správami.</w:t>
      </w:r>
    </w:p>
    <w:p>
      <w:pPr>
        <w:rPr>
          <w:noProof/>
          <w:color w:val="000000"/>
        </w:rPr>
      </w:pPr>
      <w:r>
        <w:rPr>
          <w:noProof/>
          <w:color w:val="000000"/>
        </w:rPr>
        <w:t>Aktivní podpora zaměstnanosti je rovněž jednou z priorit evropského pilíře sociálních práv</w:t>
      </w:r>
      <w:r>
        <w:rPr>
          <w:rStyle w:val="FootnoteReference"/>
          <w:noProof/>
        </w:rPr>
        <w:footnoteReference w:id="3"/>
      </w:r>
      <w:r>
        <w:rPr>
          <w:noProof/>
          <w:color w:val="000000"/>
        </w:rPr>
        <w:t xml:space="preserve"> (zásada 4). Posiluje se priorita týkající se cílené podpory pro ty, kdo potřebují pomoc při získávání přístupu na trh práce, např. prostřednictvím VSZ. </w:t>
      </w:r>
      <w:r>
        <w:rPr>
          <w:noProof/>
        </w:rPr>
        <w:t>Příkladem je i zvýšený důraz na roli VSZ při oslovování neaktivních obyvatel.</w:t>
      </w:r>
    </w:p>
    <w:p>
      <w:pPr>
        <w:pStyle w:val="Text2"/>
        <w:ind w:left="0"/>
        <w:rPr>
          <w:noProof/>
          <w:color w:val="000000"/>
        </w:rPr>
      </w:pPr>
      <w:r>
        <w:rPr>
          <w:noProof/>
          <w:color w:val="000000"/>
        </w:rPr>
        <w:t>Jedním z cílů sítě je přispívat k provádění politických iniciativ EU v oblasti zaměstnanosti, jako je doporučení Rady ze dne 22. dubna 2013 o zavedení záruk pro mladé lidi a doporučení Rady ze dne 15. února 2016 o začleňování dlouhodobě nezaměstnaných na trhu práce, v nichž hrají VSZ klíčovou úlohu. Kromě toho by síť měla podporovat provádění iniciativ EU zaměřených na lepší sladění dovedností, důstojnou a udržitelnou práci, posílenou dobrovolnou mobilitu pracovní síly a usnadnění přechodu ze vzdělávání a odborné přípravy do práce.</w:t>
      </w:r>
    </w:p>
    <w:p>
      <w:pPr>
        <w:pStyle w:val="Text2"/>
        <w:ind w:left="0"/>
        <w:rPr>
          <w:noProof/>
          <w:color w:val="000000"/>
        </w:rPr>
      </w:pPr>
      <w:r>
        <w:rPr>
          <w:noProof/>
          <w:color w:val="000000"/>
        </w:rPr>
        <w:t xml:space="preserve">Činnosti sítě spadají do působnosti VSZ a doplňují iniciativy dalších zúčastněných stran, přičemž přispívají k posílení celkového úsilí vynaloženého v této oblasti politiky. Hodnocení sítě prokazuje tuto komplementárnost i skutečnost, že iniciativy sítě nenahradily jiné iniciativy. </w:t>
      </w:r>
    </w:p>
    <w:p>
      <w:pPr>
        <w:pStyle w:val="Text2"/>
        <w:ind w:left="0"/>
        <w:rPr>
          <w:noProof/>
          <w:color w:val="000000"/>
        </w:rPr>
      </w:pPr>
      <w:r>
        <w:rPr>
          <w:noProof/>
          <w:color w:val="000000"/>
        </w:rPr>
        <w:t>Evropský portál pracovních míst EURES</w:t>
      </w:r>
      <w:r>
        <w:rPr>
          <w:rStyle w:val="FootnoteReference"/>
          <w:noProof/>
        </w:rPr>
        <w:footnoteReference w:id="4"/>
      </w:r>
      <w:r>
        <w:rPr>
          <w:noProof/>
          <w:color w:val="000000"/>
        </w:rPr>
        <w:t xml:space="preserve"> a síť mají určité komplementární cíle týkající se zlepšení fungování trhu práce. Síť se zaměřuje na spolupráci mezi VSZ s cílem zlepšit výkonnost VSZ a přispívá k provádění politických iniciativ v oblasti zaměstnanosti, zatímco EURES se zaměřuje na společné využívání volných pracovních míst a žádostí o zaměstnání a poskytování služeb v oblasti mobility s cílem s cílem usnadnit volný pohyb pracovníků a další integraci trhů práce.</w:t>
      </w:r>
    </w:p>
    <w:p>
      <w:pPr>
        <w:pBdr>
          <w:top w:val="nil"/>
          <w:left w:val="nil"/>
          <w:bottom w:val="nil"/>
          <w:right w:val="nil"/>
          <w:between w:val="nil"/>
          <w:bar w:val="nil"/>
        </w:pBdr>
        <w:spacing w:before="0" w:after="240"/>
        <w:rPr>
          <w:rFonts w:eastAsia="Arial Unicode MS"/>
          <w:noProof/>
        </w:rPr>
      </w:pPr>
      <w:r>
        <w:rPr>
          <w:noProof/>
        </w:rPr>
        <w:t>Evropský orgán pro pracovní záležitosti (ELA), nový orgán EU na podporu členských států při prosazování pravidel v oblasti mobility pracovních sil</w:t>
      </w:r>
      <w:r>
        <w:rPr>
          <w:rStyle w:val="FootnoteReference"/>
          <w:noProof/>
        </w:rPr>
        <w:footnoteReference w:id="5"/>
      </w:r>
      <w:r>
        <w:rPr>
          <w:noProof/>
        </w:rPr>
        <w:t>, usnadní jednotlivcům a zaměstnavatelům přístup k informacím o jejich právech a povinnostech, jakož i k příslušným službám, a to prostřednictvím jednotné digitální brány.</w:t>
      </w:r>
      <w:r>
        <w:rPr>
          <w:noProof/>
          <w:color w:val="000000"/>
        </w:rPr>
        <w:t xml:space="preserve"> ELA bude působit i jako prostředník v případě přeshraničních sporů mezi vnitrostátními orgány. Síť a ELA tak mají různé cíle, které se navzájem doplňují v úsilí o zlepšení fungování evropského trhu práce.</w:t>
      </w:r>
    </w:p>
    <w:p>
      <w:pPr>
        <w:pStyle w:val="ManualHeading2"/>
        <w:rPr>
          <w:rFonts w:eastAsia="Arial Unicode MS"/>
          <w:noProof/>
        </w:rPr>
      </w:pPr>
      <w:r>
        <w:rPr>
          <w:noProof/>
          <w:color w:val="000000"/>
          <w:u w:color="000000"/>
          <w:bdr w:val="nil"/>
        </w:rPr>
        <w:t>•</w:t>
      </w:r>
      <w:r>
        <w:rPr>
          <w:noProof/>
        </w:rPr>
        <w:tab/>
        <w:t>Soulad s ostatními politikami Unie</w:t>
      </w:r>
    </w:p>
    <w:p>
      <w:pPr>
        <w:pStyle w:val="Text2"/>
        <w:ind w:left="0"/>
        <w:rPr>
          <w:noProof/>
          <w:color w:val="000000"/>
        </w:rPr>
      </w:pPr>
      <w:r>
        <w:rPr>
          <w:noProof/>
          <w:color w:val="000000"/>
        </w:rPr>
        <w:t xml:space="preserve">Strategie Evropa 2020 je program EU pro růst a zaměstnanost na toto desetiletí. Z hodnocení rozhodnutí č. 573/2014/EU všeobecně vyplynulo, že mezi rozhodnutím a politickým rámcem EU existuje vysoký stupeň soudržnosti. </w:t>
      </w:r>
      <w:r>
        <w:rPr>
          <w:noProof/>
        </w:rPr>
        <w:t>Součinnost by bylo možné zlepšit, např. prostřednictvím spolupráce s dalšími zúčastněnými stranami na trhu práce včetně jiných poskytovatelů služeb zaměstnanosti, sociálních partnerů, organizacích zastupujících nezaměstnané osoby nebo zranitelné skupiny, nevládních organizací působících v oblasti zaměstnanosti či regionálních a místních orgánů.</w:t>
      </w:r>
      <w:r>
        <w:rPr>
          <w:noProof/>
          <w:color w:val="000000"/>
        </w:rPr>
        <w:t xml:space="preserve"> Žádná ze zúčastněných stran však nezaznamenala zdvojování činnosti.</w:t>
      </w:r>
    </w:p>
    <w:p>
      <w:pPr>
        <w:pBdr>
          <w:top w:val="nil"/>
          <w:left w:val="nil"/>
          <w:bottom w:val="nil"/>
          <w:right w:val="nil"/>
          <w:between w:val="nil"/>
          <w:bar w:val="nil"/>
        </w:pBdr>
        <w:spacing w:before="0" w:after="240"/>
        <w:rPr>
          <w:rFonts w:eastAsia="Arial Unicode MS"/>
          <w:noProof/>
        </w:rPr>
      </w:pPr>
      <w:r>
        <w:rPr>
          <w:noProof/>
          <w:color w:val="000000"/>
        </w:rPr>
        <w:t>EU hraje důležitou úlohu při utváření a provádění Agendy OSN pro udržitelný rozvoj a jejích cílů udržitelného rozvoje (Sustainable Development Goals, dále též „SDG“)</w:t>
      </w:r>
      <w:r>
        <w:rPr>
          <w:rStyle w:val="FootnoteReference"/>
          <w:noProof/>
        </w:rPr>
        <w:footnoteReference w:id="6"/>
      </w:r>
      <w:r>
        <w:rPr>
          <w:noProof/>
          <w:color w:val="000000"/>
        </w:rPr>
        <w:t>. Síť přispívá k podpoře udržitelného a inkluzivního hospodářského růstu, plné a produktivní zaměstnanosti a důstojné práce pro všechny (cíl udržitelného rozvoje č. 8)</w:t>
      </w:r>
      <w:r>
        <w:rPr>
          <w:rStyle w:val="FootnoteReference"/>
          <w:noProof/>
        </w:rPr>
        <w:footnoteReference w:id="7"/>
      </w:r>
      <w:r>
        <w:rPr>
          <w:noProof/>
          <w:color w:val="000000"/>
        </w:rPr>
        <w:t>.</w:t>
      </w:r>
    </w:p>
    <w:p>
      <w:pPr>
        <w:pStyle w:val="ManualHeading1"/>
        <w:rPr>
          <w:noProof/>
        </w:rPr>
      </w:pPr>
      <w:r>
        <w:rPr>
          <w:noProof/>
        </w:rPr>
        <w:t>2.</w:t>
      </w:r>
      <w:r>
        <w:rPr>
          <w:noProof/>
        </w:rPr>
        <w:tab/>
        <w:t>PRÁVNÍ ZÁKLAD, SUBSIDIARITA A PROPORCIONALITA</w:t>
      </w:r>
    </w:p>
    <w:p>
      <w:pPr>
        <w:pStyle w:val="ManualHeading2"/>
        <w:rPr>
          <w:rFonts w:eastAsia="Arial Unicode MS"/>
          <w:noProof/>
        </w:rPr>
      </w:pPr>
      <w:r>
        <w:rPr>
          <w:noProof/>
        </w:rPr>
        <w:t>•</w:t>
      </w:r>
      <w:r>
        <w:rPr>
          <w:noProof/>
        </w:rPr>
        <w:tab/>
        <w:t>Právní základ</w:t>
      </w:r>
    </w:p>
    <w:p>
      <w:pPr>
        <w:pStyle w:val="Text2"/>
        <w:ind w:left="0"/>
        <w:rPr>
          <w:noProof/>
          <w:color w:val="000000"/>
        </w:rPr>
      </w:pPr>
      <w:r>
        <w:rPr>
          <w:noProof/>
          <w:color w:val="000000"/>
        </w:rPr>
        <w:t>Právní základ návrhu zůstává stejný jako v případě rozhodnutí č. 573/2014/EU.</w:t>
      </w:r>
    </w:p>
    <w:p>
      <w:pPr>
        <w:pStyle w:val="Text2"/>
        <w:ind w:left="0"/>
        <w:rPr>
          <w:noProof/>
          <w:color w:val="000000"/>
        </w:rPr>
      </w:pPr>
      <w:r>
        <w:rPr>
          <w:noProof/>
          <w:color w:val="000000"/>
        </w:rPr>
        <w:t>Právo jednat vyplývá z článku 149 SFEU, který stanoví, že „Evropský parlament a Rada mohou [….] přijmout stimulační opatření ke spolupráci mezi členskými státy a k podpoře jejich činnosti v oblasti zaměstnanosti prostřednictvím podnětů, které mají za cíl rozvíjet výměnu informací a osvědčených zkušeností, poskytovat srovnávací analýzy a poradenství, jakož i podporovat inovační přístupy a vyhodnocovat zkušenosti, zejména využitím pilotních projektů.“</w:t>
      </w:r>
    </w:p>
    <w:p>
      <w:pPr>
        <w:pStyle w:val="Text2"/>
        <w:ind w:left="0"/>
        <w:rPr>
          <w:rFonts w:eastAsia="Arial Unicode MS"/>
          <w:noProof/>
        </w:rPr>
      </w:pPr>
    </w:p>
    <w:p>
      <w:pPr>
        <w:pStyle w:val="ManualHeading2"/>
        <w:rPr>
          <w:rFonts w:eastAsia="Arial Unicode MS"/>
          <w:noProof/>
        </w:rPr>
      </w:pPr>
      <w:r>
        <w:rPr>
          <w:noProof/>
        </w:rPr>
        <w:t>•</w:t>
      </w:r>
      <w:r>
        <w:rPr>
          <w:noProof/>
        </w:rPr>
        <w:tab/>
        <w:t xml:space="preserve">Subsidiarita (v případě nevýlučné pravomoci) </w:t>
      </w:r>
    </w:p>
    <w:p>
      <w:pPr>
        <w:pStyle w:val="Text2"/>
        <w:ind w:left="0"/>
        <w:rPr>
          <w:noProof/>
          <w:color w:val="000000"/>
        </w:rPr>
      </w:pPr>
      <w:r>
        <w:rPr>
          <w:noProof/>
          <w:color w:val="000000"/>
        </w:rPr>
        <w:t>Návrh je v souladu se zásadou subsidiarity, neboť usiluje o poskytnutí podpory členským státům při modernizaci jejich VSZ s cílem dosáhnout celkových evropských cílů v oblasti zaměstnanosti.</w:t>
      </w:r>
    </w:p>
    <w:p>
      <w:pPr>
        <w:pBdr>
          <w:top w:val="nil"/>
          <w:left w:val="nil"/>
          <w:bottom w:val="nil"/>
          <w:right w:val="nil"/>
          <w:between w:val="nil"/>
          <w:bar w:val="nil"/>
        </w:pBdr>
        <w:spacing w:before="0" w:after="240"/>
        <w:rPr>
          <w:rFonts w:eastAsia="Arial Unicode MS"/>
          <w:noProof/>
        </w:rPr>
      </w:pPr>
      <w:r>
        <w:rPr>
          <w:noProof/>
          <w:color w:val="000000"/>
        </w:rPr>
        <w:t>V této fázi nejsou k dispozici informace o tom, jak by se spolupráce mezi VSZ mohla organizovat v případě neprodloužení platnosti rozhodnutí 573/2014/EU. Ačkoli je pravděpodobné, že určitá spolupráce bude pokračovat i bez sítě, zúčastněné strany považují za zásadní formální úlohu podporovanou rozhodnutím, jakož i technickou a finanční podporu, kterou Komise poskytuje. Proto je pravděpodobné, že by spolupráce mezi VSZ byla méně účinná a systematická, pokud by se platnost rozhodnutí neprodloužila.</w:t>
      </w:r>
    </w:p>
    <w:p>
      <w:pPr>
        <w:pStyle w:val="ManualHeading2"/>
        <w:rPr>
          <w:rFonts w:eastAsia="Arial Unicode MS"/>
          <w:noProof/>
        </w:rPr>
      </w:pPr>
      <w:r>
        <w:rPr>
          <w:noProof/>
        </w:rPr>
        <w:t>•</w:t>
      </w:r>
      <w:r>
        <w:rPr>
          <w:noProof/>
        </w:rPr>
        <w:tab/>
        <w:t>Proporcionalita</w:t>
      </w:r>
    </w:p>
    <w:p>
      <w:pPr>
        <w:pStyle w:val="Text2"/>
        <w:ind w:left="0"/>
        <w:rPr>
          <w:noProof/>
          <w:color w:val="000000"/>
        </w:rPr>
      </w:pPr>
      <w:r>
        <w:rPr>
          <w:noProof/>
          <w:color w:val="000000"/>
        </w:rPr>
        <w:t xml:space="preserve">Návrh je v souladu se zásadou proporcionality, neboť má pro VSZ formu motivačního opatření a jeho trvání je časově omezené do roku 2027. </w:t>
      </w:r>
    </w:p>
    <w:p>
      <w:pPr>
        <w:pBdr>
          <w:top w:val="nil"/>
          <w:left w:val="nil"/>
          <w:bottom w:val="nil"/>
          <w:right w:val="nil"/>
          <w:between w:val="nil"/>
          <w:bar w:val="nil"/>
        </w:pBdr>
        <w:spacing w:before="0" w:after="240"/>
        <w:rPr>
          <w:noProof/>
          <w:color w:val="000000"/>
        </w:rPr>
      </w:pPr>
      <w:r>
        <w:rPr>
          <w:noProof/>
          <w:color w:val="000000"/>
        </w:rPr>
        <w:t xml:space="preserve">Některé členské státy jsou sice nadále odpovědné za organizaci, personální zajištění a provoz svých VSZ, tento návrh ale prodlužuje období zřízení sítě, čímž poskytuje platformu pro srovnání jejich výsledků na evropské úrovni, určení osvědčených postupů a podporu vzájemného učení s cílem posílit kapacitu a efektivnost služeb. Ze zkušenosti vyplývá, že VSZ se dostatečně aktivně nezapojují do procesu vzájemného učení a srovnávacích analýz, a brání tak možnosti včasného zjištění nízké výkonnosti VSZ na vnitrostátní úrovni a potenciálních strukturálních problémů na trhu práce, které z toho vyplývají. </w:t>
      </w:r>
    </w:p>
    <w:p>
      <w:pPr>
        <w:pStyle w:val="ManualHeading2"/>
        <w:rPr>
          <w:rFonts w:eastAsia="Arial Unicode MS"/>
          <w:noProof/>
        </w:rPr>
      </w:pPr>
      <w:r>
        <w:rPr>
          <w:noProof/>
        </w:rPr>
        <w:t>•</w:t>
      </w:r>
      <w:r>
        <w:rPr>
          <w:noProof/>
        </w:rPr>
        <w:tab/>
        <w:t>Volba nástroje</w:t>
      </w:r>
    </w:p>
    <w:p>
      <w:pPr>
        <w:pBdr>
          <w:top w:val="nil"/>
          <w:left w:val="nil"/>
          <w:bottom w:val="nil"/>
          <w:right w:val="nil"/>
          <w:between w:val="nil"/>
          <w:bar w:val="nil"/>
        </w:pBdr>
        <w:spacing w:before="0" w:after="240"/>
        <w:rPr>
          <w:rFonts w:eastAsia="Arial Unicode MS"/>
          <w:noProof/>
        </w:rPr>
      </w:pPr>
      <w:r>
        <w:rPr>
          <w:noProof/>
          <w:color w:val="000000"/>
        </w:rPr>
        <w:t xml:space="preserve">Zvoleným nástrojem je rozhodnutí podle původního změněného nástroje. </w:t>
      </w:r>
      <w:r>
        <w:rPr>
          <w:noProof/>
          <w:color w:val="000000"/>
        </w:rPr>
        <w:br/>
        <w:t>Rozhodnutí č. 573/2014/EU o posílení spolupráce mezi veřejnými službami zaměstnanosti (VSZ) je stimulačním opatřením ve smyslu článku 149. Vzhledem k povaze tohoto stimulačního opatření je volba rozhodnutí jakožto právního nástroje i nadále nejvhodnější.</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rFonts w:eastAsia="Arial Unicode MS"/>
          <w:noProof/>
        </w:rPr>
      </w:pPr>
      <w:r>
        <w:rPr>
          <w:noProof/>
        </w:rPr>
        <w:t>•</w:t>
      </w:r>
      <w:r>
        <w:rPr>
          <w:noProof/>
        </w:rPr>
        <w:tab/>
        <w:t xml:space="preserve">Hodnocení </w:t>
      </w:r>
      <w:r>
        <w:rPr>
          <w:i/>
          <w:noProof/>
        </w:rPr>
        <w:t>ex post</w:t>
      </w:r>
      <w:r>
        <w:rPr>
          <w:noProof/>
        </w:rPr>
        <w:t xml:space="preserve"> / kontroly účelnosti platných právních předpisů</w:t>
      </w:r>
    </w:p>
    <w:p>
      <w:pPr>
        <w:pStyle w:val="Text2"/>
        <w:ind w:left="0"/>
        <w:rPr>
          <w:noProof/>
          <w:color w:val="000000"/>
        </w:rPr>
      </w:pPr>
      <w:r>
        <w:rPr>
          <w:noProof/>
          <w:color w:val="000000"/>
        </w:rPr>
        <w:t>Provedlo se hodnocení</w:t>
      </w:r>
      <w:r>
        <w:rPr>
          <w:rStyle w:val="FootnoteReference"/>
          <w:noProof/>
          <w:color w:val="000000"/>
        </w:rPr>
        <w:footnoteReference w:id="8"/>
      </w:r>
      <w:r>
        <w:rPr>
          <w:noProof/>
          <w:color w:val="000000"/>
        </w:rPr>
        <w:t xml:space="preserve"> provádění rozhodnutí č. 573/2014/EU s cílem posoudit současný stav a stupeň provádění, jakož i objasnit možnou budoucí spolupráci mezi evropskými VSZ po roce 2020. Toto hodnocení se nevyžadovalo na základě rozhodnutí č. 573/2014/EU, ale bylo provedeno s cílem zajistit řádnou správu v souladu se zásadou „nejprve hodnotit“</w:t>
      </w:r>
      <w:r>
        <w:rPr>
          <w:rStyle w:val="FootnoteReference"/>
          <w:noProof/>
          <w:color w:val="000000"/>
        </w:rPr>
        <w:footnoteReference w:id="9"/>
      </w:r>
      <w:r>
        <w:rPr>
          <w:noProof/>
          <w:color w:val="000000"/>
        </w:rPr>
        <w:t>, a zohlednit tak zkušenosti minulých kroků EU. Posuzuje, zda síť splnila své právní závazky a dosáhla svých cílů. Zahrnuje pět kritérií stanovených požadavky na zlepšování právní úpravy, a to relevance, účinnost, účelnost, soudržnost a přidaná hodnota EU.</w:t>
      </w:r>
    </w:p>
    <w:p>
      <w:pPr>
        <w:pStyle w:val="Text2"/>
        <w:ind w:left="0"/>
        <w:rPr>
          <w:noProof/>
          <w:color w:val="000000"/>
        </w:rPr>
      </w:pPr>
      <w:r>
        <w:rPr>
          <w:noProof/>
          <w:color w:val="000000"/>
        </w:rPr>
        <w:t xml:space="preserve">Rozhodnutí je pro VSZ i nadále velmi </w:t>
      </w:r>
      <w:r>
        <w:rPr>
          <w:b/>
          <w:noProof/>
          <w:color w:val="000000"/>
        </w:rPr>
        <w:t>relevantní</w:t>
      </w:r>
      <w:r>
        <w:rPr>
          <w:noProof/>
          <w:color w:val="000000"/>
        </w:rPr>
        <w:t>. Cíle a iniciativy sítě uvedené v článcích 3 a 4 rozhodnutí zahrnují klíčové oblasti působnosti VSZ a poskytují pevný rámec pro politiku a konkrétní činnosti sítě. Stanovené cíle poskytují široký rámec pro činnosti sítě, což umožňuje flexibilní přístup k řešení prioritních opatření v závislosti na vývoji na trhu práce.</w:t>
      </w:r>
    </w:p>
    <w:p>
      <w:pPr>
        <w:rPr>
          <w:noProof/>
          <w:color w:val="000000"/>
        </w:rPr>
      </w:pPr>
      <w:r>
        <w:rPr>
          <w:noProof/>
          <w:color w:val="000000"/>
        </w:rPr>
        <w:t xml:space="preserve">Z hodnocení vyplývá, že síť byla při realizaci svých cílů a iniciativ </w:t>
      </w:r>
      <w:r>
        <w:rPr>
          <w:b/>
          <w:noProof/>
          <w:color w:val="000000"/>
        </w:rPr>
        <w:t>účinná</w:t>
      </w:r>
      <w:r>
        <w:rPr>
          <w:noProof/>
          <w:color w:val="000000"/>
        </w:rPr>
        <w:t>. Síť prokázala, že je účinným nástrojem na podporu vnitrostátních VSZ při řešení jednotlivých úkolů, jimž čelí, a pro posílení evropské spolupráce. Zejména iniciativa týkající se učení na základě srovnání (kombinující referenční srovnávání a vzájemné učení) slouží jako vhodný příklad sdíleného nástroje EU na podporu porovnatelnosti, učení a vyspělosti mezi VSZ. VSZ vyvodily závěry z výsledků posouzení učení na základě srovnávání, a díky tomu dosáhly jakožto organizace větší vyspělosti. Účinnost lze především připsat iniciativě učení na základě srovnávání, jakož i sdílení poznatků prostřednictvím akcí vzájemného učení, zpráv a osvědčených postupů VSZ.</w:t>
      </w:r>
    </w:p>
    <w:p>
      <w:pPr>
        <w:pStyle w:val="Text2"/>
        <w:ind w:left="0"/>
        <w:rPr>
          <w:noProof/>
          <w:color w:val="000000"/>
        </w:rPr>
      </w:pPr>
      <w:r>
        <w:rPr>
          <w:noProof/>
          <w:color w:val="000000"/>
        </w:rPr>
        <w:t xml:space="preserve">Některé činnosti sítě je obtížné kvantifikovat a čtyři roky představují krátkou lhůtu pro dosažení některých výsledků a jejich zviditelnění, například pokud jde o změny v organizační kultuře. Ochota VSZ participovat na akcích učení na základě srovnání a vzájemného učení, jakož i pozitivní zpětná vazba ze strany VSZ však ukazují, že výsledky sítě jsou vysoce </w:t>
      </w:r>
      <w:r>
        <w:rPr>
          <w:b/>
          <w:noProof/>
          <w:color w:val="000000"/>
        </w:rPr>
        <w:t>účelné</w:t>
      </w:r>
      <w:r>
        <w:rPr>
          <w:noProof/>
          <w:color w:val="000000"/>
        </w:rPr>
        <w:t xml:space="preserve"> a všichni členové je oceňují. Pokud jde o zlepšení výkonnosti, účast na síti byla všeobecně prospěšnější pro méně vyspělé VSZ, přínosem ale byla i pro vyspělé VSZ. </w:t>
      </w:r>
      <w:r>
        <w:rPr>
          <w:noProof/>
        </w:rPr>
        <w:t>Pokud jde o možnosti dalšího zlepšení účinnosti, v hodnocení se poukazuje na některé oblasti, jako např. důraz na menší a cílenější vzdělávací akce a potenciál dalšího využití digitálních řešení.</w:t>
      </w:r>
    </w:p>
    <w:p>
      <w:pPr>
        <w:pStyle w:val="Text2"/>
        <w:ind w:left="0"/>
        <w:rPr>
          <w:noProof/>
          <w:color w:val="000000"/>
        </w:rPr>
      </w:pPr>
      <w:r>
        <w:rPr>
          <w:noProof/>
          <w:color w:val="000000"/>
        </w:rPr>
        <w:t xml:space="preserve">Z hodnocení vyplývá, že mezi rozhodnutím č. 573/2014/EU a politickým rámcem EU </w:t>
      </w:r>
      <w:r>
        <w:rPr>
          <w:noProof/>
          <w:color w:val="000000"/>
        </w:rPr>
        <w:br/>
        <w:t xml:space="preserve">existuje </w:t>
      </w:r>
      <w:r>
        <w:rPr>
          <w:b/>
          <w:noProof/>
          <w:color w:val="000000"/>
        </w:rPr>
        <w:t>vysoký stupeň soudružnosti</w:t>
      </w:r>
      <w:r>
        <w:rPr>
          <w:noProof/>
          <w:color w:val="000000"/>
        </w:rPr>
        <w:t>. Přínos sítě pro politické iniciativy EU byl nejrozsáhlejší při provádění záruk pro mladé lidi a začleňování dlouhodobě nezaměstnaných na trhu práce. Síť prokázala flexibilitu při zaměřování se na nová témata, jako je integrace migrantů a uprchlíků, boj proti nezaměstnanosti a nedostatky v oblasti dovedností. Tyto výsledky rovněž jasně přispěly k lepší analýze výsledků členských států v oblasti zaměstnanosti/hospodářství v kontextu evropského semestru.</w:t>
      </w:r>
    </w:p>
    <w:p>
      <w:pPr>
        <w:pBdr>
          <w:top w:val="nil"/>
          <w:left w:val="nil"/>
          <w:bottom w:val="nil"/>
          <w:right w:val="nil"/>
          <w:between w:val="nil"/>
          <w:bar w:val="nil"/>
        </w:pBdr>
        <w:spacing w:before="0" w:after="240"/>
        <w:rPr>
          <w:noProof/>
          <w:color w:val="000000"/>
        </w:rPr>
      </w:pPr>
      <w:r>
        <w:rPr>
          <w:noProof/>
          <w:color w:val="000000"/>
        </w:rPr>
        <w:t>Kromě toho síť podporuje vnitrostátní VSZ při provádění doporučení pro jednotlivé země, které jsou určené členským státům a které se týkají aktivních politik na trhu práce a otázek VSZ v souvislosti s evropským semestrem. Jako klíčoví aktéři provádění Evropského sociálního fondu hrají VSZ aktivní roli také při vytváření komplexního politického rámce pro aktivní politiky na trhu práce ve svých členských státech, čímž přispívají k efektivnímu a účinnému vynakládání finančních prostředků EU.</w:t>
      </w:r>
    </w:p>
    <w:p>
      <w:pPr>
        <w:pStyle w:val="Text2"/>
        <w:ind w:left="0"/>
        <w:rPr>
          <w:rFonts w:eastAsia="Times New Roman"/>
          <w:noProof/>
          <w:szCs w:val="20"/>
        </w:rPr>
      </w:pPr>
      <w:r>
        <w:rPr>
          <w:b/>
          <w:noProof/>
          <w:color w:val="000000"/>
        </w:rPr>
        <w:t>Přidanou hodnotou</w:t>
      </w:r>
      <w:r>
        <w:rPr>
          <w:noProof/>
          <w:color w:val="000000"/>
        </w:rPr>
        <w:t xml:space="preserve"> sítě VSZ je strukturovaný rámec pro posuzování výsledků a kapacity VSZ a pro usnadnění srovnávání, vzájemného učení a zlepšování. </w:t>
      </w:r>
      <w:r>
        <w:rPr>
          <w:noProof/>
        </w:rPr>
        <w:t>Z hodnocení vyplývá i několik dalších výsledků rozhodnutí, jichž se nedosáhlo před zřízením sítě v roce 2014, a jichž by se nebylo bývalo dosáhlo prostřednictvím dobrovolné spolupráce vnitrostátních VSZ. K významným úspěchům patří větší odpovědnost, zajištění příležitostí pro učení a kolektivní vzájemné učení pro jednotlivé VSZ, zajištění kolektivního hlasu a oficiální platformy při tvorbě politik na úrovni EU a přínos pro cíle strategie EU 2020. Z hodnocení taktéž vyplývá, že finanční, organizační a odborná podpora ze strany EU má zásadní význam pro zajištění trvalé účasti všech VSZ.</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rPr>
      </w:pPr>
      <w:r>
        <w:rPr>
          <w:noProof/>
        </w:rPr>
        <w:t>•</w:t>
      </w:r>
      <w:r>
        <w:rPr>
          <w:noProof/>
        </w:rPr>
        <w:tab/>
        <w:t>Konzultace se zúčastněnými stranami</w:t>
      </w:r>
    </w:p>
    <w:p>
      <w:pPr>
        <w:pStyle w:val="Text2"/>
        <w:ind w:left="0"/>
        <w:rPr>
          <w:noProof/>
          <w:color w:val="000000"/>
        </w:rPr>
      </w:pPr>
      <w:r>
        <w:rPr>
          <w:noProof/>
          <w:color w:val="000000"/>
        </w:rPr>
        <w:t>V zájmu řádného zohlednění názorů zúčastněných stran v hodnocení byla široká škála těchto stran zapojena do procesu konzultace. K cílovým zúčastněným stranám patřily zástupci 32 VSZ zapojených do sítě</w:t>
      </w:r>
      <w:r>
        <w:rPr>
          <w:rStyle w:val="FootnoteReference"/>
          <w:noProof/>
        </w:rPr>
        <w:footnoteReference w:id="10"/>
      </w:r>
      <w:r>
        <w:rPr>
          <w:noProof/>
          <w:color w:val="000000"/>
        </w:rPr>
        <w:t xml:space="preserve">, příslušné organizace a orgány na úrovni EU (např. EMCO, soukromé služby zaměstnanosti a agentury práce na úrovni EU, Evropská síť pro rozvoj politiky celoživotního poradenství), příslušné mezinárodní organizace (např. MOP, OECD, Světová banka, WAPES), jakož i sekretariát VSZ, dodavatele, bývalí členové sítě VSZ nebo osoby zapojené do spolupráce v rámci VSZ před rokem 2014. </w:t>
      </w:r>
      <w:r>
        <w:rPr>
          <w:noProof/>
        </w:rPr>
        <w:t xml:space="preserve">Proběhl seminář věnovaný hodnocení s poradci pro evropské záležitosti (AFEPA). Všem zájemcům a veřejnosti byla rovněž otevřena veřejná internetová konzultace. </w:t>
      </w:r>
    </w:p>
    <w:p>
      <w:pPr>
        <w:pBdr>
          <w:top w:val="nil"/>
          <w:left w:val="nil"/>
          <w:bottom w:val="nil"/>
          <w:right w:val="nil"/>
          <w:between w:val="nil"/>
          <w:bar w:val="nil"/>
        </w:pBdr>
        <w:spacing w:before="0" w:after="240"/>
        <w:rPr>
          <w:rFonts w:eastAsia="Arial Unicode MS"/>
          <w:noProof/>
        </w:rPr>
      </w:pPr>
      <w:r>
        <w:rPr>
          <w:noProof/>
          <w:color w:val="000000"/>
        </w:rPr>
        <w:t>Zjištění jsou konzistentní napříč různými zúčastněnými stranami. Existují určité rozdíly týkající se posouzení účinnosti různých činností sítě nebo míry jejich přínosu k dosažení daného cíle. Většina zúčastněných stran například uvedla, že existuje určitá spolupráce mezi sítí a dalšími příslušnými zúčastněnými stranami na trhu práce (jak se uvádí v článku 5 rozhodnutí č. 573/2014/EU), ale že zůstává prostor pro zlepšení v budoucnosti prostřednictvím posílení vztahů s partnery na úrovni EU a na vnitrostátní úrovni. Zpětná vazba od zúčastněných stran je důležitým podkladem pro budoucí priority sítě v souladu s cíli rozhodnutí č. 573/2014/EU.</w:t>
      </w:r>
    </w:p>
    <w:p>
      <w:pPr>
        <w:pStyle w:val="ManualHeading2"/>
        <w:rPr>
          <w:rFonts w:eastAsia="Arial Unicode MS"/>
          <w:noProof/>
        </w:rPr>
      </w:pPr>
      <w:r>
        <w:rPr>
          <w:noProof/>
        </w:rPr>
        <w:t>•</w:t>
      </w:r>
      <w:r>
        <w:rPr>
          <w:noProof/>
        </w:rPr>
        <w:tab/>
        <w:t>Sběr a využití výsledků odborných konzultací</w:t>
      </w:r>
    </w:p>
    <w:p>
      <w:pPr>
        <w:pBdr>
          <w:top w:val="nil"/>
          <w:left w:val="nil"/>
          <w:bottom w:val="nil"/>
          <w:right w:val="nil"/>
          <w:between w:val="nil"/>
          <w:bar w:val="nil"/>
        </w:pBdr>
        <w:spacing w:before="0" w:after="240"/>
        <w:rPr>
          <w:rFonts w:eastAsia="Arial Unicode MS"/>
          <w:noProof/>
        </w:rPr>
      </w:pPr>
      <w:r>
        <w:rPr>
          <w:noProof/>
          <w:color w:val="000000"/>
        </w:rPr>
        <w:t>V zájmu podpory shromažďování důkazů, názorů a stanovisek zúčastněných stran, jakož i analytické části hodnocení, byla zadána externí studie dodavateli</w:t>
      </w:r>
      <w:r>
        <w:rPr>
          <w:rStyle w:val="FootnoteReference"/>
          <w:noProof/>
        </w:rPr>
        <w:footnoteReference w:id="11"/>
      </w:r>
      <w:r>
        <w:rPr>
          <w:noProof/>
          <w:color w:val="000000"/>
        </w:rPr>
        <w:t>.</w:t>
      </w:r>
    </w:p>
    <w:p>
      <w:pPr>
        <w:pStyle w:val="ManualHeading2"/>
        <w:rPr>
          <w:rFonts w:eastAsia="Arial Unicode MS"/>
          <w:noProof/>
        </w:rPr>
      </w:pPr>
      <w:r>
        <w:rPr>
          <w:noProof/>
        </w:rPr>
        <w:t>•</w:t>
      </w:r>
      <w:r>
        <w:rPr>
          <w:noProof/>
        </w:rPr>
        <w:tab/>
        <w:t>Posouzení dopadů</w:t>
      </w:r>
    </w:p>
    <w:p>
      <w:pPr>
        <w:pBdr>
          <w:top w:val="nil"/>
          <w:left w:val="nil"/>
          <w:bottom w:val="nil"/>
          <w:right w:val="nil"/>
          <w:between w:val="nil"/>
          <w:bar w:val="nil"/>
        </w:pBdr>
        <w:spacing w:before="0" w:after="240"/>
        <w:rPr>
          <w:noProof/>
          <w:color w:val="000000"/>
        </w:rPr>
      </w:pPr>
      <w:r>
        <w:rPr>
          <w:noProof/>
          <w:color w:val="000000"/>
        </w:rPr>
        <w:t xml:space="preserve">Prodloužení platnosti rozhodnutí č. 573/2014/EU znamená pokračování existujícího rámce a iniciativ. Tento návrh se omezuje na prodloužení doby zřízení sítě v článku 1 a na některé technické aktualizace. K návrhu je připojeno výše uvedené hodnocení. Tento návrh rutinní povahy by měl být považován za nevýznamnou iniciativu v rámci pravidel pro zlepšování právní úpravy. </w:t>
      </w:r>
    </w:p>
    <w:p>
      <w:pPr>
        <w:pBdr>
          <w:top w:val="nil"/>
          <w:left w:val="nil"/>
          <w:bottom w:val="nil"/>
          <w:right w:val="nil"/>
          <w:between w:val="nil"/>
          <w:bar w:val="nil"/>
        </w:pBdr>
        <w:spacing w:before="0"/>
        <w:rPr>
          <w:noProof/>
          <w:color w:val="000000"/>
        </w:rPr>
      </w:pPr>
      <w:r>
        <w:rPr>
          <w:noProof/>
          <w:color w:val="000000"/>
        </w:rPr>
        <w:t>Neprovádělo se žádné zvláštní posouzení dopadů, neboť:</w:t>
      </w:r>
    </w:p>
    <w:p>
      <w:pPr>
        <w:pStyle w:val="Tiret0"/>
        <w:numPr>
          <w:ilvl w:val="0"/>
          <w:numId w:val="10"/>
        </w:numPr>
        <w:rPr>
          <w:noProof/>
        </w:rPr>
      </w:pPr>
      <w:r>
        <w:rPr>
          <w:noProof/>
        </w:rPr>
        <w:t xml:space="preserve">z hodnocení vyplývá, že rozhodnutí o VSZ funguje dobře, a tudíž se nenavrhují žádné podstatné změny stávající politiky; </w:t>
      </w:r>
    </w:p>
    <w:p>
      <w:pPr>
        <w:pStyle w:val="Tiret0"/>
        <w:rPr>
          <w:noProof/>
        </w:rPr>
      </w:pPr>
      <w:r>
        <w:rPr>
          <w:noProof/>
        </w:rPr>
        <w:t xml:space="preserve">zjištění v rámci hodnocení hovoří ve prospěch prodloužení platnosti rozhodnutí o VSZ; </w:t>
      </w:r>
    </w:p>
    <w:p>
      <w:pPr>
        <w:pStyle w:val="Tiret0"/>
        <w:rPr>
          <w:noProof/>
        </w:rPr>
      </w:pPr>
      <w:r>
        <w:rPr>
          <w:noProof/>
        </w:rPr>
        <w:t>hodnocení (ve spojení s výzvou ze strany vnitrostátních VSZ a rady sítě) již poskytuje dostatečné důkazy o tom, že neprodloužení by mělo negativní dopady;</w:t>
      </w:r>
    </w:p>
    <w:p>
      <w:pPr>
        <w:pStyle w:val="Tiret0"/>
        <w:rPr>
          <w:rFonts w:eastAsia="Arial Unicode MS"/>
          <w:noProof/>
        </w:rPr>
      </w:pPr>
      <w:r>
        <w:rPr>
          <w:noProof/>
        </w:rPr>
        <w:t>navrhovaná iniciativa logicky navazuje na zjištění v rámci hodnocení a je s nimi v souladu.</w:t>
      </w:r>
    </w:p>
    <w:p>
      <w:pPr>
        <w:pStyle w:val="ManualHeading2"/>
        <w:rPr>
          <w:rFonts w:eastAsia="Arial Unicode MS"/>
          <w:noProof/>
        </w:rPr>
      </w:pPr>
      <w:r>
        <w:rPr>
          <w:noProof/>
        </w:rPr>
        <w:t>•</w:t>
      </w:r>
      <w:r>
        <w:rPr>
          <w:noProof/>
        </w:rPr>
        <w:tab/>
        <w:t>Základní práva</w:t>
      </w:r>
    </w:p>
    <w:p>
      <w:pPr>
        <w:pBdr>
          <w:top w:val="nil"/>
          <w:left w:val="nil"/>
          <w:bottom w:val="nil"/>
          <w:right w:val="nil"/>
          <w:between w:val="nil"/>
          <w:bar w:val="nil"/>
        </w:pBdr>
        <w:spacing w:before="0" w:after="240"/>
        <w:rPr>
          <w:rFonts w:eastAsia="Arial Unicode MS"/>
          <w:noProof/>
        </w:rPr>
      </w:pPr>
      <w:r>
        <w:rPr>
          <w:noProof/>
          <w:color w:val="000000"/>
        </w:rPr>
        <w:t>Rozhodnutí č. 573/2014/EU respektuje základní práva a dodržuje zásady uznávané Listinou základních práv Evropské unie. Cílem tohoto rozhodnutí je především zajistit plné dodržování práv na přístup k bezplatným službám zaměstnanosti a podpořit uplatňování článku 29 Listiny. Tento návrh s sebou nenese žádné změny.</w:t>
      </w:r>
    </w:p>
    <w:p>
      <w:pPr>
        <w:pStyle w:val="ManualHeading1"/>
        <w:rPr>
          <w:rFonts w:eastAsia="Arial Unicode MS"/>
          <w:noProof/>
        </w:rPr>
      </w:pPr>
      <w:r>
        <w:rPr>
          <w:noProof/>
        </w:rPr>
        <w:t>4.</w:t>
      </w:r>
      <w:r>
        <w:rPr>
          <w:noProof/>
        </w:rPr>
        <w:tab/>
        <w:t>ROZPOČTOVÉ DŮSLEDKY</w:t>
      </w:r>
    </w:p>
    <w:p>
      <w:pPr>
        <w:pStyle w:val="Text2"/>
        <w:ind w:left="0"/>
        <w:rPr>
          <w:noProof/>
          <w:color w:val="000000"/>
        </w:rPr>
      </w:pPr>
      <w:r>
        <w:rPr>
          <w:noProof/>
          <w:color w:val="000000"/>
        </w:rPr>
        <w:t xml:space="preserve">Návrh nevyžaduje dodatečné zdroje (ani personál) z rozpočtu EU. </w:t>
      </w:r>
    </w:p>
    <w:p>
      <w:pPr>
        <w:pBdr>
          <w:top w:val="nil"/>
          <w:left w:val="nil"/>
          <w:bottom w:val="nil"/>
          <w:right w:val="nil"/>
          <w:between w:val="nil"/>
          <w:bar w:val="nil"/>
        </w:pBdr>
        <w:spacing w:before="0" w:after="240"/>
        <w:rPr>
          <w:rFonts w:eastAsia="Arial Unicode MS"/>
          <w:noProof/>
        </w:rPr>
      </w:pPr>
      <w:r>
        <w:rPr>
          <w:noProof/>
          <w:color w:val="000000"/>
        </w:rPr>
        <w:t>Finanční podpora sítě veřejných služeb zaměstnanosti v celé Unii je již stanovena v návrhu nařízení o ESF + na období 2021–2027 v rámci navrhovaného rozpočtu na složku EaSI</w:t>
      </w:r>
      <w:r>
        <w:rPr>
          <w:rStyle w:val="FootnoteReference"/>
          <w:noProof/>
        </w:rPr>
        <w:footnoteReference w:id="12"/>
      </w:r>
      <w:r>
        <w:rPr>
          <w:noProof/>
          <w:color w:val="000000"/>
        </w:rPr>
        <w:t>. Příslušné výdaje jsou prostým prodloužením podpory pro síť, která byla již poskytnuta v rámci stávajícího programového období 2014–2020.</w:t>
      </w:r>
    </w:p>
    <w:p>
      <w:pPr>
        <w:pStyle w:val="ManualHeading1"/>
        <w:rPr>
          <w:noProof/>
        </w:rPr>
      </w:pPr>
      <w:r>
        <w:rPr>
          <w:noProof/>
        </w:rPr>
        <w:t>5.</w:t>
      </w:r>
      <w:r>
        <w:rPr>
          <w:noProof/>
        </w:rPr>
        <w:tab/>
        <w:t>OSTATNÍ PRVKY</w:t>
      </w:r>
    </w:p>
    <w:p>
      <w:pPr>
        <w:pStyle w:val="ManualHeading2"/>
        <w:rPr>
          <w:rFonts w:eastAsia="Arial Unicode MS"/>
          <w:noProof/>
        </w:rPr>
      </w:pPr>
      <w:r>
        <w:rPr>
          <w:noProof/>
        </w:rPr>
        <w:t>•</w:t>
      </w:r>
      <w:r>
        <w:rPr>
          <w:noProof/>
        </w:rPr>
        <w:tab/>
        <w:t>Plány provádění a způsoby monitorování, hodnocení a podávání zpráv</w:t>
      </w:r>
    </w:p>
    <w:p>
      <w:pPr>
        <w:pStyle w:val="Text2"/>
        <w:ind w:left="0"/>
        <w:rPr>
          <w:noProof/>
          <w:color w:val="000000"/>
        </w:rPr>
      </w:pPr>
      <w:r>
        <w:rPr>
          <w:noProof/>
          <w:color w:val="000000"/>
        </w:rPr>
        <w:t xml:space="preserve">Výroční zprávy sítě se zasílají Evropskému parlamentu a Radě a zveřejňují se. </w:t>
      </w:r>
    </w:p>
    <w:p>
      <w:pPr>
        <w:pBdr>
          <w:top w:val="nil"/>
          <w:left w:val="nil"/>
          <w:bottom w:val="nil"/>
          <w:right w:val="nil"/>
          <w:between w:val="nil"/>
          <w:bar w:val="nil"/>
        </w:pBdr>
        <w:spacing w:before="0" w:after="240"/>
        <w:rPr>
          <w:rFonts w:eastAsia="Arial Unicode MS"/>
          <w:noProof/>
        </w:rPr>
      </w:pPr>
      <w:r>
        <w:rPr>
          <w:noProof/>
          <w:color w:val="000000"/>
        </w:rPr>
        <w:t>Hodnocení uplatňování návrhu se předloží Evropskému parlamentu, Radě, Evropskému hospodářskému a sociálnímu výboru a Výboru regionů do září 2026.</w:t>
      </w:r>
    </w:p>
    <w:p>
      <w:pPr>
        <w:pBdr>
          <w:top w:val="nil"/>
          <w:left w:val="nil"/>
          <w:bottom w:val="nil"/>
          <w:right w:val="nil"/>
          <w:between w:val="nil"/>
          <w:bar w:val="nil"/>
        </w:pBdr>
        <w:spacing w:before="0" w:after="240"/>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2019/0188 (COD)</w:t>
      </w:r>
    </w:p>
    <w:p>
      <w:pPr>
        <w:pStyle w:val="Statut"/>
        <w:rPr>
          <w:noProof/>
        </w:rPr>
      </w:pPr>
      <w:r>
        <w:rPr>
          <w:noProof/>
        </w:rPr>
        <w:t>Návrh</w:t>
      </w:r>
    </w:p>
    <w:p>
      <w:pPr>
        <w:pStyle w:val="Typedudocument"/>
        <w:rPr>
          <w:noProof/>
        </w:rPr>
      </w:pPr>
      <w:r>
        <w:rPr>
          <w:noProof/>
        </w:rPr>
        <w:t>ROZHODNUTÍ EVROPSKÉHO PARLAMENTU A RADY</w:t>
      </w:r>
    </w:p>
    <w:p>
      <w:pPr>
        <w:pStyle w:val="Titreobjet"/>
        <w:rPr>
          <w:noProof/>
        </w:rPr>
      </w:pPr>
      <w:r>
        <w:rPr>
          <w:noProof/>
        </w:rPr>
        <w:t xml:space="preserve">o změně rozhodnutí č. 573/2014/EU o posílení spolupráce mezi veřejnými </w:t>
      </w:r>
      <w:r>
        <w:rPr>
          <w:noProof/>
        </w:rPr>
        <w:br/>
        <w:t>službami zaměstnanosti (VSZ)</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149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13"/>
      </w:r>
      <w:r>
        <w:rPr>
          <w:noProof/>
        </w:rPr>
        <w:t xml:space="preserve">, </w:t>
      </w:r>
    </w:p>
    <w:p>
      <w:pPr>
        <w:rPr>
          <w:noProof/>
        </w:rPr>
      </w:pPr>
      <w:r>
        <w:rPr>
          <w:noProof/>
        </w:rPr>
        <w:t>s ohledem na stanovisko Výboru regionů</w:t>
      </w:r>
      <w:r>
        <w:rPr>
          <w:rStyle w:val="FootnoteReference"/>
          <w:noProof/>
        </w:rPr>
        <w:footnoteReference w:id="14"/>
      </w:r>
      <w:r>
        <w:rPr>
          <w:noProof/>
        </w:rPr>
        <w:t>,</w:t>
      </w:r>
    </w:p>
    <w:p>
      <w:pPr>
        <w:rPr>
          <w:noProof/>
        </w:rPr>
      </w:pPr>
      <w:r>
        <w:rPr>
          <w:noProof/>
        </w:rPr>
        <w:t>v souladu s řádným legislativním postupem,</w:t>
      </w:r>
    </w:p>
    <w:p>
      <w:pPr>
        <w:rPr>
          <w:noProof/>
        </w:rPr>
      </w:pPr>
      <w:r>
        <w:rPr>
          <w:noProof/>
        </w:rPr>
        <w:t>vzhledem k těmto důvodům:</w:t>
      </w:r>
    </w:p>
    <w:p>
      <w:pPr>
        <w:pStyle w:val="ManualConsidrant"/>
        <w:rPr>
          <w:noProof/>
        </w:rPr>
      </w:pPr>
      <w:r>
        <w:t>(1)</w:t>
      </w:r>
      <w:r>
        <w:tab/>
      </w:r>
      <w:r>
        <w:rPr>
          <w:noProof/>
        </w:rPr>
        <w:t>Rozhodnutí Evropského parlamentu a Rady č. 573/2014/EU</w:t>
      </w:r>
      <w:r>
        <w:rPr>
          <w:rStyle w:val="FootnoteReference"/>
          <w:noProof/>
          <w:color w:val="000000"/>
        </w:rPr>
        <w:footnoteReference w:id="15"/>
      </w:r>
      <w:r>
        <w:rPr>
          <w:noProof/>
        </w:rPr>
        <w:t xml:space="preserve"> zřizuje evropskou síť veřejných služeb zaměstnanosti (dále jen „síť“) v období od 17. června 2014 do 31. prosince 2020.</w:t>
      </w:r>
    </w:p>
    <w:p>
      <w:pPr>
        <w:pStyle w:val="ManualConsidrant"/>
        <w:rPr>
          <w:noProof/>
        </w:rPr>
      </w:pPr>
      <w:r>
        <w:t>(2)</w:t>
      </w:r>
      <w:r>
        <w:tab/>
      </w:r>
      <w:r>
        <w:rPr>
          <w:noProof/>
        </w:rPr>
        <w:t>Síť má za cíl posílit kapacitu, efektivitu a účinnost veřejných služeb zaměstnanosti poskytnutím platformy pro porovnávání výsledků na evropské úrovni, určováním osvědčených postupů a zavedením systému vzájemného učení. Jejím záměrem je také poskytovat VSZ více možností, jak pomáhat rozvoji inovativních, fakticky založených politik v souladu s příslušnými politickými iniciativami Unie.</w:t>
      </w:r>
    </w:p>
    <w:p>
      <w:pPr>
        <w:pStyle w:val="ManualConsidrant"/>
        <w:rPr>
          <w:noProof/>
        </w:rPr>
      </w:pPr>
      <w:r>
        <w:t>(3)</w:t>
      </w:r>
      <w:r>
        <w:tab/>
      </w:r>
      <w:r>
        <w:rPr>
          <w:noProof/>
        </w:rPr>
        <w:t xml:space="preserve">Síť hraje klíčovou roli při podpoře další spolupráce mezi členskými státy v rámci oblastí spadajících do kompetence VSZ a výrazně přispívá i k modernizaci a posílení VSZ. Z hodnocení stavu provádění rozhodnutí č. </w:t>
      </w:r>
      <w:r>
        <w:rPr>
          <w:noProof/>
          <w:color w:val="000000"/>
        </w:rPr>
        <w:t>573/2014/EU</w:t>
      </w:r>
      <w:r>
        <w:rPr>
          <w:rStyle w:val="FootnoteReference"/>
          <w:noProof/>
        </w:rPr>
        <w:footnoteReference w:id="16"/>
      </w:r>
      <w:r>
        <w:rPr>
          <w:noProof/>
        </w:rPr>
        <w:t xml:space="preserve"> vyplývá, že síť měla pozitivní dopad a zjistila poznatky, přičemž se v něm uvádějí poučení z různých činností a zkušeností.</w:t>
      </w:r>
    </w:p>
    <w:p>
      <w:pPr>
        <w:pStyle w:val="ManualConsidrant"/>
        <w:rPr>
          <w:noProof/>
        </w:rPr>
      </w:pPr>
      <w:r>
        <w:t>(4)</w:t>
      </w:r>
      <w:r>
        <w:tab/>
      </w:r>
      <w:r>
        <w:rPr>
          <w:noProof/>
        </w:rPr>
        <w:t>Aby bylo možné dosažené výsledky zúročit a dále posílit spolupráci mezi VSZ, mělo by se období zavedení sítě prodloužit až do 31. prosince 2027.</w:t>
      </w:r>
    </w:p>
    <w:p>
      <w:pPr>
        <w:pStyle w:val="ManualConsidrant"/>
        <w:rPr>
          <w:noProof/>
        </w:rPr>
      </w:pPr>
      <w:r>
        <w:t>(5)</w:t>
      </w:r>
      <w:r>
        <w:tab/>
      </w:r>
      <w:r>
        <w:rPr>
          <w:noProof/>
        </w:rPr>
        <w:t>Pokračování sítě by mělo podpořit provádění evropského pilíře sociálních práv, jehož zásady zahrnují i aktivní podporu zaměstnanosti. Mělo by rovněž přispět k dosažení cíle udržitelného rozvoje č. 8 Agendy OSN pro udržitelný rozvoj 2030, a to podporou inkluzivního a udržitelného hospodářského růstu, zaměstnanosti a důstojné práce pro všechny.</w:t>
      </w:r>
    </w:p>
    <w:p>
      <w:pPr>
        <w:pStyle w:val="ManualConsidrant"/>
        <w:rPr>
          <w:noProof/>
        </w:rPr>
      </w:pPr>
      <w:r>
        <w:t>(6)</w:t>
      </w:r>
      <w:r>
        <w:tab/>
      </w:r>
      <w:r>
        <w:rPr>
          <w:noProof/>
        </w:rPr>
        <w:t>Síť by měla i nadále organizovat spolupráci a kontakty s ostatními zúčastněnými stranami na trhu práce s cílem podpořit jejich součinnost, a to zejména spolupráci s agenturami Unie v oblasti zaměstnanosti, sociální politiky, vzdělávání a odborné přípravy, aby se zajistil konzistentní politický rámec.</w:t>
      </w:r>
    </w:p>
    <w:p>
      <w:pPr>
        <w:pStyle w:val="ManualConsidrant"/>
        <w:rPr>
          <w:noProof/>
        </w:rPr>
      </w:pPr>
      <w:r>
        <w:t>(7)</w:t>
      </w:r>
      <w:r>
        <w:tab/>
      </w:r>
      <w:r>
        <w:rPr>
          <w:noProof/>
        </w:rPr>
        <w:t>Finanční podpora Unie pro síť by měla být k dispozici v souladu s víceletým finančním rámcem na období let 2021–2027.</w:t>
      </w:r>
    </w:p>
    <w:p>
      <w:pPr>
        <w:pStyle w:val="ManualConsidrant"/>
        <w:rPr>
          <w:noProof/>
        </w:rPr>
      </w:pPr>
      <w:r>
        <w:t>(8)</w:t>
      </w:r>
      <w:r>
        <w:tab/>
      </w:r>
      <w:r>
        <w:rPr>
          <w:noProof/>
        </w:rPr>
        <w:t>Rozhodnutí č. 573/2014/EU by proto mělo být odpovídajícím způsobem změněno.</w:t>
      </w:r>
    </w:p>
    <w:p>
      <w:pPr>
        <w:pStyle w:val="ManualConsidrant"/>
        <w:rPr>
          <w:noProof/>
        </w:rPr>
      </w:pPr>
      <w:r>
        <w:t>(9)</w:t>
      </w:r>
      <w:r>
        <w:tab/>
      </w:r>
      <w:r>
        <w:rPr>
          <w:noProof/>
        </w:rPr>
        <w:t>Aby se zajistilo plynulé pokračování činností sítě, mělo by se toto rozhodnutí mělo použít ode dne 1. ledna 2021,</w:t>
      </w:r>
    </w:p>
    <w:p>
      <w:pPr>
        <w:pStyle w:val="Formuledadoption"/>
        <w:rPr>
          <w:noProof/>
        </w:rPr>
      </w:pPr>
      <w:r>
        <w:rPr>
          <w:noProof/>
        </w:rPr>
        <w:t xml:space="preserve">PŘIJALY TOTO ROZHODNUTÍ: </w:t>
      </w:r>
    </w:p>
    <w:p>
      <w:pPr>
        <w:pStyle w:val="Titrearticle"/>
        <w:rPr>
          <w:noProof/>
        </w:rPr>
      </w:pPr>
      <w:r>
        <w:rPr>
          <w:noProof/>
        </w:rPr>
        <w:t>Článek 1</w:t>
      </w:r>
    </w:p>
    <w:p>
      <w:pPr>
        <w:rPr>
          <w:noProof/>
          <w:szCs w:val="24"/>
        </w:rPr>
      </w:pPr>
      <w:r>
        <w:rPr>
          <w:noProof/>
        </w:rPr>
        <w:t>Rozhodnutí č. 573/2014/EU se mění takto:</w:t>
      </w:r>
    </w:p>
    <w:p>
      <w:pPr>
        <w:pStyle w:val="Point0"/>
        <w:rPr>
          <w:noProof/>
          <w:szCs w:val="24"/>
        </w:rPr>
      </w:pPr>
      <w:r>
        <w:rPr>
          <w:noProof/>
        </w:rPr>
        <w:t>1)</w:t>
      </w:r>
      <w:r>
        <w:rPr>
          <w:noProof/>
        </w:rPr>
        <w:tab/>
        <w:t>V článku 1 se první pododstavec nahrazuje tímto:</w:t>
      </w:r>
    </w:p>
    <w:p>
      <w:pPr>
        <w:rPr>
          <w:noProof/>
          <w:szCs w:val="24"/>
        </w:rPr>
      </w:pPr>
      <w:r>
        <w:rPr>
          <w:noProof/>
        </w:rPr>
        <w:t xml:space="preserve">„Na období do31. prosince 2027 se tímto zřizuje celounijní síť veřejných služeb zaměstnanosti (VSZ) (dále jen „síť“).“ </w:t>
      </w:r>
    </w:p>
    <w:p>
      <w:pPr>
        <w:pStyle w:val="Point0"/>
        <w:rPr>
          <w:noProof/>
          <w:szCs w:val="24"/>
        </w:rPr>
      </w:pPr>
      <w:r>
        <w:rPr>
          <w:noProof/>
        </w:rPr>
        <w:t>2)</w:t>
      </w:r>
      <w:r>
        <w:rPr>
          <w:noProof/>
        </w:rPr>
        <w:tab/>
        <w:t>V článku 3 se návětí nahrazuje tímto:</w:t>
      </w:r>
    </w:p>
    <w:p>
      <w:pPr>
        <w:rPr>
          <w:noProof/>
          <w:szCs w:val="24"/>
        </w:rPr>
      </w:pPr>
      <w:r>
        <w:rPr>
          <w:noProof/>
        </w:rPr>
        <w:t>„Cílem tohoto rozhodnutí je prostřednictvím sítě podpořit spolupráci mezi členskými státy na poli zaměstnanosti, v oblastech působnosti VSZ, s cílem přispět k provádění politik Unie v oblasti zaměstnanosti. Tyto kroky přispějí rovněž k provádění evropského pilíře sociálních práv a dosahování cílů OSN v oblasti udržitelného rozvoje, a podpoří tak:“</w:t>
      </w:r>
    </w:p>
    <w:p>
      <w:pPr>
        <w:pStyle w:val="Point0"/>
        <w:rPr>
          <w:noProof/>
          <w:szCs w:val="24"/>
        </w:rPr>
      </w:pPr>
      <w:r>
        <w:rPr>
          <w:noProof/>
        </w:rPr>
        <w:t>3)</w:t>
      </w:r>
      <w:r>
        <w:rPr>
          <w:noProof/>
        </w:rPr>
        <w:tab/>
        <w:t>V čl. 4 odst. 1 se písmeno c) nahrazuje tímto:</w:t>
      </w:r>
    </w:p>
    <w:p>
      <w:pPr>
        <w:rPr>
          <w:noProof/>
          <w:szCs w:val="24"/>
        </w:rPr>
      </w:pPr>
      <w:r>
        <w:rPr>
          <w:noProof/>
        </w:rPr>
        <w:t>„c) přispívání k modernizaci a posílení VSZ v klíčových oblastech, v souladu politikami EU v oblasti zaměstnanosti, evropským pilířem sociálních práv a cíli udržitelného rozvoje;”</w:t>
      </w:r>
    </w:p>
    <w:p>
      <w:pPr>
        <w:pStyle w:val="Point0"/>
        <w:rPr>
          <w:noProof/>
        </w:rPr>
      </w:pPr>
      <w:r>
        <w:rPr>
          <w:noProof/>
        </w:rPr>
        <w:t>4)</w:t>
      </w:r>
      <w:r>
        <w:rPr>
          <w:noProof/>
        </w:rPr>
        <w:tab/>
        <w:t>Článek 5 se nahrazuje tímto:</w:t>
      </w:r>
    </w:p>
    <w:p>
      <w:pPr>
        <w:rPr>
          <w:noProof/>
          <w:szCs w:val="24"/>
        </w:rPr>
      </w:pPr>
      <w:r>
        <w:rPr>
          <w:noProof/>
        </w:rPr>
        <w:tab/>
      </w:r>
      <w:r>
        <w:rPr>
          <w:noProof/>
        </w:rPr>
        <w:tab/>
      </w:r>
      <w:r>
        <w:rPr>
          <w:noProof/>
        </w:rPr>
        <w:tab/>
      </w:r>
      <w:r>
        <w:rPr>
          <w:noProof/>
        </w:rPr>
        <w:tab/>
      </w:r>
      <w:r>
        <w:rPr>
          <w:noProof/>
        </w:rPr>
        <w:tab/>
        <w:t>„Spolupráce</w:t>
      </w:r>
    </w:p>
    <w:p>
      <w:pPr>
        <w:rPr>
          <w:noProof/>
          <w:szCs w:val="24"/>
        </w:rPr>
      </w:pPr>
      <w:r>
        <w:rPr>
          <w:noProof/>
        </w:rPr>
        <w:t>Síť rozvíjí spolupráci s příslušnými zúčastněnými stranami na trhu práce včetně dalších poskytovatelů služeb zaměstnanosti a případně s agenturami EU v oblasti zaměstnanosti, sociální politiky a vzdělávání a odborné přípravy, se sociálními partnery, organizacemi zastupujícími nezaměstnané osoby nebo zranitelné skupiny, nevládními organizacemi působícími v oblasti zaměstnanosti a regionálními a místními orgány tak, že je zapojí do příslušných činností, přizve na příslušná zasedání sítě a sdílí s nimi informace a údaje.“</w:t>
      </w:r>
    </w:p>
    <w:p>
      <w:pPr>
        <w:pStyle w:val="Point0"/>
        <w:rPr>
          <w:noProof/>
        </w:rPr>
      </w:pPr>
      <w:r>
        <w:rPr>
          <w:noProof/>
        </w:rPr>
        <w:t>5)</w:t>
      </w:r>
      <w:r>
        <w:rPr>
          <w:noProof/>
        </w:rPr>
        <w:tab/>
        <w:t>Článek 7 se nahrazuje tímto:</w:t>
      </w:r>
    </w:p>
    <w:p>
      <w:pPr>
        <w:pStyle w:val="NormalCentered"/>
        <w:rPr>
          <w:noProof/>
        </w:rPr>
      </w:pPr>
      <w:r>
        <w:rPr>
          <w:noProof/>
        </w:rPr>
        <w:t>„Finanční podpora</w:t>
      </w:r>
    </w:p>
    <w:p>
      <w:pPr>
        <w:rPr>
          <w:noProof/>
          <w:szCs w:val="24"/>
        </w:rPr>
      </w:pPr>
      <w:r>
        <w:rPr>
          <w:noProof/>
        </w:rPr>
        <w:t>Celkové finanční zdroje přidělené na provádění tohoto rozhodnutí se řádně zpřístupní v souladu s příštím víceletým finančním rámcem na období let 2021–2027, jehož roční rozpočtové prostředky schvalují Evropský parlament a Rady v mezích finančního rámce.“</w:t>
      </w:r>
    </w:p>
    <w:p>
      <w:pPr>
        <w:pStyle w:val="Point0"/>
        <w:rPr>
          <w:noProof/>
          <w:szCs w:val="24"/>
        </w:rPr>
      </w:pPr>
      <w:r>
        <w:rPr>
          <w:noProof/>
        </w:rPr>
        <w:t>6)</w:t>
      </w:r>
      <w:r>
        <w:rPr>
          <w:noProof/>
        </w:rPr>
        <w:tab/>
        <w:t>V článku 9 se odstavec 2 nahrazuje tímto:</w:t>
      </w:r>
    </w:p>
    <w:p>
      <w:pPr>
        <w:rPr>
          <w:noProof/>
        </w:rPr>
      </w:pPr>
      <w:r>
        <w:rPr>
          <w:noProof/>
        </w:rPr>
        <w:t>„Pravomoc přijímat akty v přenesené pravomoci uvedená v článku 8 je svěřena Komisi do 31. prosince 2027.“</w:t>
      </w:r>
    </w:p>
    <w:p>
      <w:pPr>
        <w:pStyle w:val="Point0"/>
        <w:rPr>
          <w:noProof/>
        </w:rPr>
      </w:pPr>
      <w:r>
        <w:rPr>
          <w:noProof/>
        </w:rPr>
        <w:t>7)</w:t>
      </w:r>
      <w:r>
        <w:rPr>
          <w:noProof/>
        </w:rPr>
        <w:tab/>
        <w:t>Článek 10 se nahrazuje tímto:</w:t>
      </w:r>
    </w:p>
    <w:p>
      <w:pPr>
        <w:pStyle w:val="NormalCentered"/>
        <w:rPr>
          <w:noProof/>
        </w:rPr>
      </w:pPr>
      <w:r>
        <w:rPr>
          <w:noProof/>
        </w:rPr>
        <w:t>„Přezkum</w:t>
      </w:r>
    </w:p>
    <w:p>
      <w:pPr>
        <w:rPr>
          <w:noProof/>
        </w:rPr>
      </w:pPr>
      <w:r>
        <w:rPr>
          <w:noProof/>
        </w:rPr>
        <w:t>Do září 2026 předloží Komise hodnocení uplatňování tohoto rozhodnutí Evropskému parlamentu, Radě, Evropskému hospodářskému a sociálnímu výboru a Výboru regionů.“</w:t>
      </w:r>
    </w:p>
    <w:p>
      <w:pPr>
        <w:pStyle w:val="Titrearticle"/>
        <w:rPr>
          <w:noProof/>
        </w:rPr>
      </w:pPr>
      <w:r>
        <w:rPr>
          <w:noProof/>
        </w:rPr>
        <w:t>Článek 2</w:t>
      </w:r>
    </w:p>
    <w:p>
      <w:pPr>
        <w:keepNext/>
        <w:keepLines/>
        <w:rPr>
          <w:i/>
          <w:noProof/>
        </w:rPr>
      </w:pPr>
      <w:r>
        <w:rPr>
          <w:noProof/>
        </w:rPr>
        <w:t xml:space="preserve">Toto nařízení vstupuje v platnost dvacátým dnem po vyhlášení v </w:t>
      </w:r>
      <w:r>
        <w:rPr>
          <w:i/>
          <w:noProof/>
        </w:rPr>
        <w:t>Úředním věstníku Evropské unie</w:t>
      </w:r>
      <w:r>
        <w:rPr>
          <w:noProof/>
        </w:rPr>
        <w:t>.</w:t>
      </w:r>
      <w:r>
        <w:rPr>
          <w:i/>
          <w:noProof/>
        </w:rPr>
        <w:t xml:space="preserve"> </w:t>
      </w:r>
    </w:p>
    <w:p>
      <w:pPr>
        <w:keepNext/>
        <w:keepLines/>
        <w:rPr>
          <w:noProof/>
        </w:rPr>
      </w:pPr>
      <w:r>
        <w:rPr>
          <w:noProof/>
        </w:rPr>
        <w:t>Použije se od 1. ledna 2021.</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předseda/předsedkyně</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r:id="rId1">
        <w:r>
          <w:rPr>
            <w:rStyle w:val="Hyperlink"/>
          </w:rPr>
          <w:t>https://ec.europa.eu/social/BlobServlet?docId=20613&amp;langId=en</w:t>
        </w:r>
      </w:hyperlink>
      <w:r>
        <w:t>, viz strana 1.</w:t>
      </w:r>
    </w:p>
  </w:footnote>
  <w:footnote w:id="2">
    <w:p>
      <w:pPr>
        <w:pStyle w:val="FootnoteText"/>
        <w:rPr>
          <w:sz w:val="18"/>
          <w:szCs w:val="18"/>
        </w:rPr>
      </w:pPr>
      <w:r>
        <w:rPr>
          <w:rStyle w:val="FootnoteReference"/>
        </w:rPr>
        <w:footnoteRef/>
      </w:r>
      <w:r>
        <w:tab/>
      </w:r>
      <w:r>
        <w:rPr>
          <w:sz w:val="18"/>
        </w:rPr>
        <w:t>Pracovní dokument útvarů Komise SWD (2019)1350.</w:t>
      </w:r>
    </w:p>
  </w:footnote>
  <w:footnote w:id="3">
    <w:p>
      <w:pPr>
        <w:pStyle w:val="FootnoteText"/>
        <w:ind w:right="-425"/>
        <w:jc w:val="left"/>
        <w:rPr>
          <w:sz w:val="18"/>
          <w:szCs w:val="18"/>
        </w:rPr>
      </w:pPr>
      <w:r>
        <w:rPr>
          <w:rStyle w:val="FootnoteReference"/>
        </w:rPr>
        <w:footnoteRef/>
      </w:r>
      <w:r>
        <w:tab/>
      </w:r>
      <w:r>
        <w:rPr>
          <w:sz w:val="18"/>
        </w:rPr>
        <w:t>https://ec.europa.eu/commission/sites/beta-political/files/social-summit-european-pillar-social-rights-booklet_cs.pdf</w:t>
      </w:r>
    </w:p>
  </w:footnote>
  <w:footnote w:id="4">
    <w:p>
      <w:pPr>
        <w:pStyle w:val="FootnoteText"/>
        <w:rPr>
          <w:sz w:val="18"/>
          <w:szCs w:val="18"/>
        </w:rPr>
      </w:pPr>
      <w:r>
        <w:rPr>
          <w:rStyle w:val="FootnoteReference"/>
        </w:rPr>
        <w:footnoteRef/>
      </w:r>
      <w:r>
        <w:tab/>
      </w:r>
      <w:hyperlink r:id="rId2">
        <w:r>
          <w:t>http://data.europa.eu/eli/reg/2016/589/oj</w:t>
        </w:r>
      </w:hyperlink>
    </w:p>
  </w:footnote>
  <w:footnote w:id="5">
    <w:p>
      <w:pPr>
        <w:pStyle w:val="FootnoteText"/>
      </w:pPr>
      <w:r>
        <w:rPr>
          <w:rStyle w:val="FootnoteReference"/>
        </w:rPr>
        <w:footnoteRef/>
      </w:r>
      <w:r>
        <w:tab/>
      </w:r>
      <w:hyperlink r:id="rId3">
        <w:r>
          <w:rPr>
            <w:rStyle w:val="Hyperlink"/>
          </w:rPr>
          <w:t>https://ela.europa.eu/</w:t>
        </w:r>
      </w:hyperlink>
    </w:p>
  </w:footnote>
  <w:footnote w:id="6">
    <w:p>
      <w:pPr>
        <w:pStyle w:val="FootnoteText"/>
        <w:rPr>
          <w:sz w:val="18"/>
          <w:szCs w:val="18"/>
        </w:rPr>
      </w:pPr>
      <w:r>
        <w:rPr>
          <w:rStyle w:val="FootnoteReference"/>
        </w:rPr>
        <w:footnoteRef/>
      </w:r>
      <w:r>
        <w:tab/>
      </w:r>
      <w:r>
        <w:rPr>
          <w:sz w:val="19"/>
        </w:rPr>
        <w:t>https://ec.europa.eu/europeaid/sites/devco/files/european-consensus-on-development-final-20170626_en.pdf</w:t>
      </w:r>
    </w:p>
  </w:footnote>
  <w:footnote w:id="7">
    <w:p>
      <w:pPr>
        <w:pStyle w:val="FootnoteText"/>
        <w:rPr>
          <w:sz w:val="18"/>
          <w:szCs w:val="18"/>
        </w:rPr>
      </w:pPr>
      <w:r>
        <w:rPr>
          <w:rStyle w:val="FootnoteReference"/>
        </w:rPr>
        <w:footnoteRef/>
      </w:r>
      <w:r>
        <w:tab/>
      </w:r>
      <w:hyperlink r:id="rId4">
        <w:r>
          <w:t>https://sustainabledevelopment.un.org/topics/sustainabledevelopmentgoals</w:t>
        </w:r>
      </w:hyperlink>
    </w:p>
  </w:footnote>
  <w:footnote w:id="8">
    <w:p>
      <w:pPr>
        <w:pStyle w:val="FootnoteText"/>
      </w:pPr>
      <w:r>
        <w:rPr>
          <w:rStyle w:val="FootnoteReference"/>
        </w:rPr>
        <w:footnoteRef/>
      </w:r>
      <w:r>
        <w:tab/>
      </w:r>
      <w:hyperlink r:id="rId5">
        <w:r>
          <w:rPr>
            <w:rStyle w:val="Hyperlink"/>
          </w:rPr>
          <w:t>https://publications.europa.eu/cs/home</w:t>
        </w:r>
      </w:hyperlink>
    </w:p>
  </w:footnote>
  <w:footnote w:id="9">
    <w:p>
      <w:pPr>
        <w:pStyle w:val="FootnoteText"/>
      </w:pPr>
      <w:r>
        <w:rPr>
          <w:rStyle w:val="FootnoteReference"/>
        </w:rPr>
        <w:footnoteRef/>
      </w:r>
      <w:r>
        <w:tab/>
      </w:r>
      <w:hyperlink r:id="rId6">
        <w:r>
          <w:rPr>
            <w:rStyle w:val="Hyperlink"/>
          </w:rPr>
          <w:t>https://ec.europa.eu/info/law/law-making-process/planning-and-proposing-law/better-regulation-why-and-how_cs</w:t>
        </w:r>
      </w:hyperlink>
    </w:p>
  </w:footnote>
  <w:footnote w:id="10">
    <w:p>
      <w:pPr>
        <w:pStyle w:val="FootnoteText"/>
        <w:ind w:left="0" w:firstLine="0"/>
        <w:rPr>
          <w:sz w:val="18"/>
          <w:szCs w:val="18"/>
        </w:rPr>
      </w:pPr>
      <w:r>
        <w:rPr>
          <w:rStyle w:val="FootnoteReference"/>
        </w:rPr>
        <w:footnoteRef/>
      </w:r>
      <w:r>
        <w:tab/>
      </w:r>
      <w:r>
        <w:rPr>
          <w:sz w:val="18"/>
        </w:rPr>
        <w:t>Síť VSZ zahrnuje VSZ z každého členského státu EU28, jakož i Islandu a Norska (celkem 30 zemí). Ale vzhledem k tomu, že v případě Belgie jsou do sítě zapojeny tři VSZ, je celkový počet zúčastněných VSZ 32.</w:t>
      </w:r>
    </w:p>
  </w:footnote>
  <w:footnote w:id="11">
    <w:p>
      <w:pPr>
        <w:pStyle w:val="FootnoteText"/>
        <w:ind w:left="0" w:firstLine="0"/>
        <w:rPr>
          <w:sz w:val="18"/>
          <w:szCs w:val="18"/>
        </w:rPr>
      </w:pPr>
      <w:r>
        <w:rPr>
          <w:rStyle w:val="FootnoteReference"/>
        </w:rPr>
        <w:footnoteRef/>
      </w:r>
      <w:r>
        <w:tab/>
      </w:r>
      <w:hyperlink r:id="rId7">
        <w:r>
          <w:rPr>
            <w:rStyle w:val="Hyperlink"/>
          </w:rPr>
          <w:t>https://publications.europa.eu/cs/home</w:t>
        </w:r>
      </w:hyperlink>
    </w:p>
  </w:footnote>
  <w:footnote w:id="12">
    <w:p>
      <w:pPr>
        <w:pStyle w:val="FootnoteText"/>
        <w:rPr>
          <w:sz w:val="18"/>
          <w:szCs w:val="18"/>
          <w:lang w:val="pt-PT"/>
        </w:rPr>
      </w:pPr>
      <w:r>
        <w:rPr>
          <w:rStyle w:val="FootnoteReference"/>
        </w:rPr>
        <w:footnoteRef/>
      </w:r>
      <w:r>
        <w:rPr>
          <w:lang w:val="pt-PT"/>
        </w:rPr>
        <w:tab/>
      </w:r>
      <w:r>
        <w:rPr>
          <w:color w:val="000000"/>
          <w:sz w:val="18"/>
          <w:lang w:val="pt-PT"/>
        </w:rPr>
        <w:t>COM(2018)382 final</w:t>
      </w:r>
    </w:p>
  </w:footnote>
  <w:footnote w:id="13">
    <w:p>
      <w:pPr>
        <w:pStyle w:val="FootnoteText"/>
        <w:rPr>
          <w:sz w:val="18"/>
          <w:szCs w:val="18"/>
          <w:lang w:val="pt-PT"/>
        </w:rPr>
      </w:pPr>
      <w:r>
        <w:rPr>
          <w:rStyle w:val="FootnoteReference"/>
        </w:rPr>
        <w:footnoteRef/>
      </w:r>
      <w:r>
        <w:rPr>
          <w:lang w:val="pt-PT"/>
        </w:rPr>
        <w:tab/>
      </w:r>
      <w:r>
        <w:rPr>
          <w:sz w:val="18"/>
          <w:lang w:val="pt-PT"/>
        </w:rPr>
        <w:t>Úř. věst. C […], […], s. […].</w:t>
      </w:r>
    </w:p>
  </w:footnote>
  <w:footnote w:id="14">
    <w:p>
      <w:pPr>
        <w:pStyle w:val="FootnoteText"/>
        <w:rPr>
          <w:lang w:val="pt-PT"/>
        </w:rPr>
      </w:pPr>
      <w:r>
        <w:rPr>
          <w:rStyle w:val="FootnoteReference"/>
        </w:rPr>
        <w:footnoteRef/>
      </w:r>
      <w:r>
        <w:rPr>
          <w:lang w:val="pt-PT"/>
        </w:rPr>
        <w:tab/>
      </w:r>
      <w:r>
        <w:rPr>
          <w:sz w:val="18"/>
          <w:lang w:val="pt-PT"/>
        </w:rPr>
        <w:t>Úř. věst. C […], […], s. […].</w:t>
      </w:r>
    </w:p>
  </w:footnote>
  <w:footnote w:id="15">
    <w:p>
      <w:pPr>
        <w:pStyle w:val="FootnoteText"/>
        <w:rPr>
          <w:lang w:val="en-IE"/>
        </w:rPr>
      </w:pPr>
      <w:r>
        <w:rPr>
          <w:rStyle w:val="FootnoteReference"/>
        </w:rPr>
        <w:footnoteRef/>
      </w:r>
      <w:r>
        <w:rPr>
          <w:lang w:val="pt-PT"/>
        </w:rPr>
        <w:tab/>
      </w:r>
      <w:hyperlink r:id="rId8">
        <w:r>
          <w:rPr>
            <w:rStyle w:val="Hyperlink"/>
            <w:sz w:val="18"/>
            <w:lang w:val="pt-PT"/>
          </w:rPr>
          <w:t>Rozhodnutí Evropského parlamentu a Rady č. 573/2014/EU ze dne 15. května 2014 o posílení spolupráce mezi veřejnými službami zaměstnanosti (VSZ) (Úř. věst. </w:t>
        </w:r>
        <w:r>
          <w:rPr>
            <w:rStyle w:val="Hyperlink"/>
            <w:sz w:val="18"/>
          </w:rPr>
          <w:t>L 159, 28.5.2014, s. 32)</w:t>
        </w:r>
      </w:hyperlink>
      <w:r>
        <w:rPr>
          <w:sz w:val="18"/>
        </w:rPr>
        <w:t>.</w:t>
      </w:r>
    </w:p>
  </w:footnote>
  <w:footnote w:id="16">
    <w:p>
      <w:pPr>
        <w:pStyle w:val="FootnoteText"/>
        <w:ind w:left="0" w:firstLine="0"/>
        <w:jc w:val="left"/>
        <w:rPr>
          <w:sz w:val="18"/>
          <w:szCs w:val="18"/>
          <w:lang w:val="en-IE"/>
        </w:rPr>
      </w:pPr>
      <w:r>
        <w:rPr>
          <w:rStyle w:val="FootnoteReference"/>
        </w:rPr>
        <w:footnoteRef/>
      </w:r>
      <w:r>
        <w:tab/>
      </w:r>
      <w:r>
        <w:rPr>
          <w:sz w:val="18"/>
        </w:rPr>
        <w:t>Pracovní dokument útvarů Komise SWD(2019)1350.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D23FE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F3225CE"/>
    <w:lvl w:ilvl="0">
      <w:start w:val="1"/>
      <w:numFmt w:val="decimal"/>
      <w:pStyle w:val="ListNumber3"/>
      <w:lvlText w:val="%1."/>
      <w:lvlJc w:val="left"/>
      <w:pPr>
        <w:tabs>
          <w:tab w:val="num" w:pos="926"/>
        </w:tabs>
        <w:ind w:left="926" w:hanging="360"/>
      </w:pPr>
    </w:lvl>
  </w:abstractNum>
  <w:abstractNum w:abstractNumId="2">
    <w:nsid w:val="FFFFFF7F"/>
    <w:multiLevelType w:val="singleLevel"/>
    <w:tmpl w:val="8F0E73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29846A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D2E2A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46CF3E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66EA806"/>
    <w:lvl w:ilvl="0">
      <w:start w:val="1"/>
      <w:numFmt w:val="decimal"/>
      <w:pStyle w:val="ListNumber"/>
      <w:lvlText w:val="%1."/>
      <w:lvlJc w:val="left"/>
      <w:pPr>
        <w:tabs>
          <w:tab w:val="num" w:pos="360"/>
        </w:tabs>
        <w:ind w:left="360" w:hanging="360"/>
      </w:pPr>
    </w:lvl>
  </w:abstractNum>
  <w:abstractNum w:abstractNumId="7">
    <w:nsid w:val="FFFFFF89"/>
    <w:multiLevelType w:val="singleLevel"/>
    <w:tmpl w:val="529CB69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9-05 08:30:1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5"/>
    <w:docVar w:name="DQCStatus" w:val="Green"/>
    <w:docVar w:name="DQCVersion" w:val="3"/>
    <w:docVar w:name="DQCWithWarnings" w:val="0"/>
    <w:docVar w:name="LW_CORRIGENDUM" w:val="&lt;UNUSED&gt;"/>
    <w:docVar w:name="LW_COVERPAGE_EXISTS" w:val="True"/>
    <w:docVar w:name="LW_COVERPAGE_GUID" w:val="5095C7DB-F608-43F4-ABA1-D2F8D7355747"/>
    <w:docVar w:name="LW_COVERPAGE_TYPE" w:val="1"/>
    <w:docVar w:name="LW_CROSSREFERENCE" w:val="{SWD(2019) 319 final} - {SWD(2019) 1350 final}"/>
    <w:docVar w:name="LW_DocType" w:val="COM"/>
    <w:docVar w:name="LW_EMISSION" w:val="11.9.2019"/>
    <w:docVar w:name="LW_EMISSION_ISODATE" w:val="2019-09-11"/>
    <w:docVar w:name="LW_EMISSION_LOCATION" w:val="BRX"/>
    <w:docVar w:name="LW_EMISSION_PREFIX" w:val="V Bruselu dne "/>
    <w:docVar w:name="LW_EMISSION_SUFFIX" w:val=" "/>
    <w:docVar w:name="LW_ID_DOCMODEL" w:val="SJ-026"/>
    <w:docVar w:name="LW_ID_DOCSIGNATURE" w:val="SJ-026"/>
    <w:docVar w:name="LW_ID_DOCSTRUCTURE" w:val="COM/PL/ORG"/>
    <w:docVar w:name="LW_ID_DOCTYPE" w:val="SJ-026"/>
    <w:docVar w:name="LW_ID_EXP.MOTIFS.NEW" w:val="EM_PL_"/>
    <w:docVar w:name="LW_ID_STATUT" w:val="SJ-026"/>
    <w:docVar w:name="LW_INTERETEEE.CP" w:val="(Text s významem pro EHP)"/>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88"/>
    <w:docVar w:name="LW_REF.II.NEW.CP_YEAR" w:val="2019"/>
    <w:docVar w:name="LW_REF.INST.NEW" w:val="COM"/>
    <w:docVar w:name="LW_REF.INST.NEW_ADOPTED" w:val="final"/>
    <w:docVar w:name="LW_REF.INST.NEW_TEXT" w:val="(2019) 6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zm\u283?n\u283? rozhodnutí \u269?. 573/2014/EU o posílení spolupráce mezi ve\u345?ejnými _x000b_slu\u382?bami zam\u283?stnanosti (VSZ)"/>
    <w:docVar w:name="LW_TYPE.DOC.CP" w:val="ROZHODNUT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3124">
      <w:bodyDiv w:val="1"/>
      <w:marLeft w:val="0"/>
      <w:marRight w:val="0"/>
      <w:marTop w:val="0"/>
      <w:marBottom w:val="0"/>
      <w:divBdr>
        <w:top w:val="none" w:sz="0" w:space="0" w:color="auto"/>
        <w:left w:val="none" w:sz="0" w:space="0" w:color="auto"/>
        <w:bottom w:val="none" w:sz="0" w:space="0" w:color="auto"/>
        <w:right w:val="none" w:sz="0" w:space="0" w:color="auto"/>
      </w:divBdr>
    </w:div>
    <w:div w:id="42291955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14">
          <w:marLeft w:val="0"/>
          <w:marRight w:val="0"/>
          <w:marTop w:val="0"/>
          <w:marBottom w:val="0"/>
          <w:divBdr>
            <w:top w:val="none" w:sz="0" w:space="0" w:color="auto"/>
            <w:left w:val="none" w:sz="0" w:space="0" w:color="auto"/>
            <w:bottom w:val="none" w:sz="0" w:space="0" w:color="auto"/>
            <w:right w:val="none" w:sz="0" w:space="0" w:color="auto"/>
          </w:divBdr>
        </w:div>
        <w:div w:id="1184784828">
          <w:marLeft w:val="0"/>
          <w:marRight w:val="0"/>
          <w:marTop w:val="0"/>
          <w:marBottom w:val="0"/>
          <w:divBdr>
            <w:top w:val="none" w:sz="0" w:space="0" w:color="auto"/>
            <w:left w:val="none" w:sz="0" w:space="0" w:color="auto"/>
            <w:bottom w:val="none" w:sz="0" w:space="0" w:color="auto"/>
            <w:right w:val="none" w:sz="0" w:space="0" w:color="auto"/>
          </w:divBdr>
        </w:div>
        <w:div w:id="2078163730">
          <w:marLeft w:val="0"/>
          <w:marRight w:val="0"/>
          <w:marTop w:val="0"/>
          <w:marBottom w:val="0"/>
          <w:divBdr>
            <w:top w:val="none" w:sz="0" w:space="0" w:color="auto"/>
            <w:left w:val="none" w:sz="0" w:space="0" w:color="auto"/>
            <w:bottom w:val="none" w:sz="0" w:space="0" w:color="auto"/>
            <w:right w:val="none" w:sz="0" w:space="0" w:color="auto"/>
          </w:divBdr>
        </w:div>
        <w:div w:id="383796410">
          <w:marLeft w:val="0"/>
          <w:marRight w:val="0"/>
          <w:marTop w:val="0"/>
          <w:marBottom w:val="0"/>
          <w:divBdr>
            <w:top w:val="none" w:sz="0" w:space="0" w:color="auto"/>
            <w:left w:val="none" w:sz="0" w:space="0" w:color="auto"/>
            <w:bottom w:val="none" w:sz="0" w:space="0" w:color="auto"/>
            <w:right w:val="none" w:sz="0" w:space="0" w:color="auto"/>
          </w:divBdr>
        </w:div>
        <w:div w:id="1038974649">
          <w:marLeft w:val="0"/>
          <w:marRight w:val="0"/>
          <w:marTop w:val="0"/>
          <w:marBottom w:val="0"/>
          <w:divBdr>
            <w:top w:val="none" w:sz="0" w:space="0" w:color="auto"/>
            <w:left w:val="none" w:sz="0" w:space="0" w:color="auto"/>
            <w:bottom w:val="none" w:sz="0" w:space="0" w:color="auto"/>
            <w:right w:val="none" w:sz="0" w:space="0" w:color="auto"/>
          </w:divBdr>
        </w:div>
        <w:div w:id="735133314">
          <w:marLeft w:val="0"/>
          <w:marRight w:val="0"/>
          <w:marTop w:val="0"/>
          <w:marBottom w:val="0"/>
          <w:divBdr>
            <w:top w:val="none" w:sz="0" w:space="0" w:color="auto"/>
            <w:left w:val="none" w:sz="0" w:space="0" w:color="auto"/>
            <w:bottom w:val="none" w:sz="0" w:space="0" w:color="auto"/>
            <w:right w:val="none" w:sz="0" w:space="0" w:color="auto"/>
          </w:divBdr>
        </w:div>
        <w:div w:id="146678543">
          <w:marLeft w:val="0"/>
          <w:marRight w:val="0"/>
          <w:marTop w:val="0"/>
          <w:marBottom w:val="0"/>
          <w:divBdr>
            <w:top w:val="none" w:sz="0" w:space="0" w:color="auto"/>
            <w:left w:val="none" w:sz="0" w:space="0" w:color="auto"/>
            <w:bottom w:val="none" w:sz="0" w:space="0" w:color="auto"/>
            <w:right w:val="none" w:sz="0" w:space="0" w:color="auto"/>
          </w:divBdr>
        </w:div>
        <w:div w:id="413626632">
          <w:marLeft w:val="0"/>
          <w:marRight w:val="0"/>
          <w:marTop w:val="0"/>
          <w:marBottom w:val="0"/>
          <w:divBdr>
            <w:top w:val="none" w:sz="0" w:space="0" w:color="auto"/>
            <w:left w:val="none" w:sz="0" w:space="0" w:color="auto"/>
            <w:bottom w:val="none" w:sz="0" w:space="0" w:color="auto"/>
            <w:right w:val="none" w:sz="0" w:space="0" w:color="auto"/>
          </w:divBdr>
        </w:div>
        <w:div w:id="1938826987">
          <w:marLeft w:val="0"/>
          <w:marRight w:val="0"/>
          <w:marTop w:val="0"/>
          <w:marBottom w:val="0"/>
          <w:divBdr>
            <w:top w:val="none" w:sz="0" w:space="0" w:color="auto"/>
            <w:left w:val="none" w:sz="0" w:space="0" w:color="auto"/>
            <w:bottom w:val="none" w:sz="0" w:space="0" w:color="auto"/>
            <w:right w:val="none" w:sz="0" w:space="0" w:color="auto"/>
          </w:divBdr>
        </w:div>
        <w:div w:id="228268883">
          <w:marLeft w:val="0"/>
          <w:marRight w:val="0"/>
          <w:marTop w:val="0"/>
          <w:marBottom w:val="0"/>
          <w:divBdr>
            <w:top w:val="none" w:sz="0" w:space="0" w:color="auto"/>
            <w:left w:val="none" w:sz="0" w:space="0" w:color="auto"/>
            <w:bottom w:val="none" w:sz="0" w:space="0" w:color="auto"/>
            <w:right w:val="none" w:sz="0" w:space="0" w:color="auto"/>
          </w:divBdr>
        </w:div>
        <w:div w:id="1287464720">
          <w:marLeft w:val="0"/>
          <w:marRight w:val="0"/>
          <w:marTop w:val="0"/>
          <w:marBottom w:val="0"/>
          <w:divBdr>
            <w:top w:val="none" w:sz="0" w:space="0" w:color="auto"/>
            <w:left w:val="none" w:sz="0" w:space="0" w:color="auto"/>
            <w:bottom w:val="none" w:sz="0" w:space="0" w:color="auto"/>
            <w:right w:val="none" w:sz="0" w:space="0" w:color="auto"/>
          </w:divBdr>
        </w:div>
        <w:div w:id="766854337">
          <w:marLeft w:val="0"/>
          <w:marRight w:val="0"/>
          <w:marTop w:val="0"/>
          <w:marBottom w:val="0"/>
          <w:divBdr>
            <w:top w:val="none" w:sz="0" w:space="0" w:color="auto"/>
            <w:left w:val="none" w:sz="0" w:space="0" w:color="auto"/>
            <w:bottom w:val="none" w:sz="0" w:space="0" w:color="auto"/>
            <w:right w:val="none" w:sz="0" w:space="0" w:color="auto"/>
          </w:divBdr>
        </w:div>
        <w:div w:id="825785313">
          <w:marLeft w:val="0"/>
          <w:marRight w:val="0"/>
          <w:marTop w:val="0"/>
          <w:marBottom w:val="0"/>
          <w:divBdr>
            <w:top w:val="none" w:sz="0" w:space="0" w:color="auto"/>
            <w:left w:val="none" w:sz="0" w:space="0" w:color="auto"/>
            <w:bottom w:val="none" w:sz="0" w:space="0" w:color="auto"/>
            <w:right w:val="none" w:sz="0" w:space="0" w:color="auto"/>
          </w:divBdr>
        </w:div>
      </w:divsChild>
    </w:div>
    <w:div w:id="19000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CS/TXT/?uri=uriserv:OJ.L_.2014.159.01.0032.01.ENG" TargetMode="External"/><Relationship Id="rId3" Type="http://schemas.openxmlformats.org/officeDocument/2006/relationships/hyperlink" Target="https://ela.europa.eu/" TargetMode="External"/><Relationship Id="rId7" Type="http://schemas.openxmlformats.org/officeDocument/2006/relationships/hyperlink" Target="https://publications.europa.eu/cs/home" TargetMode="External"/><Relationship Id="rId2" Type="http://schemas.openxmlformats.org/officeDocument/2006/relationships/hyperlink" Target="http://data.europa.eu/eli/reg/2016/589/oj" TargetMode="External"/><Relationship Id="rId1" Type="http://schemas.openxmlformats.org/officeDocument/2006/relationships/hyperlink" Target="https://ec.europa.eu/social/BlobServlet?docId=20613&amp;langId=en" TargetMode="External"/><Relationship Id="rId6" Type="http://schemas.openxmlformats.org/officeDocument/2006/relationships/hyperlink" Target="https://ec.europa.eu/info/law/law-making-process/planning-and-proposing-law/better-regulation-why-and-how_cs" TargetMode="External"/><Relationship Id="rId5" Type="http://schemas.openxmlformats.org/officeDocument/2006/relationships/hyperlink" Target="https://publications.europa.eu/cs/home" TargetMode="External"/><Relationship Id="rId4" Type="http://schemas.openxmlformats.org/officeDocument/2006/relationships/hyperlink" Target="https://sustainabledevelopment.un.org/topics/sustainabledevelopmentgo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B4E09E-1A55-4445-9DEA-BBA44955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11</Pages>
  <Words>3330</Words>
  <Characters>19920</Characters>
  <Application>Microsoft Office Word</Application>
  <DocSecurity>0</DocSecurity>
  <Lines>332</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2019-08-26T07:43:00Z</dcterms:created>
  <dcterms:modified xsi:type="dcterms:W3CDTF">2019-09-05T06:30:00Z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7.0, Build 20190717</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SJ-026</vt:lpwstr>
  </property>
  <property fmtid="{D5CDD505-2E9C-101B-9397-08002B2CF9AE}" pid="8" name="DQCStatus">
    <vt:lpwstr>Green (DQC version 03)</vt:lpwstr>
  </property>
</Properties>
</file>