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5F23241-9AA9-4995-B521-1A841DD2B139"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u w:color="000000"/>
          <w:bdr w:val="nil"/>
        </w:rPr>
        <w:t>•</w:t>
      </w:r>
      <w:r>
        <w:rPr>
          <w:noProof/>
          <w:u w:color="000000"/>
          <w:bdr w:val="nil"/>
        </w:rPr>
        <w:tab/>
      </w:r>
      <w:r>
        <w:rPr>
          <w:noProof/>
        </w:rPr>
        <w:t>Pasiūlymo pagrindimas ir tikslai</w:t>
      </w:r>
    </w:p>
    <w:p>
      <w:pPr>
        <w:pStyle w:val="NormalWeb"/>
        <w:jc w:val="both"/>
        <w:rPr>
          <w:noProof/>
          <w:color w:val="000000"/>
        </w:rPr>
      </w:pPr>
      <w:r>
        <w:rPr>
          <w:noProof/>
        </w:rPr>
        <w:t>Valstybinės užimtumo tarnybos (VUT) yra svarbiausi subjektai, vykdantys užimtumo politiką, kuria palengvinama darbo ieškančių asmenų integracija į darbo rinką. Nors VUT struktūra kiekvienoje šalyje skirtinga, jos visos padeda derinti darbo rinkos pasiūlą ir paklausą teikdamos informaciją, įdarbindamos ir aktyviai teikdamos vietos, nacionalinio ir Europos lygmens paramos paslaugas. VUT taip pat yra svarbios valstybių narių aktyvumo skatinimo politikos vykdytojos ir atlieka svarbų vaidmenį palengvindamos sėkmingą judėjimą darbo rinkoje ir integraciją joje. Nuo jų paslaugų kokybės tiesiogiai priklauso užimtumo politikos praktinis efektyvumas. Taigi, VUT yra svarbūs subjektai kovojant su nedarbu Europoje ir siekiant užtikrinti sėkmingą atitinkamų ES politikos iniciatyvų įgyvendinimą.</w:t>
      </w:r>
    </w:p>
    <w:p>
      <w:pPr>
        <w:pStyle w:val="NormalWeb"/>
        <w:jc w:val="both"/>
        <w:rPr>
          <w:noProof/>
          <w:color w:val="000000"/>
        </w:rPr>
      </w:pPr>
      <w:r>
        <w:rPr>
          <w:noProof/>
        </w:rPr>
        <w:t>Europos masto VUT bendradarbiavimas prasidėjo 1997 m., kai Komisija įsteigė neformalią patariamąją VUT vadovų grupę (Europos VUT vadovų tinklą). Grupės tikslas buvo skatinti bendradarbiavimą, dalyvaujančių organizacijų keitimąsi informacija ir tarpusavio mokymąsi, taip pat gauti grįžtamosios informacijos apie užimtumo politikos iniciatyvas.</w:t>
      </w:r>
    </w:p>
    <w:p>
      <w:pPr>
        <w:pStyle w:val="NormalWeb"/>
        <w:jc w:val="both"/>
        <w:rPr>
          <w:noProof/>
          <w:color w:val="000000"/>
        </w:rPr>
      </w:pPr>
      <w:r>
        <w:rPr>
          <w:noProof/>
        </w:rPr>
        <w:t xml:space="preserve">Tuo remdamasi Komisija 2013 m. pasiūlė įforminti šį bendradarbiavimą, kad paremtų inovacijas, lyginamąją analizę ir abipusį mokymąsi Europos lygmeniu. 2014 m. </w:t>
      </w:r>
      <w:r>
        <w:rPr>
          <w:noProof/>
        </w:rPr>
        <w:br/>
        <w:t>Europos Parlamento ir Tarybos sprendimu Nr. 573/2014/ES dėl valstybinių užimtumo tarnybų bendradarbiavimo stiprinimo buvo įsteigtas Europos valstybinių užimtumo tarnybų tinklas (toliau – Tinklas), turėjęs veikti iki 2020 m. gruodžio 31 d.</w:t>
      </w:r>
    </w:p>
    <w:p>
      <w:pPr>
        <w:pStyle w:val="NormalWeb"/>
        <w:jc w:val="both"/>
        <w:rPr>
          <w:noProof/>
          <w:color w:val="000000"/>
        </w:rPr>
      </w:pPr>
      <w:r>
        <w:rPr>
          <w:noProof/>
        </w:rPr>
        <w:t>Šio pasiūlymo tikslas – toliau didinti VUT pajėgumą, veiksmingumą ir efektyvumą sukuriant platformą, kurioje Europos lygmeniu būtų galima palyginti jų veiklos rezultatus, nustatyti gerąją patirtį ir plėtoti tarpusavio mokymosi sistemą. Tinklas taip pat siekia suteikti VUT daugiau galimybių padėti rengti novatorišką, faktiniais duomenimis grindžiamą politiką.</w:t>
      </w:r>
    </w:p>
    <w:p>
      <w:pPr>
        <w:pStyle w:val="NormalWeb"/>
        <w:jc w:val="both"/>
        <w:rPr>
          <w:noProof/>
          <w:color w:val="000000"/>
        </w:rPr>
      </w:pPr>
      <w:r>
        <w:rPr>
          <w:noProof/>
        </w:rPr>
        <w:t>Turėtų būti užtikrinama, kad Tinklas papildytų, o ne pakeistų ar kartotų veiksmus, kurių imamasi pagal Europos užimtumo strategiją, kaip apibrėžta Sutarties dėl Europos Sąjungos veikimo (SESV) IX antraštinėje dalyje, visų pirma Užimtumo komiteto (EMCO) veiksmus ir jo priemones, pavyzdžiui, Bendro vertinimo sistemą, taip pat abipusio mokymosi programą. Be to, siekdama sinergijos, Komisija turėtų toliau užtikrinti, kad Tinklo sekretoriatas glaudžiai bendradarbiautų su Užimtumo komiteto sekretoriatu.</w:t>
      </w:r>
    </w:p>
    <w:p>
      <w:pPr>
        <w:pStyle w:val="Text2"/>
        <w:ind w:left="0"/>
        <w:rPr>
          <w:noProof/>
          <w:szCs w:val="24"/>
        </w:rPr>
      </w:pPr>
      <w:r>
        <w:rPr>
          <w:noProof/>
        </w:rPr>
        <w:t>Siekiant išsiaiškinti, kaip įgyvendinamas ankstesnis Sprendimas, taip pat susijusius sunkumus ir galimybes toliau tęsti Tinklo veiklą po 2020 m. gruodžio 31 d., buvo atliktas vertinimas. Iš vertinimo matyti, kad Sprendimas įgyvendinamas sėkmingai, o lyginamojo mokymosi iniciatyva</w:t>
      </w:r>
      <w:r>
        <w:rPr>
          <w:rStyle w:val="FootnoteReference"/>
          <w:noProof/>
        </w:rPr>
        <w:footnoteReference w:id="1"/>
      </w:r>
      <w:r>
        <w:rPr>
          <w:noProof/>
        </w:rPr>
        <w:t xml:space="preserve"> yra ES bendros priemonės, kuria skatinamas ES VUT palyginamumas, mokymasis ir branda, sėkmingo įgyvendinimo pavyzdys. Vertinime taip pat pateikiama išvada, kad Tinklas veiksmingai padėjo pasiekti Sprendime nustatytus tikslus.</w:t>
      </w:r>
    </w:p>
    <w:p>
      <w:pPr>
        <w:pStyle w:val="Text2"/>
        <w:ind w:left="0"/>
        <w:rPr>
          <w:noProof/>
          <w:szCs w:val="24"/>
        </w:rPr>
      </w:pPr>
    </w:p>
    <w:p>
      <w:pPr>
        <w:pBdr>
          <w:top w:val="nil"/>
          <w:left w:val="nil"/>
          <w:bottom w:val="nil"/>
          <w:right w:val="nil"/>
          <w:between w:val="nil"/>
          <w:bar w:val="nil"/>
        </w:pBdr>
        <w:spacing w:before="0" w:after="240"/>
        <w:rPr>
          <w:rFonts w:eastAsia="Arial Unicode MS"/>
          <w:noProof/>
        </w:rPr>
      </w:pPr>
      <w:r>
        <w:rPr>
          <w:noProof/>
        </w:rPr>
        <w:t>Todėl pasiūlymo, kuriuo iš dalies keičiamas Sprendimas Nr. 573/2014/ES, tikslas – remtis teigiamais Tinklo veiklos rezultatais, kaip parodyta šio vertinimo išvadose</w:t>
      </w:r>
      <w:r>
        <w:rPr>
          <w:rStyle w:val="FootnoteReference"/>
          <w:noProof/>
        </w:rPr>
        <w:footnoteReference w:id="2"/>
      </w:r>
      <w:r>
        <w:rPr>
          <w:noProof/>
        </w:rPr>
        <w:t>, atsižvelgiant į Tinklo suinteresuotųjų subjektų poreikius ir tvirtą pritarimą tolesniam šio vertingo bendradarbiavimo įgyvendinimui po 2020 m. Todėl siekiama pratęsti Tinklo veikimo laikotarpį iki 2027 m. gruodžio 31 d.</w:t>
      </w:r>
    </w:p>
    <w:p>
      <w:pPr>
        <w:pStyle w:val="ManualHeading2"/>
        <w:rPr>
          <w:rFonts w:eastAsia="Arial Unicode MS"/>
          <w:noProof/>
        </w:rPr>
      </w:pPr>
      <w:r>
        <w:rPr>
          <w:noProof/>
          <w:u w:color="000000"/>
          <w:bdr w:val="nil"/>
        </w:rPr>
        <w:t>•</w:t>
      </w:r>
      <w:r>
        <w:rPr>
          <w:noProof/>
          <w:u w:color="000000"/>
          <w:bdr w:val="nil"/>
        </w:rPr>
        <w:tab/>
      </w:r>
      <w:r>
        <w:rPr>
          <w:noProof/>
        </w:rPr>
        <w:t>Suderinamumas su toje pačioje politikos srityje galiojančiomis nuostatomis</w:t>
      </w:r>
    </w:p>
    <w:p>
      <w:pPr>
        <w:pStyle w:val="Text2"/>
        <w:ind w:left="0"/>
        <w:rPr>
          <w:noProof/>
          <w:color w:val="000000"/>
        </w:rPr>
      </w:pPr>
      <w:r>
        <w:rPr>
          <w:noProof/>
        </w:rPr>
        <w:t>Šis Tinklas, kurio teisinis pagrindas yra SESV 149 straipsnis, įsteigtas siekiant prisidėti prie valstybių narių bendradarbiavimo ir remti jų veiksmus užimtumo srityje. Jis yra ES užimtumo politikos sistemos, sukurtos siekiant reaguoti į naujus prioritetus ir pokyčius darbo rinkoje, dalis. Pagal Sutarties 148 straipsnio 4 dalį Sprendimu 2010/707/ES Taryba priėmė valstybių narių užimtumo politikos gaires, kurios buvo atnaujintos (2018 m. liepos 16 d. Tarybos sprendimas (ES) 2018/1215) ir toliau taikomos 2019 m.</w:t>
      </w:r>
    </w:p>
    <w:p>
      <w:pPr>
        <w:pStyle w:val="Text2"/>
        <w:ind w:left="0"/>
        <w:rPr>
          <w:noProof/>
          <w:color w:val="000000"/>
        </w:rPr>
      </w:pPr>
      <w:r>
        <w:rPr>
          <w:noProof/>
        </w:rPr>
        <w:t>Užimtumo gairėse kartu su Ekonominės politikos gairėmis valstybėms narėms pateikiamos gairės dėl nacionalinių reformų programų ir reformų įgyvendinimo. 7 gairėje pabrėžiama: „valstybės narės turėtų siekti, kad valstybinės užimtumo tarnybos dirbtų veiksmingiau ir rezultatyviau, užtikrindamos, kad būtų laiku teikiama konkrečiai pritaikyta pagalba darbo ieškantiems asmenims, remdamos darbo rinkos paklausą ir įgyvendindamos veiklos rezultatais grindžiamo valdymo principus“. Integruotos gairės sudaro konkrečioms šalims skirtų rekomendacijų, kurias Taryba pateikia valstybėms narėms per Europos semestro procesą, pagrindą. Pastaraisiais metais pateikta konkrečių rekomendacijų dėl VUT veikimo ir pajėgumo bei aktyvios darbo rinkos politikos valstybėse narėse veiksmingumo. Be kita ko, minėtina prie individualių poreikių labiau pritaikytų bedarbiams skirtų paslaugų paklausa, visapusiškesnė veiklos rezultatų vertinimo sistema, tikslingesnis orientavimas ir prioritetų nustatymas, taip pat geresnis centrinės ir regionų valdžios institucijų veiklos koordinavimas.</w:t>
      </w:r>
    </w:p>
    <w:p>
      <w:pPr>
        <w:rPr>
          <w:noProof/>
          <w:color w:val="000000"/>
        </w:rPr>
      </w:pPr>
      <w:r>
        <w:rPr>
          <w:noProof/>
        </w:rPr>
        <w:t>Aktyvi užimtumo parama taip pat yra vienas iš Europos socialinių teisių ramsčio</w:t>
      </w:r>
      <w:r>
        <w:rPr>
          <w:rStyle w:val="FootnoteReference"/>
          <w:noProof/>
        </w:rPr>
        <w:footnoteReference w:id="3"/>
      </w:r>
      <w:r>
        <w:rPr>
          <w:noProof/>
        </w:rPr>
        <w:t xml:space="preserve"> prioritetų (4 principas). Dar labiau pabrėžiamas prioritetas, susijęs su tiksline parama tiems, kuriems reikia pagalbos siekiant patekti į darbo rinką, pavyzdžiui, per VUT. Kaip pavyzdį galima paminėti tai, kad daugiau dėmesio skiriama VUT vaidmeniui informuojant neaktyvius gyventojus.</w:t>
      </w:r>
    </w:p>
    <w:p>
      <w:pPr>
        <w:pStyle w:val="Text2"/>
        <w:ind w:left="0"/>
        <w:rPr>
          <w:noProof/>
          <w:color w:val="000000"/>
        </w:rPr>
      </w:pPr>
      <w:r>
        <w:rPr>
          <w:noProof/>
        </w:rPr>
        <w:t>Vienas iš Tinklo tikslų – prisidėti prie ES politikos iniciatyvų užimtumo srityje, pavyzdžiui, 2013 m. balandžio 22 d. Tarybos rekomendacijos dėl Jaunimo garantijų iniciatyvos nustatymo ir 2016 m. vasario 15 d. Tarybos rekomendacijos dėl ilgalaikių bedarbių integracijos į darbo rinką įgyvendinimo, kur VUT atlieka svarbų vaidmenį. Be to, Tinklas turėtų remti ES iniciatyvų, kuriomis siekiama užtikrinti geresnį įgūdžių pasiūlos ir paklausos derinimą, deramą ir tvarų darbą, didesnį savanorišką darbo jėgos judumą ir palengvinti perėjimą iš švietimo ir mokymo sistemos į darbo rinką, įgyvendinimą.</w:t>
      </w:r>
    </w:p>
    <w:p>
      <w:pPr>
        <w:pStyle w:val="Text2"/>
        <w:ind w:left="0"/>
        <w:rPr>
          <w:noProof/>
          <w:color w:val="000000"/>
        </w:rPr>
      </w:pPr>
      <w:r>
        <w:rPr>
          <w:noProof/>
        </w:rPr>
        <w:t>Tinklo veikla apima VUT atsakomybės sritis ir papildo kitų suinteresuotųjų subjektų iniciatyvas bei padeda užtikrinti bendras pastangas šioje politikos srityje. Tinklo vertinimas įrodo šį papildomumą bei tai, kad Tinklo iniciatyvomis nebuvo pakeistos kitos iniciatyvos.</w:t>
      </w:r>
    </w:p>
    <w:p>
      <w:pPr>
        <w:pStyle w:val="Text2"/>
        <w:ind w:left="0"/>
        <w:rPr>
          <w:noProof/>
          <w:color w:val="000000"/>
        </w:rPr>
      </w:pPr>
      <w:r>
        <w:rPr>
          <w:noProof/>
        </w:rPr>
        <w:t>Europos darbo mobilumo portalas EURES</w:t>
      </w:r>
      <w:r>
        <w:rPr>
          <w:rStyle w:val="FootnoteReference"/>
          <w:noProof/>
        </w:rPr>
        <w:footnoteReference w:id="4"/>
      </w:r>
      <w:r>
        <w:rPr>
          <w:noProof/>
        </w:rPr>
        <w:t xml:space="preserve"> ir Tinklas turi tam tikrų vienas kitą papildančių tikslų, susijusių su darbo rinkos veikimo gerinimu. Tinklo tikslas – VUT bendradarbiavimas siekiant pagerinti VUT veiklos rezultatus ir prisidėti prie politikos iniciatyvų užimtumo srityje įgyvendinimo, o EURES daugiausia dėmesio skiria laisvų darbo vietų ir darbo ieškančių asmenų sutelkimui ir judumo paslaugų teikimui, siekdamas sudaryti palankesnes sąlygas laisvam darbuotojų judėjimui ir tolesnei darbo rinkų integracijai.</w:t>
      </w:r>
    </w:p>
    <w:p>
      <w:pPr>
        <w:pBdr>
          <w:top w:val="nil"/>
          <w:left w:val="nil"/>
          <w:bottom w:val="nil"/>
          <w:right w:val="nil"/>
          <w:between w:val="nil"/>
          <w:bar w:val="nil"/>
        </w:pBdr>
        <w:spacing w:before="0" w:after="240"/>
        <w:rPr>
          <w:rFonts w:eastAsia="Arial Unicode MS"/>
          <w:noProof/>
        </w:rPr>
      </w:pPr>
      <w:r>
        <w:rPr>
          <w:noProof/>
        </w:rPr>
        <w:t>Galiausiai nauja ES įstaiga Europos darbo institucija (EDI), padedanti valstybėms narėms įgyvendinti darbo jėgos judumo taisykles</w:t>
      </w:r>
      <w:r>
        <w:rPr>
          <w:rStyle w:val="FootnoteReference"/>
          <w:noProof/>
        </w:rPr>
        <w:footnoteReference w:id="5"/>
      </w:r>
      <w:r>
        <w:rPr>
          <w:noProof/>
        </w:rPr>
        <w:t>, palengvins darbo ieškančių asmenų ir darbdavių galimybę gauti informacijos apie jų teises ir pareigas, taip pat gauti susijusias paslaugas, be kita ko, per bendruosius skaitmeninius vartus. EDI taip pat tarpininkaus tarpvalstybinių ginčų tarp nacionalinių institucijų atvejais. Todėl Tinklui ir EDI nustatyti skirtingi, bet vienas kitą papildantys tikslai, padedantys gerinti Europos darbo rinkos veikimą.</w:t>
      </w:r>
    </w:p>
    <w:p>
      <w:pPr>
        <w:pStyle w:val="ManualHeading2"/>
        <w:rPr>
          <w:rFonts w:eastAsia="Arial Unicode MS"/>
          <w:noProof/>
        </w:rPr>
      </w:pPr>
      <w:r>
        <w:rPr>
          <w:noProof/>
          <w:u w:color="000000"/>
          <w:bdr w:val="nil"/>
        </w:rPr>
        <w:t>•</w:t>
      </w:r>
      <w:r>
        <w:rPr>
          <w:noProof/>
          <w:u w:color="000000"/>
          <w:bdr w:val="nil"/>
        </w:rPr>
        <w:tab/>
      </w:r>
      <w:r>
        <w:rPr>
          <w:noProof/>
        </w:rPr>
        <w:t>Suderinamumas su kitomis Sąjungos politikos sritimis</w:t>
      </w:r>
    </w:p>
    <w:p>
      <w:pPr>
        <w:pStyle w:val="Text2"/>
        <w:ind w:left="0"/>
        <w:rPr>
          <w:noProof/>
          <w:color w:val="000000"/>
        </w:rPr>
      </w:pPr>
      <w:r>
        <w:rPr>
          <w:noProof/>
        </w:rPr>
        <w:t>Strategija „Europa 2020“ yra šio dešimtmečio ES ekonomikos augimo ir darbo vietų kūrimo darbotvarkė. Apskritai Sprendimo Nr. 573/2014/ES vertinimas parodė, kad Sprendimas ir ES politikos sistema yra labai nuoseklūs. Sinergija galėtų būti gerinama, pavyzdžiui, bendradarbiaujant su kitais suinteresuotaisiais darbo rinkos subjektais, įskaitant kitus užimtumo paslaugų teikėjus, ir, prireikus, užimtumo, socialinės politikos ir švietimo bei mokymo srityse veikiančias ES agentūras, socialinius partnerius, bedarbiams arba pažeidžiamoms grupėms atstovaujančias organizacijas, užimtumo srityje veikiančias NVO, regionų ir vietos valdžios institucijas. Tačiau nė vienas suinteresuotasis subjektas nepastebėjo veiklos dubliavimo.</w:t>
      </w:r>
    </w:p>
    <w:p>
      <w:pPr>
        <w:pBdr>
          <w:top w:val="nil"/>
          <w:left w:val="nil"/>
          <w:bottom w:val="nil"/>
          <w:right w:val="nil"/>
          <w:between w:val="nil"/>
          <w:bar w:val="nil"/>
        </w:pBdr>
        <w:spacing w:before="0" w:after="240"/>
        <w:rPr>
          <w:rFonts w:eastAsia="Arial Unicode MS"/>
          <w:noProof/>
        </w:rPr>
      </w:pPr>
      <w:r>
        <w:rPr>
          <w:noProof/>
        </w:rPr>
        <w:t>ES atlieka svarbų vaidmenį formuojant ir įgyvendinant Jungtinių Tautų Darnaus vystymosi darbotvarkę iki 2030 m. ir siekti darnaus vystymosi tikslų (DVT)</w:t>
      </w:r>
      <w:r>
        <w:rPr>
          <w:rStyle w:val="FootnoteReference"/>
          <w:noProof/>
        </w:rPr>
        <w:footnoteReference w:id="6"/>
      </w:r>
      <w:r>
        <w:rPr>
          <w:noProof/>
        </w:rPr>
        <w:t>. Tinklas padeda skatinti tvarų ir integracinį ekonomikos augimą, visišką ir našų užimtumą bei deramą darbą visiems (aštuntas DVT)</w:t>
      </w:r>
      <w:r>
        <w:rPr>
          <w:rStyle w:val="FootnoteReference"/>
          <w:noProof/>
        </w:rPr>
        <w:footnoteReference w:id="7"/>
      </w:r>
      <w:r>
        <w:rPr>
          <w:noProof/>
        </w:rPr>
        <w:t>.</w:t>
      </w:r>
    </w:p>
    <w:p>
      <w:pPr>
        <w:pStyle w:val="ManualHeading1"/>
        <w:rPr>
          <w:noProof/>
        </w:rPr>
      </w:pPr>
      <w:r>
        <w:rPr>
          <w:noProof/>
        </w:rPr>
        <w:t>2.</w:t>
      </w:r>
      <w:r>
        <w:rPr>
          <w:noProof/>
        </w:rPr>
        <w:tab/>
        <w:t>TEISINIS PAGRINDAS, SUBSIDIARUMO IR PROPORCINGUMO PRINCIPAI</w:t>
      </w:r>
    </w:p>
    <w:p>
      <w:pPr>
        <w:pStyle w:val="ManualHeading2"/>
        <w:rPr>
          <w:rFonts w:eastAsia="Arial Unicode MS"/>
          <w:noProof/>
        </w:rPr>
      </w:pPr>
      <w:r>
        <w:rPr>
          <w:noProof/>
          <w:u w:color="000000"/>
          <w:bdr w:val="nil"/>
        </w:rPr>
        <w:t>•</w:t>
      </w:r>
      <w:r>
        <w:rPr>
          <w:noProof/>
          <w:u w:color="000000"/>
          <w:bdr w:val="nil"/>
        </w:rPr>
        <w:tab/>
        <w:t>Teisinis pagrindas</w:t>
      </w:r>
    </w:p>
    <w:p>
      <w:pPr>
        <w:pStyle w:val="Text2"/>
        <w:ind w:left="0"/>
        <w:rPr>
          <w:noProof/>
          <w:color w:val="000000"/>
        </w:rPr>
      </w:pPr>
      <w:r>
        <w:rPr>
          <w:noProof/>
        </w:rPr>
        <w:t>Pasiūlymo teisinis pagrindas lieka toks pats kaip ir Sprendimo Nr. 573/2014/ES.</w:t>
      </w:r>
    </w:p>
    <w:p>
      <w:pPr>
        <w:pStyle w:val="Text2"/>
        <w:ind w:left="0"/>
        <w:rPr>
          <w:noProof/>
          <w:color w:val="000000"/>
        </w:rPr>
      </w:pPr>
      <w:r>
        <w:rPr>
          <w:noProof/>
        </w:rPr>
        <w:t>Teisė veikti grindžiama SESV 149 straipsniu, kuriame nustatyta, kad „Europos Parlamentas ir Taryba [...] gali imtis skatinamųjų priemonių valstybių narių bendradarbiavimui ir jų veiklai užimtumo srityje paremti, imdamiesi iniciatyvos plėtoti keitimąsi informacija ir geriausia praktika, teikti lyginamąją analizę ir patarimus, taip pat skatinti naujoviškus požiūrius ir patirties vertinimą, ypač pasiremdami bandomaisiais projektais [...]“.</w:t>
      </w:r>
    </w:p>
    <w:p>
      <w:pPr>
        <w:pStyle w:val="Text2"/>
        <w:ind w:left="0"/>
        <w:rPr>
          <w:rFonts w:eastAsia="Arial Unicode MS"/>
          <w:noProof/>
        </w:rPr>
      </w:pPr>
    </w:p>
    <w:p>
      <w:pPr>
        <w:pStyle w:val="ManualHeading2"/>
        <w:rPr>
          <w:rFonts w:eastAsia="Arial Unicode MS"/>
          <w:noProof/>
        </w:rPr>
      </w:pPr>
      <w:r>
        <w:rPr>
          <w:noProof/>
          <w:u w:color="000000"/>
          <w:bdr w:val="nil"/>
        </w:rPr>
        <w:t>•</w:t>
      </w:r>
      <w:r>
        <w:rPr>
          <w:noProof/>
          <w:u w:color="000000"/>
          <w:bdr w:val="nil"/>
        </w:rPr>
        <w:tab/>
        <w:t xml:space="preserve">Subsidiarumo principas (neišimtinės kompetencijos atveju) </w:t>
      </w:r>
    </w:p>
    <w:p>
      <w:pPr>
        <w:pStyle w:val="Text2"/>
        <w:ind w:left="0"/>
        <w:rPr>
          <w:noProof/>
          <w:color w:val="000000"/>
        </w:rPr>
      </w:pPr>
      <w:r>
        <w:rPr>
          <w:noProof/>
        </w:rPr>
        <w:t>Pasiūlymas atitinka subsidiarumo principą, nes juo siekiama padėti valstybėms narėms modernizuoti VUT siekiant bendrų Europos užimtumo tikslų.</w:t>
      </w:r>
    </w:p>
    <w:p>
      <w:pPr>
        <w:pBdr>
          <w:top w:val="nil"/>
          <w:left w:val="nil"/>
          <w:bottom w:val="nil"/>
          <w:right w:val="nil"/>
          <w:between w:val="nil"/>
          <w:bar w:val="nil"/>
        </w:pBdr>
        <w:spacing w:before="0" w:after="240"/>
        <w:rPr>
          <w:rFonts w:eastAsia="Arial Unicode MS"/>
          <w:noProof/>
        </w:rPr>
      </w:pPr>
      <w:r>
        <w:rPr>
          <w:noProof/>
        </w:rPr>
        <w:t>Šiuo metu neturima informacijos apie tai, kaip būtų galima organizuoti VUT bendradarbiavimą tuo atveju, jei nebūtų pratęstas Sprendimo Nr. 573/2014/ES galiojimas. Nors tikėtina, kad be Tinklo būtų iš dalies bendradarbiaujama toliau, oficialus Sprendimu nustatytas Tinklo vaidmuo, taip pat techninė ir finansinė Komisijos teikiama parama, suinteresuotųjų subjektų nuomone, yra labai svarbūs. Todėl tikėtina, kad nepratęsus Sprendimo galiojimo VUT bendradarbiavimas būtų ne toks veiksmingas ir sistemingas.</w:t>
      </w:r>
    </w:p>
    <w:p>
      <w:pPr>
        <w:pStyle w:val="ManualHeading2"/>
        <w:rPr>
          <w:rFonts w:eastAsia="Arial Unicode MS"/>
          <w:noProof/>
        </w:rPr>
      </w:pPr>
      <w:r>
        <w:rPr>
          <w:noProof/>
          <w:u w:color="000000"/>
          <w:bdr w:val="nil"/>
        </w:rPr>
        <w:t>•</w:t>
      </w:r>
      <w:r>
        <w:rPr>
          <w:noProof/>
          <w:u w:color="000000"/>
          <w:bdr w:val="nil"/>
        </w:rPr>
        <w:tab/>
        <w:t>Proporcingumo principas</w:t>
      </w:r>
    </w:p>
    <w:p>
      <w:pPr>
        <w:pStyle w:val="Text2"/>
        <w:ind w:left="0"/>
        <w:rPr>
          <w:noProof/>
          <w:color w:val="000000"/>
        </w:rPr>
      </w:pPr>
      <w:r>
        <w:rPr>
          <w:noProof/>
        </w:rPr>
        <w:t xml:space="preserve">Pasiūlymas atitinka proporcingumo principą, nes jis pateiktas kaip VUT skatinamosios priemonės pasiūlymas ir jo veikimo trukmė apribota laikotarpiu iki 2027 m. </w:t>
      </w:r>
    </w:p>
    <w:p>
      <w:pPr>
        <w:pBdr>
          <w:top w:val="nil"/>
          <w:left w:val="nil"/>
          <w:bottom w:val="nil"/>
          <w:right w:val="nil"/>
          <w:between w:val="nil"/>
          <w:bar w:val="nil"/>
        </w:pBdr>
        <w:spacing w:before="0" w:after="240"/>
        <w:rPr>
          <w:noProof/>
          <w:color w:val="000000"/>
        </w:rPr>
      </w:pPr>
      <w:r>
        <w:rPr>
          <w:noProof/>
        </w:rPr>
        <w:t xml:space="preserve">Už VUT organizavimą, personalą ir valdymą atsako pačios valstybės narės, tačiau šiuo pasiūlymu pratęsiamas Tinklo veikimo laikotarpis, sudaroma galimybė palyginti valstybių narių veiklą Europos lygmeniu, nustatyti gerąją patirtį ir skatinti tarpusavio mokymąsi, kad būtų padidintas VUT pajėgumas ir veiksmingumas. Patirtis parodė, kad VUT pačios nepakankamai dalyvauja tarpusavio mokymosi ir lyginamosios analizės veikloje, o tai trukdo anksti nustatyti prastą VUT veiklą nacionaliniu lygmeniu ir spręsti dėl to atsirandančias galimas struktūrines darbo rinkos problemas. </w:t>
      </w:r>
    </w:p>
    <w:p>
      <w:pPr>
        <w:pStyle w:val="ManualHeading2"/>
        <w:rPr>
          <w:rFonts w:eastAsia="Arial Unicode MS"/>
          <w:noProof/>
        </w:rPr>
      </w:pPr>
      <w:r>
        <w:rPr>
          <w:noProof/>
          <w:u w:color="000000"/>
          <w:bdr w:val="nil"/>
        </w:rPr>
        <w:t>•</w:t>
      </w:r>
      <w:r>
        <w:rPr>
          <w:noProof/>
          <w:u w:color="000000"/>
          <w:bdr w:val="nil"/>
        </w:rPr>
        <w:tab/>
        <w:t>Priemonės pasirinkimas</w:t>
      </w:r>
    </w:p>
    <w:p>
      <w:pPr>
        <w:pBdr>
          <w:top w:val="nil"/>
          <w:left w:val="nil"/>
          <w:bottom w:val="nil"/>
          <w:right w:val="nil"/>
          <w:between w:val="nil"/>
          <w:bar w:val="nil"/>
        </w:pBdr>
        <w:spacing w:before="0" w:after="240"/>
        <w:rPr>
          <w:rFonts w:eastAsia="Arial Unicode MS"/>
          <w:noProof/>
        </w:rPr>
      </w:pPr>
      <w:r>
        <w:rPr>
          <w:noProof/>
        </w:rPr>
        <w:t>Pasirinkta priemonė – sprendimas, grindžiamas pradine iš dalies pakeista priemone. Sprendimas Nr. 573/2014/ES dėl VUT bendradarbiavimo stiprinimo yra skatinamoji priemonė 149 straipsnyje apibrėžta prasme. Atsižvelgiant į šios skatinamosios priemonės pobūdį, tinkamiausia teisinė priemonė ir toliau yra sprendimas.</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rPr>
      </w:pPr>
      <w:r>
        <w:rPr>
          <w:noProof/>
          <w:u w:color="000000"/>
          <w:bdr w:val="nil"/>
        </w:rPr>
        <w:t>•</w:t>
      </w:r>
      <w:r>
        <w:rPr>
          <w:noProof/>
          <w:u w:color="000000"/>
          <w:bdr w:val="nil"/>
        </w:rPr>
        <w:tab/>
        <w:t xml:space="preserve">Galiojančių teisės aktų </w:t>
      </w:r>
      <w:r>
        <w:rPr>
          <w:i/>
          <w:noProof/>
          <w:u w:color="000000"/>
          <w:bdr w:val="nil"/>
        </w:rPr>
        <w:t>ex post</w:t>
      </w:r>
      <w:r>
        <w:rPr>
          <w:noProof/>
          <w:u w:color="000000"/>
          <w:bdr w:val="nil"/>
        </w:rPr>
        <w:t xml:space="preserve"> vertinimas / tinkamumo patikrinimas</w:t>
      </w:r>
    </w:p>
    <w:p>
      <w:pPr>
        <w:pStyle w:val="Text2"/>
        <w:ind w:left="0"/>
        <w:rPr>
          <w:noProof/>
          <w:color w:val="000000"/>
        </w:rPr>
      </w:pPr>
      <w:r>
        <w:rPr>
          <w:noProof/>
        </w:rPr>
        <w:t>Siekiant įvertinti esamą padėtį ir įgyvendinimo laipsnį, taip pat suteikti išsamesnės informacijos ir duomenų, reikalingų galimam būsimam Europos VUT bendradarbiavimui po 2020 m., buvo atliktas Sprendimo Nr. 573/2014/ES įgyvendinimo vertinimas</w:t>
      </w:r>
      <w:r>
        <w:rPr>
          <w:rStyle w:val="FootnoteReference"/>
          <w:noProof/>
        </w:rPr>
        <w:footnoteReference w:id="8"/>
      </w:r>
      <w:r>
        <w:rPr>
          <w:noProof/>
        </w:rPr>
        <w:t>. Sprendimu Nr. 573/2014/ES atlikti šį vertinimą nebuvo reikalaujama, tačiau jis buvo atliktas siekiant užtikrinti gerą administravimą pagal principą „pirmiausia – vertinimas“</w:t>
      </w:r>
      <w:r>
        <w:rPr>
          <w:rStyle w:val="FootnoteReference"/>
          <w:noProof/>
        </w:rPr>
        <w:footnoteReference w:id="9"/>
      </w:r>
      <w:r>
        <w:rPr>
          <w:noProof/>
        </w:rPr>
        <w:t>, norint atsižvelgti į ankstesnių ES veiksmų patirtį. Buvo vertinama, ar Tinklas vykdė savo teisinius įsipareigojimus ir ar pasiekė savo tikslus. Vertinimas apima penkis kriterijus, nustatytus pagal geresnio reglamentavimo reikalavimus, t. y. aktualumą, veiksmingumą, efektyvumą, nuoseklumą ir ES pridėtinę vertę.</w:t>
      </w:r>
    </w:p>
    <w:p>
      <w:pPr>
        <w:pStyle w:val="Text2"/>
        <w:ind w:left="0"/>
        <w:rPr>
          <w:noProof/>
          <w:color w:val="000000"/>
        </w:rPr>
      </w:pPr>
      <w:r>
        <w:rPr>
          <w:noProof/>
        </w:rPr>
        <w:t xml:space="preserve">Sprendimas VUT išlieka labai </w:t>
      </w:r>
      <w:r>
        <w:rPr>
          <w:b/>
          <w:noProof/>
        </w:rPr>
        <w:t>aktualus</w:t>
      </w:r>
      <w:r>
        <w:rPr>
          <w:noProof/>
        </w:rPr>
        <w:t>. Tinklo tikslai ir iniciatyvos, kaip nurodyta Sprendimo 3 ir 4 straipsniuose, apima pagrindines VUT atsakomybės sritis ir suteikia tvirtą Tinklo politikos ir konkrečios veiklos pagrindą. Nustačius plačią Tinklo veiklos sistemą, siekiant tikslų būtų galima lanksčiai įgyvendinti veiksmų prioritetus atsižvelgiant į darbo rinkos pokyčius.</w:t>
      </w:r>
    </w:p>
    <w:p>
      <w:pPr>
        <w:rPr>
          <w:noProof/>
          <w:color w:val="000000"/>
        </w:rPr>
      </w:pPr>
      <w:r>
        <w:rPr>
          <w:noProof/>
        </w:rPr>
        <w:t xml:space="preserve">Iš vertinimo matyti, kad Tinklas </w:t>
      </w:r>
      <w:r>
        <w:rPr>
          <w:b/>
          <w:noProof/>
        </w:rPr>
        <w:t>veiksmingai</w:t>
      </w:r>
      <w:r>
        <w:rPr>
          <w:noProof/>
        </w:rPr>
        <w:t xml:space="preserve"> įgyvendino savo tikslus ir iniciatyvas. Įrodyta, kad Tinklas yra veiksminga priemonė, padedanti remti nacionalines VUT joms sprendžiant individualias joms kylančias problemas ir skatinanti Europos bendradarbiavimą. Visų pirma, lyginamojo mokymosi iniciatyva (apimanti lyginamąją analizę ir abipusį mokymąsi) yra bendros ES priemonės, kuria skatinamas VUT palyginamumas, mokymasis ir branda, veiksmingo įgyvendinimo pavyzdys. VUT atsižvelgė į lyginamojo mokymosi vertinimo rezultatus ir dėl to tapo brandesnėmis organizacijomis. Galima daryti išvadą, kad veiksmingumą visų pirma lėmė lyginamojo mokymosi iniciatyva, taip pat keitimasis žiniomis per tarpusavio mokymosi renginius, ataskaitas ir VUT geriausią praktiką.</w:t>
      </w:r>
    </w:p>
    <w:p>
      <w:pPr>
        <w:pStyle w:val="Text2"/>
        <w:ind w:left="0"/>
        <w:rPr>
          <w:noProof/>
          <w:color w:val="000000"/>
        </w:rPr>
      </w:pPr>
      <w:r>
        <w:rPr>
          <w:noProof/>
        </w:rPr>
        <w:t xml:space="preserve">Dalį Tinklo veiklos sunku įvertinti kiekybiškai, o ketveri metai – per trumpas laikotarpis, per kurį būtų galima gauti tam tikros naudos, pavyzdžiui, įgyvendinti organizacinės kultūros pokyčius, ir tą naudą paviešinti. Tačiau VUT noras dalyvauti lyginamojo mokymosi ir abipusio mokymosi renginiuose, taip pat teigiami VUT atsiliepimai rodo, kad Tinklo veiklos rezultatai yra labai </w:t>
      </w:r>
      <w:r>
        <w:rPr>
          <w:b/>
          <w:noProof/>
        </w:rPr>
        <w:t>veiksmingi</w:t>
      </w:r>
      <w:r>
        <w:rPr>
          <w:noProof/>
        </w:rPr>
        <w:t xml:space="preserve"> ir juos teigiamai vertina visi Tinklo nariai. Apskritai, sprendžiant iš pažangos siekiant veiklos rezultatų, dalyvauti Tinklo veikloje buvo naudingiau mažiau pažangioms VUT, bet pažangą padarė ir kitos VUT. Vertinime nurodoma, kur yra potencialo toliau didinti veiksmingumą, pavyzdžiui, galima skirti daugiau dėmesio mažesniems ir tikslingesniems mokymosi renginiams ir skaitmeninių sprendimų naudojimui.</w:t>
      </w:r>
    </w:p>
    <w:p>
      <w:pPr>
        <w:pStyle w:val="Text2"/>
        <w:ind w:left="0"/>
        <w:rPr>
          <w:noProof/>
          <w:color w:val="000000"/>
        </w:rPr>
      </w:pPr>
      <w:r>
        <w:rPr>
          <w:noProof/>
        </w:rPr>
        <w:t xml:space="preserve">Iš vertinimo matyti, kad Sprendimas Nr. 573/2014/ES ir ES politikos sistema yra </w:t>
      </w:r>
      <w:r>
        <w:rPr>
          <w:b/>
          <w:noProof/>
        </w:rPr>
        <w:t>gana nuoseklūs</w:t>
      </w:r>
      <w:r>
        <w:rPr>
          <w:noProof/>
        </w:rPr>
        <w:t>. Tinklo indėlis į ES politikos iniciatyvas buvo didžiausias įgyvendinant Jaunimo garantijų iniciatyvą ir integruojant ilgalaikius bedarbius į darbo rinką. Įrodyta, kad Tinklas gali lanksčiai spręsti problemas naujose srityse, tokiose kaip migrantų ir pabėgėlių integracija, nedarbo prevencija ir įgūdžių trūkumo šalinimas. Šiais rezultatais taip pat akivaizdžiai prisidėta prie geresnės valstybių narių ekonominių ir (arba) užimtumo rodiklių analizės per Europos semestrą.</w:t>
      </w:r>
    </w:p>
    <w:p>
      <w:pPr>
        <w:pBdr>
          <w:top w:val="nil"/>
          <w:left w:val="nil"/>
          <w:bottom w:val="nil"/>
          <w:right w:val="nil"/>
          <w:between w:val="nil"/>
          <w:bar w:val="nil"/>
        </w:pBdr>
        <w:spacing w:before="0" w:after="240"/>
        <w:rPr>
          <w:noProof/>
          <w:color w:val="000000"/>
        </w:rPr>
      </w:pPr>
      <w:r>
        <w:rPr>
          <w:noProof/>
        </w:rPr>
        <w:t>Be to, Tinklas padeda nacionalinėms VUT įgyvendinti konkrečioms valstybėms narėms skirtas rekomendacijas dėl aktyvios darbo rinkos politikos ir VUT problemų sprendimo per Europos semestrą. VUT, būdamos svarbios Europos socialinio fondo įgyvendinimo dalyvės, taip pat atlieka aktyvų vaidmenį formuojant visapusišką politikos sistemą, skirtą aktyviai darbo rinkos politikai atitinkamose valstybėse narėse, ir taip prisideda prie veiksmingo ir efektyvaus ES lėšų panaudojimo.</w:t>
      </w:r>
    </w:p>
    <w:p>
      <w:pPr>
        <w:pStyle w:val="Text2"/>
        <w:ind w:left="0"/>
        <w:rPr>
          <w:rFonts w:eastAsia="Times New Roman"/>
          <w:noProof/>
          <w:szCs w:val="20"/>
        </w:rPr>
      </w:pPr>
      <w:r>
        <w:rPr>
          <w:noProof/>
        </w:rPr>
        <w:t xml:space="preserve">VUT tinklo </w:t>
      </w:r>
      <w:r>
        <w:rPr>
          <w:b/>
          <w:noProof/>
        </w:rPr>
        <w:t>pridėtinė vertė</w:t>
      </w:r>
      <w:r>
        <w:rPr>
          <w:noProof/>
        </w:rPr>
        <w:t> – tai struktūrinė VUT veiklos ir pajėgumo vertinimo sistema, padedanti palyginti, mokytis vieniems iš kitų ir tobulėti. Vertinime pateikiami keli kiti Sprendimo rezultatai, kurių iki Tinklo sukūrimo 2014 m. pasiekta nebuvo ir kurių nebūtų buvę įmanoma pasiekti savanorišku nacionalinių VUT bendradarbiavimu. Tarp svarbių pasiekimų – didesnė atsakomybė, individualaus VUT mokymosi ir kolektyvinio tarpusavio mokymosi užtikrinimas, kolektyvinės pozicijos užtikrinimas formuojant politiką ES lygmeniu ir indėlis siekiant strategijos „Europa 2020“ tikslų. Vertinime taip pat nurodoma, kad norint užtikrinti nuolatinį visų VUT dalyvavimą finansinė, organizacinė ir ekspertų ES lygmens parama yra būtina.</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rPr>
      </w:pPr>
      <w:r>
        <w:rPr>
          <w:noProof/>
          <w:u w:color="000000"/>
          <w:bdr w:val="nil"/>
        </w:rPr>
        <w:t>•</w:t>
      </w:r>
      <w:r>
        <w:rPr>
          <w:noProof/>
          <w:u w:color="000000"/>
          <w:bdr w:val="nil"/>
        </w:rPr>
        <w:tab/>
        <w:t>Konsultacijos su suinteresuotosiomis šalimis</w:t>
      </w:r>
    </w:p>
    <w:p>
      <w:pPr>
        <w:pStyle w:val="Text2"/>
        <w:ind w:left="0"/>
        <w:rPr>
          <w:noProof/>
          <w:color w:val="000000"/>
        </w:rPr>
      </w:pPr>
      <w:r>
        <w:rPr>
          <w:noProof/>
        </w:rPr>
        <w:t>Siekiant užtikrinti, kad atliekant vertinimą būtų tinkamai atsižvelgta į suinteresuotųjų subjektų nuomones, į konsultacijas buvo įtraukta daug įvairių suinteresuotųjų subjektų. Tarp tikslinių suinteresuotųjų subjektų buvo 32</w:t>
      </w:r>
      <w:r>
        <w:rPr>
          <w:rStyle w:val="FootnoteReference"/>
          <w:noProof/>
        </w:rPr>
        <w:footnoteReference w:id="10"/>
      </w:r>
      <w:r>
        <w:rPr>
          <w:noProof/>
        </w:rPr>
        <w:t xml:space="preserve"> VUT atstovai, dalyvaujantys Tinklo veikloje, atitinkamos ES lygmens organizacijos ir įstaigos (pvz., Užimtumo komitetas, ES lygmens privačios užimtumo tarnybos ir laikinojo įdarbinimo agentūros, Europos orientavimo visą gyvenimą politikos tinklas), atitinkamos tarptautinės organizacijos (pvz., TDO, EBPO, Pasaulio bankas, WAPES), taip pat VUT sekretoriatas, rangovai, buvę VUT tinklo nariai arba asmenys, susiję su VUT bendradarbiavimu iki 2014 m. Kartu su VUT Europos reikalų patarėjais buvo surengtas vertinimui skirtas praktinis seminaras. Viešose konsultacijose internetu taip pat galėjo dalyvauti visi suinteresuotieji subjektai ir visuomenė.</w:t>
      </w:r>
    </w:p>
    <w:p>
      <w:pPr>
        <w:pBdr>
          <w:top w:val="nil"/>
          <w:left w:val="nil"/>
          <w:bottom w:val="nil"/>
          <w:right w:val="nil"/>
          <w:between w:val="nil"/>
          <w:bar w:val="nil"/>
        </w:pBdr>
        <w:spacing w:before="0" w:after="240"/>
        <w:rPr>
          <w:rFonts w:eastAsia="Arial Unicode MS"/>
          <w:noProof/>
        </w:rPr>
      </w:pPr>
      <w:r>
        <w:rPr>
          <w:noProof/>
        </w:rPr>
        <w:t>Nustatyti faktai atspindi įvairių suinteresuotųjų subjektų padėtį. Esama tam tikrų skirtumų, susijusių su skirtingų Tinklo veiklos rūšių veiksmingumo vertinimu arba jų indėlio siekiant kiekvieno tikslo mastu. Pavyzdžiui, dauguma suinteresuotųjų subjektų pranešė, kad Tinklas kartais bendradarbiauja su kitais atitinkamais darbo rinkos suinteresuotaisiais subjektais (kaip nustatyta Sprendimo Nr. 573/2014/ES 5 straipsnyje), tačiau ateityje reikėtų stiprinti santykius su partneriais ES ir nacionaliniu lygmenimis. Suinteresuotųjų subjektų atsiliepimai yra labai svarbūs nustatant būsimus Tinklo prioritetus pagal Sprendimo Nr. 573/2014/ES tikslus.</w:t>
      </w:r>
    </w:p>
    <w:p>
      <w:pPr>
        <w:pStyle w:val="ManualHeading2"/>
        <w:rPr>
          <w:rFonts w:eastAsia="Arial Unicode MS"/>
          <w:noProof/>
        </w:rPr>
      </w:pPr>
      <w:r>
        <w:rPr>
          <w:noProof/>
          <w:u w:color="000000"/>
          <w:bdr w:val="nil"/>
        </w:rPr>
        <w:t>•</w:t>
      </w:r>
      <w:r>
        <w:rPr>
          <w:noProof/>
          <w:u w:color="000000"/>
          <w:bdr w:val="nil"/>
        </w:rPr>
        <w:tab/>
        <w:t>Tiriamųjų duomenų rinkimas ir naudojimas</w:t>
      </w:r>
    </w:p>
    <w:p>
      <w:pPr>
        <w:pBdr>
          <w:top w:val="nil"/>
          <w:left w:val="nil"/>
          <w:bottom w:val="nil"/>
          <w:right w:val="nil"/>
          <w:between w:val="nil"/>
          <w:bar w:val="nil"/>
        </w:pBdr>
        <w:spacing w:before="0" w:after="240"/>
        <w:rPr>
          <w:rFonts w:eastAsia="Arial Unicode MS"/>
          <w:noProof/>
        </w:rPr>
      </w:pPr>
      <w:r>
        <w:rPr>
          <w:noProof/>
        </w:rPr>
        <w:t>Siekiant paremti įrodymų, suinteresuotųjų subjektų požiūrio ir nuomonių rinkimą, taip pat analitinę vertinimo dalį, išorės tyrimą pavesta atlikti rangovui</w:t>
      </w:r>
      <w:r>
        <w:rPr>
          <w:rStyle w:val="FootnoteReference"/>
          <w:noProof/>
        </w:rPr>
        <w:footnoteReference w:id="11"/>
      </w:r>
      <w:r>
        <w:rPr>
          <w:noProof/>
        </w:rPr>
        <w:t>.</w:t>
      </w:r>
    </w:p>
    <w:p>
      <w:pPr>
        <w:pStyle w:val="ManualHeading2"/>
        <w:rPr>
          <w:rFonts w:eastAsia="Arial Unicode MS"/>
          <w:noProof/>
        </w:rPr>
      </w:pPr>
      <w:r>
        <w:rPr>
          <w:noProof/>
          <w:u w:color="000000"/>
          <w:bdr w:val="nil"/>
        </w:rPr>
        <w:t>•</w:t>
      </w:r>
      <w:r>
        <w:rPr>
          <w:noProof/>
          <w:u w:color="000000"/>
          <w:bdr w:val="nil"/>
        </w:rPr>
        <w:tab/>
        <w:t>Poveikio vertinimas</w:t>
      </w:r>
    </w:p>
    <w:p>
      <w:pPr>
        <w:pBdr>
          <w:top w:val="nil"/>
          <w:left w:val="nil"/>
          <w:bottom w:val="nil"/>
          <w:right w:val="nil"/>
          <w:between w:val="nil"/>
          <w:bar w:val="nil"/>
        </w:pBdr>
        <w:spacing w:before="0" w:after="240"/>
        <w:rPr>
          <w:noProof/>
          <w:color w:val="000000"/>
        </w:rPr>
      </w:pPr>
      <w:r>
        <w:rPr>
          <w:noProof/>
        </w:rPr>
        <w:t xml:space="preserve">Sprendimo Nr. 573/2014/ES pratęsimas reikštų esamos sistemos ir iniciatyvų tęstinumą. Šis pasiūlymas susijęs tik su siekiu pailginti Tinklo veikimo laikotarpį, nustatytą 1 straipsnyje, su tam tikrais techniniais atnaujinimais. Minėtasis vertinimas pridedamas prie pasiūlymo. Šis eilinis pasiūlymas laikomas nepagrindine iniciatyva pagal geresnio reglamentavimo taisykles. </w:t>
      </w:r>
    </w:p>
    <w:p>
      <w:pPr>
        <w:pBdr>
          <w:top w:val="nil"/>
          <w:left w:val="nil"/>
          <w:bottom w:val="nil"/>
          <w:right w:val="nil"/>
          <w:between w:val="nil"/>
          <w:bar w:val="nil"/>
        </w:pBdr>
        <w:spacing w:before="0"/>
        <w:rPr>
          <w:noProof/>
          <w:color w:val="000000"/>
        </w:rPr>
      </w:pPr>
      <w:r>
        <w:rPr>
          <w:noProof/>
        </w:rPr>
        <w:t>Atskiras poveikio vertinimas nebuvo atliktas, nes:</w:t>
      </w:r>
    </w:p>
    <w:p>
      <w:pPr>
        <w:pStyle w:val="Tiret0"/>
        <w:numPr>
          <w:ilvl w:val="0"/>
          <w:numId w:val="11"/>
        </w:numPr>
        <w:rPr>
          <w:noProof/>
        </w:rPr>
      </w:pPr>
      <w:r>
        <w:rPr>
          <w:noProof/>
        </w:rPr>
        <w:t xml:space="preserve">iš vertinimo matyti, kad Sprendimas dėl VUT yra veiksmingas ir nėra priežasčių iš esmės keisti dabartinę politiką; </w:t>
      </w:r>
    </w:p>
    <w:p>
      <w:pPr>
        <w:pStyle w:val="Tiret0"/>
        <w:rPr>
          <w:noProof/>
        </w:rPr>
      </w:pPr>
      <w:r>
        <w:rPr>
          <w:noProof/>
        </w:rPr>
        <w:t xml:space="preserve">vertinimo išvados rodo, kad vertėtų pratęsti Sprendimą dėl VUT; </w:t>
      </w:r>
    </w:p>
    <w:p>
      <w:pPr>
        <w:pStyle w:val="Tiret0"/>
        <w:rPr>
          <w:noProof/>
        </w:rPr>
      </w:pPr>
      <w:r>
        <w:rPr>
          <w:noProof/>
        </w:rPr>
        <w:t>vertinime (kartu su nacionalinių VUT ir Tinklo valdybos raginimu) jau pateikta pakankamai įrodymų, kad nepratęsus Tinklo veikimo būtų daromas neigiamas poveikis;</w:t>
      </w:r>
    </w:p>
    <w:p>
      <w:pPr>
        <w:pStyle w:val="Tiret0"/>
        <w:rPr>
          <w:rFonts w:eastAsia="Arial Unicode MS"/>
          <w:noProof/>
        </w:rPr>
      </w:pPr>
      <w:r>
        <w:rPr>
          <w:noProof/>
        </w:rPr>
        <w:t>siūloma iniciatyva yra logiška ir atitinka vertinimo išvadas.</w:t>
      </w:r>
    </w:p>
    <w:p>
      <w:pPr>
        <w:pStyle w:val="ManualHeading2"/>
        <w:rPr>
          <w:rFonts w:eastAsia="Arial Unicode MS"/>
          <w:noProof/>
        </w:rPr>
      </w:pPr>
      <w:r>
        <w:rPr>
          <w:noProof/>
          <w:u w:color="000000"/>
          <w:bdr w:val="nil"/>
        </w:rPr>
        <w:t>•</w:t>
      </w:r>
      <w:r>
        <w:rPr>
          <w:noProof/>
          <w:u w:color="000000"/>
          <w:bdr w:val="nil"/>
        </w:rPr>
        <w:tab/>
        <w:t>Pagrindinės teisės</w:t>
      </w:r>
    </w:p>
    <w:p>
      <w:pPr>
        <w:pBdr>
          <w:top w:val="nil"/>
          <w:left w:val="nil"/>
          <w:bottom w:val="nil"/>
          <w:right w:val="nil"/>
          <w:between w:val="nil"/>
          <w:bar w:val="nil"/>
        </w:pBdr>
        <w:spacing w:before="0" w:after="240"/>
        <w:rPr>
          <w:rFonts w:eastAsia="Arial Unicode MS"/>
          <w:noProof/>
        </w:rPr>
      </w:pPr>
      <w:r>
        <w:rPr>
          <w:noProof/>
        </w:rPr>
        <w:t>Sprendimu Nr. 573/2014/ES nepažeidžiamos pagrindinės teisės ir laikomasi principų, įtvirtintų Europos Sąjungos pagrindinių teisių chartijoje. Sprendimu visų pirma siekiama užtikrinti, kad būtų visapusiškai laikomasi teisių naudotis nemokamomis įdarbinimo tarnybų paslaugomis ir skatinti taikyti Chartijos 29 straipsnį. Šiuo pasiūlymu nedaroma jokių pakeitimų.</w:t>
      </w:r>
    </w:p>
    <w:p>
      <w:pPr>
        <w:pStyle w:val="ManualHeading1"/>
        <w:rPr>
          <w:rFonts w:eastAsia="Arial Unicode MS"/>
          <w:noProof/>
        </w:rPr>
      </w:pPr>
      <w:r>
        <w:rPr>
          <w:noProof/>
        </w:rPr>
        <w:t>4.</w:t>
      </w:r>
      <w:r>
        <w:rPr>
          <w:noProof/>
        </w:rPr>
        <w:tab/>
        <w:t>POVEIKIS BIUDŽETUI</w:t>
      </w:r>
    </w:p>
    <w:p>
      <w:pPr>
        <w:pStyle w:val="Text2"/>
        <w:ind w:left="0"/>
        <w:rPr>
          <w:noProof/>
          <w:color w:val="000000"/>
        </w:rPr>
      </w:pPr>
      <w:r>
        <w:rPr>
          <w:noProof/>
        </w:rPr>
        <w:t xml:space="preserve">Pasiūlymui nereikia papildomų ES biudžeto išteklių, įskaitant darbuotojus. </w:t>
      </w:r>
    </w:p>
    <w:p>
      <w:pPr>
        <w:pBdr>
          <w:top w:val="nil"/>
          <w:left w:val="nil"/>
          <w:bottom w:val="nil"/>
          <w:right w:val="nil"/>
          <w:between w:val="nil"/>
          <w:bar w:val="nil"/>
        </w:pBdr>
        <w:spacing w:before="0" w:after="240"/>
        <w:rPr>
          <w:rFonts w:eastAsia="Arial Unicode MS"/>
          <w:noProof/>
        </w:rPr>
      </w:pPr>
      <w:r>
        <w:rPr>
          <w:noProof/>
        </w:rPr>
        <w:t>Finansinė parama Sąjungos masto Valstybinių užimtumo tarnybų tinklui jau numatyta 2021–2027 m. ESF+ reglamento pasiūlyme pagal EaSI krypties siūlomą biudžetą</w:t>
      </w:r>
      <w:r>
        <w:rPr>
          <w:rStyle w:val="FootnoteReference"/>
          <w:noProof/>
        </w:rPr>
        <w:footnoteReference w:id="12"/>
      </w:r>
      <w:r>
        <w:rPr>
          <w:noProof/>
        </w:rPr>
        <w:t>. Atitinkamos išlaidos būtų tiesiog pagal dabartinį 2014–2020 m. programavimo laikotarpį jau suteiktos paramos Tinklui pratęsimas.</w:t>
      </w:r>
    </w:p>
    <w:p>
      <w:pPr>
        <w:pStyle w:val="ManualHeading1"/>
        <w:rPr>
          <w:noProof/>
        </w:rPr>
      </w:pPr>
      <w:r>
        <w:rPr>
          <w:noProof/>
        </w:rPr>
        <w:t>5.</w:t>
      </w:r>
      <w:r>
        <w:rPr>
          <w:noProof/>
        </w:rPr>
        <w:tab/>
        <w:t>KITI ELEMENTAI</w:t>
      </w:r>
    </w:p>
    <w:p>
      <w:pPr>
        <w:pStyle w:val="ManualHeading2"/>
        <w:rPr>
          <w:rFonts w:eastAsia="Arial Unicode MS"/>
          <w:noProof/>
        </w:rPr>
      </w:pPr>
      <w:r>
        <w:rPr>
          <w:noProof/>
          <w:u w:color="000000"/>
          <w:bdr w:val="nil"/>
        </w:rPr>
        <w:t>•</w:t>
      </w:r>
      <w:r>
        <w:rPr>
          <w:noProof/>
          <w:u w:color="000000"/>
          <w:bdr w:val="nil"/>
        </w:rPr>
        <w:tab/>
        <w:t>Įgyvendinimo planai ir stebėsena, vertinimas ir ataskaitų teikimo tvarka</w:t>
      </w:r>
    </w:p>
    <w:p>
      <w:pPr>
        <w:pStyle w:val="Text2"/>
        <w:ind w:left="0"/>
        <w:rPr>
          <w:noProof/>
          <w:color w:val="000000"/>
        </w:rPr>
      </w:pPr>
      <w:r>
        <w:rPr>
          <w:noProof/>
        </w:rPr>
        <w:t xml:space="preserve">Metinės Tinklo ataskaitos siunčiamos Europos Parlamentui ir Tarybai ir skelbiamos viešai. </w:t>
      </w:r>
    </w:p>
    <w:p>
      <w:pPr>
        <w:pBdr>
          <w:top w:val="nil"/>
          <w:left w:val="nil"/>
          <w:bottom w:val="nil"/>
          <w:right w:val="nil"/>
          <w:between w:val="nil"/>
          <w:bar w:val="nil"/>
        </w:pBdr>
        <w:spacing w:before="0" w:after="240"/>
        <w:rPr>
          <w:rFonts w:eastAsia="Arial Unicode MS"/>
          <w:noProof/>
        </w:rPr>
      </w:pPr>
      <w:r>
        <w:rPr>
          <w:noProof/>
        </w:rPr>
        <w:t>Iki 2026 m. rugsėjo mėn. pasiūlymo taikymo vertinimas pateikiamas Europos Parlamentui, Tarybai, Europos ekonomikos ir socialinių reikalų komitetui ir Regionų komitetui.</w:t>
      </w:r>
    </w:p>
    <w:p>
      <w:pPr>
        <w:pBdr>
          <w:top w:val="nil"/>
          <w:left w:val="nil"/>
          <w:bottom w:val="nil"/>
          <w:right w:val="nil"/>
          <w:between w:val="nil"/>
          <w:bar w:val="nil"/>
        </w:pBdr>
        <w:spacing w:before="0" w:after="240"/>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2019/0188 (COD)</w:t>
      </w:r>
    </w:p>
    <w:p>
      <w:pPr>
        <w:pStyle w:val="Statut"/>
        <w:rPr>
          <w:noProof/>
        </w:rPr>
      </w:pPr>
      <w:r>
        <w:rPr>
          <w:noProof/>
        </w:rPr>
        <w:t>Pasiūlymas</w:t>
      </w:r>
    </w:p>
    <w:p>
      <w:pPr>
        <w:pStyle w:val="Typedudocument"/>
        <w:rPr>
          <w:noProof/>
        </w:rPr>
      </w:pPr>
      <w:r>
        <w:rPr>
          <w:noProof/>
        </w:rPr>
        <w:t>EUROPOS PARLAMENTO IR TARYBOS SPRENDIMAS</w:t>
      </w:r>
    </w:p>
    <w:p>
      <w:pPr>
        <w:pStyle w:val="Titreobjet"/>
        <w:rPr>
          <w:noProof/>
        </w:rPr>
      </w:pPr>
      <w:r>
        <w:rPr>
          <w:noProof/>
        </w:rPr>
        <w:t xml:space="preserve">kuriuo iš dalies keičiamas Sprendimas Nr. 573/2014/ES dėl valstybinių </w:t>
      </w:r>
      <w:r>
        <w:rPr>
          <w:noProof/>
        </w:rPr>
        <w:br/>
        <w:t>užimtumo tarnybų (VUT) bendradarbiavimo stiprinimo</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149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13"/>
      </w:r>
      <w:r>
        <w:rPr>
          <w:noProof/>
        </w:rPr>
        <w:t xml:space="preserve">, </w:t>
      </w:r>
    </w:p>
    <w:p>
      <w:pPr>
        <w:rPr>
          <w:noProof/>
        </w:rPr>
      </w:pPr>
      <w:r>
        <w:rPr>
          <w:noProof/>
        </w:rPr>
        <w:t>atsižvelgdami į Regionų komiteto nuomonę</w:t>
      </w:r>
      <w:r>
        <w:rPr>
          <w:rStyle w:val="FootnoteReference"/>
          <w:noProof/>
        </w:rPr>
        <w:footnoteReference w:id="14"/>
      </w:r>
      <w:r>
        <w:rPr>
          <w:noProof/>
        </w:rPr>
        <w:t>,</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Europos Parlamento ir Tarybos sprendimu Nr. 573/2014/ES</w:t>
      </w:r>
      <w:r>
        <w:rPr>
          <w:rStyle w:val="FootnoteReference"/>
          <w:noProof/>
        </w:rPr>
        <w:footnoteReference w:id="15"/>
      </w:r>
      <w:r>
        <w:rPr>
          <w:noProof/>
        </w:rPr>
        <w:t xml:space="preserve"> laikotarpiui nuo 2014 m. birželio 17 d. iki 2020 m. gruodžio 31 d. įsteigiamas Europos valstybinių užimtumo tarnybų tinklas (toliau – Tinklas);</w:t>
      </w:r>
    </w:p>
    <w:p>
      <w:pPr>
        <w:pStyle w:val="ManualConsidrant"/>
        <w:rPr>
          <w:noProof/>
        </w:rPr>
      </w:pPr>
      <w:r>
        <w:t>(2)</w:t>
      </w:r>
      <w:r>
        <w:tab/>
      </w:r>
      <w:r>
        <w:rPr>
          <w:noProof/>
        </w:rPr>
        <w:t>Tinklo tikslas – didinti VUT pajėgumą, veiksmingumą ir efektyvumą sukuriant platformą, kurioje Europos lygmeniu būtų galima palyginti jų veiklos rezultatus, nustatyti gerąją patirtį ir plėtoti tarpusavio mokymosi sistemą. Tinklas taip pat siekia suteikti VUT daugiau galimybių padėti rengti novatorišką, faktiniais duomenimis grindžiamą politiką vadovaujantis susijusiomis Sąjungos politikos iniciatyvomis;</w:t>
      </w:r>
    </w:p>
    <w:p>
      <w:pPr>
        <w:pStyle w:val="ManualConsidrant"/>
        <w:rPr>
          <w:noProof/>
        </w:rPr>
      </w:pPr>
      <w:r>
        <w:t>(3)</w:t>
      </w:r>
      <w:r>
        <w:tab/>
      </w:r>
      <w:r>
        <w:rPr>
          <w:noProof/>
        </w:rPr>
        <w:t>Tinklas labai svarbus skatinant tolesnį valstybių narių bendradarbiavimą VUT atsakomybės srityse, taip pat prisidedant prie VUT modernizavimo ir stiprinimo. Iš Sprendimo Nr. 573/2014/ES</w:t>
      </w:r>
      <w:r>
        <w:rPr>
          <w:rStyle w:val="FootnoteReference"/>
          <w:noProof/>
        </w:rPr>
        <w:footnoteReference w:id="16"/>
      </w:r>
      <w:r>
        <w:rPr>
          <w:noProof/>
        </w:rPr>
        <w:t xml:space="preserve"> įgyvendinimo vertinimo matyti, kad Tinklas padarė teigiamą poveikį, ir tai, ko išmokta remiantis įvairia veikla ir patirtimi;</w:t>
      </w:r>
    </w:p>
    <w:p>
      <w:pPr>
        <w:pStyle w:val="ManualConsidrant"/>
        <w:rPr>
          <w:noProof/>
        </w:rPr>
      </w:pPr>
      <w:r>
        <w:t>(4)</w:t>
      </w:r>
      <w:r>
        <w:tab/>
      </w:r>
      <w:r>
        <w:rPr>
          <w:noProof/>
        </w:rPr>
        <w:t>siekiant pasinaudoti iki šiol pasiektais rezultatais ir toliau stiprinti VUT bendradarbiavimą, Tinklo veikimo laikotarpis turėtų būti pratęstas iki 2027 m. gruodžio 31 d.;</w:t>
      </w:r>
    </w:p>
    <w:p>
      <w:pPr>
        <w:pStyle w:val="ManualConsidrant"/>
        <w:rPr>
          <w:noProof/>
        </w:rPr>
      </w:pPr>
      <w:r>
        <w:t>(5)</w:t>
      </w:r>
      <w:r>
        <w:tab/>
      </w:r>
      <w:r>
        <w:rPr>
          <w:noProof/>
        </w:rPr>
        <w:t>Tinklo veiklos tęstinumas turėtų padėti įgyvendinti Europos socialinių teisių ramstį, į kurio principus įtraukta ir aktyvus užimtumo rėmimas. Tai taip pat turėtų padėti siekti Jungtinių Tautų Darnaus vystymosi darbotvarkės iki 2030 m. aštunto darnaus vystymosi tikslo, nes būtų prisidedama prie integracinio ir tvaraus ekonomikos augimo, užimtumo ir deramo darbo visiems;</w:t>
      </w:r>
    </w:p>
    <w:p>
      <w:pPr>
        <w:pStyle w:val="ManualConsidrant"/>
        <w:rPr>
          <w:noProof/>
        </w:rPr>
      </w:pPr>
      <w:r>
        <w:t>(6)</w:t>
      </w:r>
      <w:r>
        <w:tab/>
      </w:r>
      <w:r>
        <w:rPr>
          <w:noProof/>
        </w:rPr>
        <w:t>Tinklas turėtų ir toliau organizuoti bendradarbiavimą ir ryšius su kitais darbo rinkos suinteresuotaisiais subjektais, kad būtų skatinama jų sąveika, visų pirma bendradarbiaujant su Sąjungos agentūromis užimtumo, socialinės politikos, švietimo ir mokymo srityse siekiant užtikrinti nuoseklią politikos sistemą;</w:t>
      </w:r>
    </w:p>
    <w:p>
      <w:pPr>
        <w:pStyle w:val="ManualConsidrant"/>
        <w:rPr>
          <w:noProof/>
        </w:rPr>
      </w:pPr>
      <w:r>
        <w:t>(7)</w:t>
      </w:r>
      <w:r>
        <w:tab/>
      </w:r>
      <w:r>
        <w:rPr>
          <w:noProof/>
        </w:rPr>
        <w:t>Sąjungos finansinė parama Tinklui turėtų būti teikiama pagal 2021–2027 m. daugiametę finansinę programą;</w:t>
      </w:r>
    </w:p>
    <w:p>
      <w:pPr>
        <w:pStyle w:val="ManualConsidrant"/>
        <w:rPr>
          <w:noProof/>
        </w:rPr>
      </w:pPr>
      <w:r>
        <w:t>(8)</w:t>
      </w:r>
      <w:r>
        <w:tab/>
      </w:r>
      <w:r>
        <w:rPr>
          <w:noProof/>
        </w:rPr>
        <w:t>todėl Sprendimas Nr. 573/2014/ES turėtų būti atitinkamai iš dalies pakeistas;</w:t>
      </w:r>
    </w:p>
    <w:p>
      <w:pPr>
        <w:pStyle w:val="ManualConsidrant"/>
        <w:rPr>
          <w:noProof/>
        </w:rPr>
      </w:pPr>
      <w:r>
        <w:t>(9)</w:t>
      </w:r>
      <w:r>
        <w:tab/>
      </w:r>
      <w:r>
        <w:rPr>
          <w:noProof/>
        </w:rPr>
        <w:t>siekiant užtikrinti Tinklo veiklos tęstinumą, šis sprendimas turėtų būti taikomas nuo 2021 m. sausio 1 d.,</w:t>
      </w:r>
    </w:p>
    <w:p>
      <w:pPr>
        <w:pStyle w:val="Formuledadoption"/>
        <w:rPr>
          <w:noProof/>
        </w:rPr>
      </w:pPr>
      <w:r>
        <w:rPr>
          <w:noProof/>
        </w:rPr>
        <w:t xml:space="preserve">PRIĖMĖ ŠĮ SPRENDIMĄ: </w:t>
      </w:r>
    </w:p>
    <w:p>
      <w:pPr>
        <w:pStyle w:val="Titrearticle"/>
        <w:rPr>
          <w:noProof/>
        </w:rPr>
      </w:pPr>
      <w:r>
        <w:rPr>
          <w:noProof/>
        </w:rPr>
        <w:t>1 straipsnis</w:t>
      </w:r>
    </w:p>
    <w:p>
      <w:pPr>
        <w:rPr>
          <w:noProof/>
          <w:szCs w:val="24"/>
        </w:rPr>
      </w:pPr>
      <w:r>
        <w:rPr>
          <w:noProof/>
        </w:rPr>
        <w:t>Sprendimas Nr. 573/2014/ES iš dalies keičiamas taip:</w:t>
      </w:r>
    </w:p>
    <w:p>
      <w:pPr>
        <w:pStyle w:val="Point0"/>
        <w:rPr>
          <w:noProof/>
          <w:szCs w:val="24"/>
        </w:rPr>
      </w:pPr>
      <w:r>
        <w:t>(1)</w:t>
      </w:r>
      <w:r>
        <w:tab/>
      </w:r>
      <w:r>
        <w:rPr>
          <w:noProof/>
        </w:rPr>
        <w:t>1 straipsnio pirma pastraipa pakeičiama taip:</w:t>
      </w:r>
    </w:p>
    <w:p>
      <w:pPr>
        <w:rPr>
          <w:noProof/>
          <w:szCs w:val="24"/>
        </w:rPr>
      </w:pPr>
      <w:r>
        <w:rPr>
          <w:noProof/>
        </w:rPr>
        <w:t>„Laikotarpiui iki 2027 m. gruodžio 31 d.</w:t>
      </w:r>
      <w:r>
        <w:t xml:space="preserve"> </w:t>
      </w:r>
      <w:r>
        <w:rPr>
          <w:noProof/>
        </w:rPr>
        <w:t xml:space="preserve">įsteigiamas Sąjungos valstybinių užimtumo tarnybų (VUT) tinklas (toliau – tinklas).“ </w:t>
      </w:r>
    </w:p>
    <w:p>
      <w:pPr>
        <w:pStyle w:val="Point0"/>
        <w:rPr>
          <w:noProof/>
          <w:szCs w:val="24"/>
        </w:rPr>
      </w:pPr>
      <w:r>
        <w:t>(2)</w:t>
      </w:r>
      <w:r>
        <w:tab/>
      </w:r>
      <w:r>
        <w:rPr>
          <w:noProof/>
        </w:rPr>
        <w:t>3 straipsnio įžanginė formuluotė pakeičiama taip:</w:t>
      </w:r>
    </w:p>
    <w:p>
      <w:pPr>
        <w:rPr>
          <w:noProof/>
          <w:szCs w:val="24"/>
        </w:rPr>
      </w:pPr>
      <w:r>
        <w:rPr>
          <w:noProof/>
        </w:rPr>
        <w:t>„Šio sprendimo tikslas – skatinti valstybių narių bendradarbiavimą per tinklą užimtumo klausimais VUT atsakomybės srityje, taip prisidedant prie Sąjungos užimtumo politikos įgyvendinimo. Tai taip pat padės siekti Europos socialinių teisių ramsčio ir Jungtinių Tautų darnaus vystymosi tikslų ir remti:“</w:t>
      </w:r>
    </w:p>
    <w:p>
      <w:pPr>
        <w:pStyle w:val="Point0"/>
        <w:rPr>
          <w:noProof/>
          <w:szCs w:val="24"/>
        </w:rPr>
      </w:pPr>
      <w:r>
        <w:t>(3)</w:t>
      </w:r>
      <w:r>
        <w:tab/>
      </w:r>
      <w:r>
        <w:rPr>
          <w:noProof/>
        </w:rPr>
        <w:t>4 straipsnio 1 dalies c punktas pakeičiamas taip:</w:t>
      </w:r>
    </w:p>
    <w:p>
      <w:pPr>
        <w:rPr>
          <w:noProof/>
          <w:szCs w:val="24"/>
        </w:rPr>
      </w:pPr>
      <w:r>
        <w:rPr>
          <w:noProof/>
        </w:rPr>
        <w:t>„c) prisideda prie VUT modernizavimo ir stiprinimo svarbiose srityse, vadovaujantis Sąjungos užimtumo politika, Europos socialinių teisių ramsčiu ir darnaus vystymosi tikslais;“</w:t>
      </w:r>
    </w:p>
    <w:p>
      <w:pPr>
        <w:pStyle w:val="Point0"/>
        <w:rPr>
          <w:noProof/>
        </w:rPr>
      </w:pPr>
      <w:r>
        <w:t>(4)</w:t>
      </w:r>
      <w:r>
        <w:tab/>
      </w:r>
      <w:r>
        <w:rPr>
          <w:noProof/>
        </w:rPr>
        <w:t>5 straipsnis pakeičiamas taip:</w:t>
      </w:r>
    </w:p>
    <w:p>
      <w:pPr>
        <w:rPr>
          <w:noProof/>
          <w:szCs w:val="24"/>
        </w:rPr>
      </w:pPr>
      <w:r>
        <w:rPr>
          <w:noProof/>
        </w:rPr>
        <w:tab/>
      </w:r>
      <w:r>
        <w:rPr>
          <w:noProof/>
        </w:rPr>
        <w:tab/>
      </w:r>
      <w:r>
        <w:rPr>
          <w:noProof/>
        </w:rPr>
        <w:tab/>
      </w:r>
      <w:r>
        <w:rPr>
          <w:noProof/>
        </w:rPr>
        <w:tab/>
      </w:r>
      <w:r>
        <w:rPr>
          <w:noProof/>
        </w:rPr>
        <w:tab/>
        <w:t>„Bendradarbiavimas</w:t>
      </w:r>
    </w:p>
    <w:p>
      <w:pPr>
        <w:rPr>
          <w:noProof/>
          <w:szCs w:val="24"/>
        </w:rPr>
      </w:pPr>
      <w:r>
        <w:rPr>
          <w:noProof/>
        </w:rPr>
        <w:t>Tinklas plėtoja bendradarbiavimą su atitinkamais darbo rinkos suinteresuotaisiais subjektais, įskaitant kitus užimtumo paslaugų teikėjus ir, prireikus, užimtumo, socialinės politikos ir švietimo bei mokymo srityse veikiančias ES agentūras, socialinius partnerius, bedarbiams ar pažeidžiamoms grupėms atstovaujančias organizacijas, užimtumo srityje dirbančias NVO, regionines ir vietos valdžios institucijas, įtraukdamas juos į atitinkamą savo veiklą bei susitikimus ir keisdamasis su jais informacija bei duomenimis.“</w:t>
      </w:r>
    </w:p>
    <w:p>
      <w:pPr>
        <w:pStyle w:val="Point0"/>
        <w:rPr>
          <w:noProof/>
        </w:rPr>
      </w:pPr>
      <w:r>
        <w:t>(5)</w:t>
      </w:r>
      <w:r>
        <w:tab/>
      </w:r>
      <w:r>
        <w:rPr>
          <w:noProof/>
        </w:rPr>
        <w:t>7 straipsnis pakeičiamas taip:</w:t>
      </w:r>
    </w:p>
    <w:p>
      <w:pPr>
        <w:pStyle w:val="NormalCentered"/>
        <w:rPr>
          <w:noProof/>
        </w:rPr>
      </w:pPr>
      <w:r>
        <w:rPr>
          <w:noProof/>
        </w:rPr>
        <w:t>„Finansinė parama</w:t>
      </w:r>
    </w:p>
    <w:p>
      <w:pPr>
        <w:rPr>
          <w:noProof/>
          <w:szCs w:val="24"/>
        </w:rPr>
      </w:pPr>
      <w:r>
        <w:rPr>
          <w:noProof/>
        </w:rPr>
        <w:t>Šio sprendimo įgyvendinimo bendrieji ištekliai skiriami atitinkamai pagal būsimą 2021–2027 m. daugiametę finansinę programą, kurios metinius asignavimus tvirtina Europos Parlamentas ir Taryba, neviršydami finansinės programos ribų.“</w:t>
      </w:r>
    </w:p>
    <w:p>
      <w:pPr>
        <w:pStyle w:val="Point0"/>
        <w:rPr>
          <w:noProof/>
          <w:szCs w:val="24"/>
        </w:rPr>
      </w:pPr>
      <w:r>
        <w:t>(6)</w:t>
      </w:r>
      <w:r>
        <w:tab/>
      </w:r>
      <w:r>
        <w:rPr>
          <w:noProof/>
        </w:rPr>
        <w:t>9 straipsnio 2 dalis pakeičiama taip:</w:t>
      </w:r>
    </w:p>
    <w:p>
      <w:pPr>
        <w:rPr>
          <w:noProof/>
        </w:rPr>
      </w:pPr>
      <w:r>
        <w:rPr>
          <w:noProof/>
        </w:rPr>
        <w:t>„8 straipsnyje nurodyti įgaliojimai priimti deleguotuosius aktus Komisijai suteikiami iki 2027 m. gruodžio 31 d.“</w:t>
      </w:r>
    </w:p>
    <w:p>
      <w:pPr>
        <w:pStyle w:val="Point0"/>
        <w:rPr>
          <w:noProof/>
        </w:rPr>
      </w:pPr>
      <w:r>
        <w:t>(7)</w:t>
      </w:r>
      <w:r>
        <w:tab/>
      </w:r>
      <w:r>
        <w:rPr>
          <w:noProof/>
        </w:rPr>
        <w:t>10 straipsnis pakeičiamas taip:</w:t>
      </w:r>
    </w:p>
    <w:p>
      <w:pPr>
        <w:pStyle w:val="NormalCentered"/>
        <w:rPr>
          <w:noProof/>
        </w:rPr>
      </w:pPr>
      <w:r>
        <w:rPr>
          <w:noProof/>
        </w:rPr>
        <w:t>„Peržiūra</w:t>
      </w:r>
    </w:p>
    <w:p>
      <w:pPr>
        <w:rPr>
          <w:noProof/>
        </w:rPr>
      </w:pPr>
      <w:r>
        <w:rPr>
          <w:noProof/>
        </w:rPr>
        <w:t>Ne vėliau kaip 2026 m. rugsėjo mėn. Komisija pateikia Europos Parlamentui, Tarybai, Europos ekonominių ir socialinių reikalų komitetui bei Regionų komitetui šio sprendimo vertinimą.“</w:t>
      </w:r>
    </w:p>
    <w:p>
      <w:pPr>
        <w:pStyle w:val="Titrearticle"/>
        <w:rPr>
          <w:noProof/>
        </w:rPr>
      </w:pPr>
      <w:r>
        <w:rPr>
          <w:noProof/>
        </w:rPr>
        <w:t>2 straipsnis</w:t>
      </w:r>
    </w:p>
    <w:p>
      <w:pPr>
        <w:keepNext/>
        <w:keepLines/>
        <w:rPr>
          <w:i/>
          <w:noProof/>
        </w:rPr>
      </w:pPr>
      <w:r>
        <w:rPr>
          <w:noProof/>
        </w:rPr>
        <w:t xml:space="preserve">Šis sprendimas įsigalioja dvidešimtą dieną po jo paskelbimo </w:t>
      </w:r>
      <w:r>
        <w:rPr>
          <w:i/>
          <w:noProof/>
        </w:rPr>
        <w:t>Europos Sąjungos oficialiajame leidinyje</w:t>
      </w:r>
      <w:r>
        <w:rPr>
          <w:noProof/>
        </w:rPr>
        <w:t>.</w:t>
      </w:r>
      <w:r>
        <w:rPr>
          <w:i/>
          <w:noProof/>
        </w:rPr>
        <w:t xml:space="preserve"> </w:t>
      </w:r>
    </w:p>
    <w:p>
      <w:pPr>
        <w:keepNext/>
        <w:keepLines/>
        <w:rPr>
          <w:noProof/>
        </w:rPr>
      </w:pPr>
      <w:r>
        <w:rPr>
          <w:noProof/>
        </w:rPr>
        <w:t>Jis taikomas nuo</w:t>
      </w:r>
      <w:r>
        <w:rPr>
          <w:i/>
          <w:noProof/>
        </w:rPr>
        <w:t xml:space="preserve"> </w:t>
      </w:r>
      <w:r>
        <w:rPr>
          <w:noProof/>
        </w:rPr>
        <w:t>2021 m. sausio 1 d.</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https://ec.europa.eu/social/BlobServlet?docId=20613&amp;langId=en</w:t>
        </w:r>
      </w:hyperlink>
      <w:r>
        <w:t>, žr. p. 1.</w:t>
      </w:r>
    </w:p>
  </w:footnote>
  <w:footnote w:id="2">
    <w:p>
      <w:pPr>
        <w:pStyle w:val="FootnoteText"/>
        <w:rPr>
          <w:sz w:val="18"/>
          <w:szCs w:val="18"/>
        </w:rPr>
      </w:pPr>
      <w:r>
        <w:rPr>
          <w:rStyle w:val="FootnoteReference"/>
        </w:rPr>
        <w:footnoteRef/>
      </w:r>
      <w:r>
        <w:rPr>
          <w:sz w:val="18"/>
          <w:szCs w:val="18"/>
        </w:rPr>
        <w:tab/>
        <w:t>Komisijos tarnybų darbinis dokumentas SWD(2019) 1350.</w:t>
      </w:r>
    </w:p>
  </w:footnote>
  <w:footnote w:id="3">
    <w:p>
      <w:pPr>
        <w:pStyle w:val="FootnoteText"/>
        <w:ind w:right="-425"/>
        <w:jc w:val="left"/>
        <w:rPr>
          <w:sz w:val="18"/>
          <w:szCs w:val="18"/>
        </w:rPr>
      </w:pPr>
      <w:r>
        <w:rPr>
          <w:rStyle w:val="FootnoteReference"/>
        </w:rPr>
        <w:footnoteRef/>
      </w:r>
      <w:r>
        <w:rPr>
          <w:sz w:val="18"/>
          <w:szCs w:val="18"/>
        </w:rPr>
        <w:tab/>
        <w:t>https://ec.europa.eu/commission/sites/beta-political/files/social-summit-european-pillar-social-rights-booklet_lt.pdf</w:t>
      </w:r>
    </w:p>
  </w:footnote>
  <w:footnote w:id="4">
    <w:p>
      <w:pPr>
        <w:pStyle w:val="FootnoteText"/>
        <w:rPr>
          <w:sz w:val="18"/>
          <w:szCs w:val="18"/>
        </w:rPr>
      </w:pPr>
      <w:r>
        <w:rPr>
          <w:rStyle w:val="FootnoteReference"/>
        </w:rPr>
        <w:footnoteRef/>
      </w:r>
      <w:r>
        <w:rPr>
          <w:sz w:val="18"/>
          <w:szCs w:val="18"/>
        </w:rPr>
        <w:tab/>
      </w:r>
      <w:hyperlink r:id="rId2" w:history="1">
        <w:r>
          <w:t>https://eur-lex.europa.eu/eli/reg/2016/589/oj?locale=lt</w:t>
        </w:r>
      </w:hyperlink>
    </w:p>
  </w:footnote>
  <w:footnote w:id="5">
    <w:p>
      <w:pPr>
        <w:pStyle w:val="FootnoteText"/>
      </w:pPr>
      <w:r>
        <w:rPr>
          <w:rStyle w:val="FootnoteReference"/>
        </w:rPr>
        <w:footnoteRef/>
      </w:r>
      <w:r>
        <w:tab/>
      </w:r>
      <w:hyperlink r:id="rId3" w:history="1">
        <w:r>
          <w:rPr>
            <w:rStyle w:val="Hyperlink"/>
          </w:rPr>
          <w:t>https://ela.europa.eu/</w:t>
        </w:r>
      </w:hyperlink>
    </w:p>
  </w:footnote>
  <w:footnote w:id="6">
    <w:p>
      <w:pPr>
        <w:pStyle w:val="FootnoteText"/>
        <w:rPr>
          <w:sz w:val="18"/>
          <w:szCs w:val="18"/>
        </w:rPr>
      </w:pPr>
      <w:r>
        <w:rPr>
          <w:rStyle w:val="FootnoteReference"/>
        </w:rPr>
        <w:footnoteRef/>
      </w:r>
      <w:r>
        <w:rPr>
          <w:sz w:val="18"/>
          <w:szCs w:val="18"/>
        </w:rPr>
        <w:tab/>
      </w:r>
      <w:r>
        <w:rPr>
          <w:sz w:val="19"/>
          <w:szCs w:val="19"/>
        </w:rPr>
        <w:t>https://ec.europa.eu/europeaid/sites/devco/files/european-consensus-on-development-final-20170626_en.pdf</w:t>
      </w:r>
    </w:p>
  </w:footnote>
  <w:footnote w:id="7">
    <w:p>
      <w:pPr>
        <w:pStyle w:val="FootnoteText"/>
        <w:rPr>
          <w:sz w:val="18"/>
          <w:szCs w:val="18"/>
        </w:rPr>
      </w:pPr>
      <w:r>
        <w:rPr>
          <w:rStyle w:val="FootnoteReference"/>
        </w:rPr>
        <w:footnoteRef/>
      </w:r>
      <w:r>
        <w:rPr>
          <w:sz w:val="18"/>
          <w:szCs w:val="18"/>
        </w:rPr>
        <w:tab/>
      </w:r>
      <w:hyperlink r:id="rId4" w:history="1">
        <w:r>
          <w:t>https://sustainabledevelopment.un.org/topics/sustainabledevelopmentgoals</w:t>
        </w:r>
      </w:hyperlink>
    </w:p>
  </w:footnote>
  <w:footnote w:id="8">
    <w:p>
      <w:pPr>
        <w:pStyle w:val="FootnoteText"/>
      </w:pPr>
      <w:r>
        <w:rPr>
          <w:rStyle w:val="FootnoteReference"/>
        </w:rPr>
        <w:footnoteRef/>
      </w:r>
      <w:r>
        <w:tab/>
      </w:r>
      <w:hyperlink r:id="rId5" w:history="1">
        <w:r>
          <w:rPr>
            <w:rStyle w:val="Hyperlink"/>
          </w:rPr>
          <w:t>https://publications.europa.eu/lt/home</w:t>
        </w:r>
      </w:hyperlink>
    </w:p>
  </w:footnote>
  <w:footnote w:id="9">
    <w:p>
      <w:pPr>
        <w:pStyle w:val="FootnoteText"/>
      </w:pPr>
      <w:r>
        <w:rPr>
          <w:rStyle w:val="FootnoteReference"/>
        </w:rPr>
        <w:footnoteRef/>
      </w:r>
      <w:r>
        <w:tab/>
      </w:r>
      <w:hyperlink r:id="rId6" w:history="1">
        <w:r>
          <w:rPr>
            <w:rStyle w:val="Hyperlink"/>
          </w:rPr>
          <w:t>https://ec.europa.eu/info/law/law-making-process/planning-and-proposing-law/better-regulation-why-and-how_lt</w:t>
        </w:r>
      </w:hyperlink>
    </w:p>
  </w:footnote>
  <w:footnote w:id="10">
    <w:p>
      <w:pPr>
        <w:pStyle w:val="FootnoteText"/>
        <w:ind w:left="0" w:firstLine="0"/>
        <w:rPr>
          <w:sz w:val="18"/>
          <w:szCs w:val="18"/>
        </w:rPr>
      </w:pPr>
      <w:r>
        <w:rPr>
          <w:rStyle w:val="FootnoteReference"/>
        </w:rPr>
        <w:footnoteRef/>
      </w:r>
      <w:r>
        <w:rPr>
          <w:sz w:val="18"/>
          <w:szCs w:val="18"/>
        </w:rPr>
        <w:tab/>
        <w:t>VUT tinklui priklauso visų 28 ES valstybių narių, taip pat Islandijos ir Norvegijos (iš viso 30 šalių) VUT. Tačiau kadangi Belgijoje yra trys dalyvaujančios VUT, bendras Tinklo veikloje dalyvaujančių VUT skaičius yra 32.</w:t>
      </w:r>
    </w:p>
  </w:footnote>
  <w:footnote w:id="11">
    <w:p>
      <w:pPr>
        <w:pStyle w:val="FootnoteText"/>
        <w:ind w:left="0" w:firstLine="0"/>
        <w:rPr>
          <w:sz w:val="18"/>
          <w:szCs w:val="18"/>
        </w:rPr>
      </w:pPr>
      <w:r>
        <w:rPr>
          <w:rStyle w:val="FootnoteReference"/>
        </w:rPr>
        <w:footnoteRef/>
      </w:r>
      <w:r>
        <w:rPr>
          <w:sz w:val="18"/>
          <w:szCs w:val="18"/>
        </w:rPr>
        <w:tab/>
      </w:r>
      <w:hyperlink r:id="rId7" w:history="1">
        <w:r>
          <w:rPr>
            <w:rStyle w:val="Hyperlink"/>
          </w:rPr>
          <w:t>https://publications.europa.eu/lt/home</w:t>
        </w:r>
      </w:hyperlink>
    </w:p>
  </w:footnote>
  <w:footnote w:id="12">
    <w:p>
      <w:pPr>
        <w:pStyle w:val="FootnoteText"/>
        <w:rPr>
          <w:sz w:val="18"/>
          <w:szCs w:val="18"/>
        </w:rPr>
      </w:pPr>
      <w:r>
        <w:rPr>
          <w:rStyle w:val="FootnoteReference"/>
        </w:rPr>
        <w:footnoteRef/>
      </w:r>
      <w:r>
        <w:rPr>
          <w:sz w:val="18"/>
          <w:szCs w:val="18"/>
        </w:rPr>
        <w:tab/>
        <w:t xml:space="preserve">COM(2018) 382 </w:t>
      </w:r>
      <w:r>
        <w:rPr>
          <w:i/>
          <w:sz w:val="18"/>
          <w:szCs w:val="18"/>
        </w:rPr>
        <w:t>final.</w:t>
      </w:r>
    </w:p>
  </w:footnote>
  <w:footnote w:id="13">
    <w:p>
      <w:pPr>
        <w:pStyle w:val="FootnoteText"/>
        <w:rPr>
          <w:sz w:val="18"/>
          <w:szCs w:val="18"/>
        </w:rPr>
      </w:pPr>
      <w:r>
        <w:rPr>
          <w:rStyle w:val="FootnoteReference"/>
        </w:rPr>
        <w:footnoteRef/>
      </w:r>
      <w:r>
        <w:tab/>
      </w:r>
      <w:r>
        <w:rPr>
          <w:sz w:val="18"/>
          <w:szCs w:val="18"/>
        </w:rPr>
        <w:t>OL C […], […], p. […].</w:t>
      </w:r>
    </w:p>
  </w:footnote>
  <w:footnote w:id="14">
    <w:p>
      <w:pPr>
        <w:pStyle w:val="FootnoteText"/>
      </w:pPr>
      <w:r>
        <w:rPr>
          <w:rStyle w:val="FootnoteReference"/>
        </w:rPr>
        <w:footnoteRef/>
      </w:r>
      <w:r>
        <w:tab/>
      </w:r>
      <w:r>
        <w:rPr>
          <w:sz w:val="18"/>
          <w:szCs w:val="18"/>
        </w:rPr>
        <w:t>OL C […], […], p. […].</w:t>
      </w:r>
    </w:p>
  </w:footnote>
  <w:footnote w:id="15">
    <w:p>
      <w:pPr>
        <w:pStyle w:val="FootnoteText"/>
      </w:pPr>
      <w:r>
        <w:rPr>
          <w:rStyle w:val="FootnoteReference"/>
        </w:rPr>
        <w:footnoteRef/>
      </w:r>
      <w:r>
        <w:tab/>
      </w:r>
      <w:hyperlink r:id="rId8" w:history="1">
        <w:r>
          <w:rPr>
            <w:rStyle w:val="Hyperlink"/>
            <w:sz w:val="18"/>
            <w:szCs w:val="18"/>
          </w:rPr>
          <w:t>2014 m. gegužės 15 d. Europos Parlamento ir Tarybos sprendimas Nr. 573/2014/ES dėl valstybinių užimtumo tarnybų (VUT) bendradarbiavimo stiprinimo (OL L 159, 2014 5 28, p. 32)</w:t>
        </w:r>
      </w:hyperlink>
      <w:r>
        <w:rPr>
          <w:sz w:val="18"/>
          <w:szCs w:val="18"/>
        </w:rPr>
        <w:t>.</w:t>
      </w:r>
    </w:p>
  </w:footnote>
  <w:footnote w:id="16">
    <w:p>
      <w:pPr>
        <w:pStyle w:val="FootnoteText"/>
        <w:ind w:left="0" w:firstLine="0"/>
        <w:jc w:val="left"/>
        <w:rPr>
          <w:sz w:val="18"/>
          <w:szCs w:val="18"/>
        </w:rPr>
      </w:pPr>
      <w:r>
        <w:rPr>
          <w:rStyle w:val="FootnoteReference"/>
        </w:rPr>
        <w:footnoteRef/>
      </w:r>
      <w:r>
        <w:tab/>
        <w:t xml:space="preserve">Komisijos tarnybų darbinis dokumentas </w:t>
      </w:r>
      <w:r>
        <w:rPr>
          <w:sz w:val="18"/>
          <w:szCs w:val="18"/>
        </w:rPr>
        <w:t>SWD(2019) 1350).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D23F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3225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0E73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29846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D2E2A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6CF3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6EA806"/>
    <w:lvl w:ilvl="0">
      <w:start w:val="1"/>
      <w:numFmt w:val="decimal"/>
      <w:pStyle w:val="ListNumber"/>
      <w:lvlText w:val="%1."/>
      <w:lvlJc w:val="left"/>
      <w:pPr>
        <w:tabs>
          <w:tab w:val="num" w:pos="360"/>
        </w:tabs>
        <w:ind w:left="360" w:hanging="360"/>
      </w:pPr>
    </w:lvl>
  </w:abstractNum>
  <w:abstractNum w:abstractNumId="7">
    <w:nsid w:val="FFFFFF89"/>
    <w:multiLevelType w:val="singleLevel"/>
    <w:tmpl w:val="529CB6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5 08:30:3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85F23241-9AA9-4995-B521-1A841DD2B139"/>
    <w:docVar w:name="LW_COVERPAGE_TYPE" w:val="1"/>
    <w:docVar w:name="LW_CROSSREFERENCE" w:val="{SWD(2019) 319 final} - {SWD(2019) 1350 final}"/>
    <w:docVar w:name="LW_DocType" w:val="COM"/>
    <w:docVar w:name="LW_EMISSION" w:val="2019 09 11"/>
    <w:docVar w:name="LW_EMISSION_ISODATE" w:val="2019-09-11"/>
    <w:docVar w:name="LW_EMISSION_LOCATION" w:val="BRX"/>
    <w:docVar w:name="LW_EMISSION_PREFIX" w:val="Briuselis,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188"/>
    <w:docVar w:name="LW_REF.II.NEW.CP_YEAR" w:val="2019"/>
    <w:docVar w:name="LW_REF.INST.NEW" w:val="COM"/>
    <w:docVar w:name="LW_REF.INST.NEW_ADOPTED" w:val="final"/>
    <w:docVar w:name="LW_REF.INST.NEW_TEXT" w:val="(2019) 6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i\u353? dalies kei\u269?iamas Sprendimas Nr. 573/2014/ES d\u279?l valstybini\u371? _x000b_u\u382?imtumo tarnyb\u371? (VUT) bendradarbiavimo stiprinimo"/>
    <w:docVar w:name="LW_TYPE.DOC.CP" w:val="EUROPOS PARLAMENTO IR TARYBOS SPRENDIMAS"/>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3124">
      <w:bodyDiv w:val="1"/>
      <w:marLeft w:val="0"/>
      <w:marRight w:val="0"/>
      <w:marTop w:val="0"/>
      <w:marBottom w:val="0"/>
      <w:divBdr>
        <w:top w:val="none" w:sz="0" w:space="0" w:color="auto"/>
        <w:left w:val="none" w:sz="0" w:space="0" w:color="auto"/>
        <w:bottom w:val="none" w:sz="0" w:space="0" w:color="auto"/>
        <w:right w:val="none" w:sz="0" w:space="0" w:color="auto"/>
      </w:divBdr>
    </w:div>
    <w:div w:id="42291955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14">
          <w:marLeft w:val="0"/>
          <w:marRight w:val="0"/>
          <w:marTop w:val="0"/>
          <w:marBottom w:val="0"/>
          <w:divBdr>
            <w:top w:val="none" w:sz="0" w:space="0" w:color="auto"/>
            <w:left w:val="none" w:sz="0" w:space="0" w:color="auto"/>
            <w:bottom w:val="none" w:sz="0" w:space="0" w:color="auto"/>
            <w:right w:val="none" w:sz="0" w:space="0" w:color="auto"/>
          </w:divBdr>
        </w:div>
        <w:div w:id="1184784828">
          <w:marLeft w:val="0"/>
          <w:marRight w:val="0"/>
          <w:marTop w:val="0"/>
          <w:marBottom w:val="0"/>
          <w:divBdr>
            <w:top w:val="none" w:sz="0" w:space="0" w:color="auto"/>
            <w:left w:val="none" w:sz="0" w:space="0" w:color="auto"/>
            <w:bottom w:val="none" w:sz="0" w:space="0" w:color="auto"/>
            <w:right w:val="none" w:sz="0" w:space="0" w:color="auto"/>
          </w:divBdr>
        </w:div>
        <w:div w:id="2078163730">
          <w:marLeft w:val="0"/>
          <w:marRight w:val="0"/>
          <w:marTop w:val="0"/>
          <w:marBottom w:val="0"/>
          <w:divBdr>
            <w:top w:val="none" w:sz="0" w:space="0" w:color="auto"/>
            <w:left w:val="none" w:sz="0" w:space="0" w:color="auto"/>
            <w:bottom w:val="none" w:sz="0" w:space="0" w:color="auto"/>
            <w:right w:val="none" w:sz="0" w:space="0" w:color="auto"/>
          </w:divBdr>
        </w:div>
        <w:div w:id="383796410">
          <w:marLeft w:val="0"/>
          <w:marRight w:val="0"/>
          <w:marTop w:val="0"/>
          <w:marBottom w:val="0"/>
          <w:divBdr>
            <w:top w:val="none" w:sz="0" w:space="0" w:color="auto"/>
            <w:left w:val="none" w:sz="0" w:space="0" w:color="auto"/>
            <w:bottom w:val="none" w:sz="0" w:space="0" w:color="auto"/>
            <w:right w:val="none" w:sz="0" w:space="0" w:color="auto"/>
          </w:divBdr>
        </w:div>
        <w:div w:id="1038974649">
          <w:marLeft w:val="0"/>
          <w:marRight w:val="0"/>
          <w:marTop w:val="0"/>
          <w:marBottom w:val="0"/>
          <w:divBdr>
            <w:top w:val="none" w:sz="0" w:space="0" w:color="auto"/>
            <w:left w:val="none" w:sz="0" w:space="0" w:color="auto"/>
            <w:bottom w:val="none" w:sz="0" w:space="0" w:color="auto"/>
            <w:right w:val="none" w:sz="0" w:space="0" w:color="auto"/>
          </w:divBdr>
        </w:div>
        <w:div w:id="735133314">
          <w:marLeft w:val="0"/>
          <w:marRight w:val="0"/>
          <w:marTop w:val="0"/>
          <w:marBottom w:val="0"/>
          <w:divBdr>
            <w:top w:val="none" w:sz="0" w:space="0" w:color="auto"/>
            <w:left w:val="none" w:sz="0" w:space="0" w:color="auto"/>
            <w:bottom w:val="none" w:sz="0" w:space="0" w:color="auto"/>
            <w:right w:val="none" w:sz="0" w:space="0" w:color="auto"/>
          </w:divBdr>
        </w:div>
        <w:div w:id="146678543">
          <w:marLeft w:val="0"/>
          <w:marRight w:val="0"/>
          <w:marTop w:val="0"/>
          <w:marBottom w:val="0"/>
          <w:divBdr>
            <w:top w:val="none" w:sz="0" w:space="0" w:color="auto"/>
            <w:left w:val="none" w:sz="0" w:space="0" w:color="auto"/>
            <w:bottom w:val="none" w:sz="0" w:space="0" w:color="auto"/>
            <w:right w:val="none" w:sz="0" w:space="0" w:color="auto"/>
          </w:divBdr>
        </w:div>
        <w:div w:id="413626632">
          <w:marLeft w:val="0"/>
          <w:marRight w:val="0"/>
          <w:marTop w:val="0"/>
          <w:marBottom w:val="0"/>
          <w:divBdr>
            <w:top w:val="none" w:sz="0" w:space="0" w:color="auto"/>
            <w:left w:val="none" w:sz="0" w:space="0" w:color="auto"/>
            <w:bottom w:val="none" w:sz="0" w:space="0" w:color="auto"/>
            <w:right w:val="none" w:sz="0" w:space="0" w:color="auto"/>
          </w:divBdr>
        </w:div>
        <w:div w:id="1938826987">
          <w:marLeft w:val="0"/>
          <w:marRight w:val="0"/>
          <w:marTop w:val="0"/>
          <w:marBottom w:val="0"/>
          <w:divBdr>
            <w:top w:val="none" w:sz="0" w:space="0" w:color="auto"/>
            <w:left w:val="none" w:sz="0" w:space="0" w:color="auto"/>
            <w:bottom w:val="none" w:sz="0" w:space="0" w:color="auto"/>
            <w:right w:val="none" w:sz="0" w:space="0" w:color="auto"/>
          </w:divBdr>
        </w:div>
        <w:div w:id="228268883">
          <w:marLeft w:val="0"/>
          <w:marRight w:val="0"/>
          <w:marTop w:val="0"/>
          <w:marBottom w:val="0"/>
          <w:divBdr>
            <w:top w:val="none" w:sz="0" w:space="0" w:color="auto"/>
            <w:left w:val="none" w:sz="0" w:space="0" w:color="auto"/>
            <w:bottom w:val="none" w:sz="0" w:space="0" w:color="auto"/>
            <w:right w:val="none" w:sz="0" w:space="0" w:color="auto"/>
          </w:divBdr>
        </w:div>
        <w:div w:id="1287464720">
          <w:marLeft w:val="0"/>
          <w:marRight w:val="0"/>
          <w:marTop w:val="0"/>
          <w:marBottom w:val="0"/>
          <w:divBdr>
            <w:top w:val="none" w:sz="0" w:space="0" w:color="auto"/>
            <w:left w:val="none" w:sz="0" w:space="0" w:color="auto"/>
            <w:bottom w:val="none" w:sz="0" w:space="0" w:color="auto"/>
            <w:right w:val="none" w:sz="0" w:space="0" w:color="auto"/>
          </w:divBdr>
        </w:div>
        <w:div w:id="766854337">
          <w:marLeft w:val="0"/>
          <w:marRight w:val="0"/>
          <w:marTop w:val="0"/>
          <w:marBottom w:val="0"/>
          <w:divBdr>
            <w:top w:val="none" w:sz="0" w:space="0" w:color="auto"/>
            <w:left w:val="none" w:sz="0" w:space="0" w:color="auto"/>
            <w:bottom w:val="none" w:sz="0" w:space="0" w:color="auto"/>
            <w:right w:val="none" w:sz="0" w:space="0" w:color="auto"/>
          </w:divBdr>
        </w:div>
        <w:div w:id="825785313">
          <w:marLeft w:val="0"/>
          <w:marRight w:val="0"/>
          <w:marTop w:val="0"/>
          <w:marBottom w:val="0"/>
          <w:divBdr>
            <w:top w:val="none" w:sz="0" w:space="0" w:color="auto"/>
            <w:left w:val="none" w:sz="0" w:space="0" w:color="auto"/>
            <w:bottom w:val="none" w:sz="0" w:space="0" w:color="auto"/>
            <w:right w:val="none" w:sz="0" w:space="0" w:color="auto"/>
          </w:divBdr>
        </w:div>
      </w:divsChild>
    </w:div>
    <w:div w:id="19000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uriserv:OJ.L_.2014.159.01.0032.01.ENG" TargetMode="External"/><Relationship Id="rId3" Type="http://schemas.openxmlformats.org/officeDocument/2006/relationships/hyperlink" Target="https://ela.europa.eu/" TargetMode="External"/><Relationship Id="rId7" Type="http://schemas.openxmlformats.org/officeDocument/2006/relationships/hyperlink" Target="https://publications.europa.eu/lt/home" TargetMode="External"/><Relationship Id="rId2" Type="http://schemas.openxmlformats.org/officeDocument/2006/relationships/hyperlink" Target="https://eur-lex.europa.eu/eli/reg/2016/589/oj?locale=lt" TargetMode="External"/><Relationship Id="rId1" Type="http://schemas.openxmlformats.org/officeDocument/2006/relationships/hyperlink" Target="https://ec.europa.eu/social/BlobServlet?docId=20613&amp;langId=en" TargetMode="External"/><Relationship Id="rId6" Type="http://schemas.openxmlformats.org/officeDocument/2006/relationships/hyperlink" Target="https://ec.europa.eu/info/law/law-making-process/planning-and-proposing-law/better-regulation-why-and-how_lt" TargetMode="External"/><Relationship Id="rId5" Type="http://schemas.openxmlformats.org/officeDocument/2006/relationships/hyperlink" Target="https://publications.europa.eu/lt/home" TargetMode="External"/><Relationship Id="rId4" Type="http://schemas.openxmlformats.org/officeDocument/2006/relationships/hyperlink" Target="https://sustainabledevelopment.un.org/topics/sustainabledevelopmentgo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E92B18-3FFF-4983-9130-67D190CF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3025</Words>
  <Characters>21211</Characters>
  <Application>Microsoft Office Word</Application>
  <DocSecurity>0</DocSecurity>
  <Lines>336</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2019-08-26T07:09:00Z</dcterms:created>
  <dcterms:modified xsi:type="dcterms:W3CDTF">2019-09-05T06:30:00Z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SJ-026</vt:lpwstr>
  </property>
  <property fmtid="{D5CDD505-2E9C-101B-9397-08002B2CF9AE}" pid="8" name="DQCStatus">
    <vt:lpwstr>Green (DQC version 03)</vt:lpwstr>
  </property>
</Properties>
</file>