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6D0999AE-9361-46C3-9E66-1F31F45D2C7B" style="width:449.55pt;height:320.55pt">
            <v:imagedata r:id="rId9" o:title=""/>
          </v:shape>
        </w:pict>
      </w:r>
    </w:p>
    <w:bookmarkEnd w:id="0"/>
    <w:p>
      <w:pPr>
        <w:rPr>
          <w:rFonts w:ascii="Times New Roman" w:hAnsi="Times New Roman"/>
          <w:noProof/>
          <w:sz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240" w:line="240" w:lineRule="auto"/>
        <w:jc w:val="both"/>
        <w:rPr>
          <w:rFonts w:ascii="Times New Roman" w:hAnsi="Times New Roman"/>
          <w:b/>
          <w:noProof/>
          <w:sz w:val="24"/>
        </w:rPr>
      </w:pPr>
      <w:bookmarkStart w:id="1" w:name="_GoBack"/>
      <w:bookmarkEnd w:id="1"/>
      <w:r>
        <w:rPr>
          <w:rFonts w:ascii="Times New Roman" w:hAnsi="Times New Roman"/>
          <w:b/>
          <w:noProof/>
          <w:sz w:val="24"/>
        </w:rPr>
        <w:lastRenderedPageBreak/>
        <w:t>I. ÚVOD</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Táto devätnásta správa o ďalšom pokroku dosiahnutom pri budovaní účinnej a skutočnej bezpečnostnej únie sleduje vývoj v dvoch hlavných pilieroch: prvým je boj proti terorizmu a organizovanej trestnej činnosti, ako aj proti prostriedkom, ktorými sa podporujú, a druhým je posilňovanie našej obrany a budovanie odolnosti proti týmto hrozbám.</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Európania právom očakávajú, že im Únia zaistí bezpečnosť. Junckerova Komisia považuje od prvého dňa bezpečnosť za jednu z hlavných priorít. V dokumente Európskej rady „Nový strategický program na roky 2019 – 2024“ je „ochrana občanov a slobôd“ prvou zo štyroch hlavných priorít Únie.</w:t>
      </w:r>
      <w:r>
        <w:rPr>
          <w:rStyle w:val="FootnoteReference"/>
          <w:noProof/>
          <w:sz w:val="24"/>
        </w:rPr>
        <w:footnoteReference w:id="2"/>
      </w:r>
      <w:r>
        <w:rPr>
          <w:rFonts w:ascii="Times New Roman" w:hAnsi="Times New Roman"/>
          <w:noProof/>
          <w:sz w:val="24"/>
        </w:rPr>
        <w:t xml:space="preserve"> Európska rada okrem toho oznámila, že bude aj naďalej vyvíjať a zintenzívňovať úsilie Únie v oblasti boja proti terorizmu a cezhraničnej trestnej činnosti, a to aj prostredníctvom zlepšovania spolupráce a výmeny informácií a ďalšieho rozvoja spoločných nástrojov.</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Vďaka úzkej spolupráci medzi Európskym parlamentom, Radou a Komisiou sa Európskej únii podarilo výrazne pokročiť v spoločnom úsilí o vybudovanie účinnej a skutočnej bezpečnostnej únie, zaviesť viacero prioritných legislatívnych iniciatív a uskutočniť množstvo rozličných nelegislatívnych opatrení na podporu členských štátov a zvýšenie bezpečnosti všetkých občanov</w:t>
      </w:r>
      <w:r>
        <w:rPr>
          <w:rStyle w:val="FootnoteReference"/>
          <w:noProof/>
          <w:sz w:val="24"/>
        </w:rPr>
        <w:footnoteReference w:id="3"/>
      </w:r>
      <w:r>
        <w:rPr>
          <w:rFonts w:ascii="Times New Roman" w:hAnsi="Times New Roman"/>
          <w:noProof/>
          <w:sz w:val="24"/>
        </w:rPr>
        <w:t>. Únia prijala rozhodné kroky s cieľom obmedziť pole pôsobnosti teroristov a páchateľov trestnej činnosti. Zakázala získavanie a používanie určitých strelných zbraní a výbušnín a obmedzila prístup k financovaniu, aby teroristi nemohli disponovať nástrojmi umožňujúcimi páchanie útokov. EÚ zintenzívnila aj výmenu informácií medzi členskými štátmi a odstránila informačné medzery a slepé miesta. Zároveň bojovala proti radikalizácii, chránila Európanov na internete, bojovala proti kybernetickým hrozbám a posilňovala riadenie vonkajších hraníc Únie, ako aj medzinárodnú spoluprácu v oblasti bezpečnosti.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Viacero prioritných iniciatív v oblasti bezpečnostnej únie však ešte stále čaká na prijatie spoluzákonodarcami. V nadväznosti na vstup Európskeho parlamentu do deviateho funkčného obdobia 2. júla 2019 sa v tejto správe:</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stanovuje, v ktorých oblastiach by mali spoluzákonodarcovia konať, aby sa vyriešili bezprostredné hrozby. Obzvlášť naliehavo treba pritom konať v oblasti </w:t>
      </w:r>
      <w:r>
        <w:rPr>
          <w:rFonts w:ascii="Times New Roman" w:hAnsi="Times New Roman"/>
          <w:b/>
          <w:noProof/>
          <w:sz w:val="24"/>
        </w:rPr>
        <w:t>boja proti teroristickej propagande a radikalizácii na internete</w:t>
      </w:r>
      <w:r>
        <w:rPr>
          <w:rFonts w:ascii="Times New Roman" w:hAnsi="Times New Roman"/>
          <w:noProof/>
          <w:sz w:val="24"/>
        </w:rPr>
        <w:t>;</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stanovujú zatiaľ prejednávané prioritné iniciatívy v oblasti bezpečnostnej únie, v prípade ktorých sa od spoluzákonodarcov vyžaduje, aby podnikli ďalšie kroky s cieľom posilniť </w:t>
      </w:r>
      <w:r>
        <w:rPr>
          <w:rFonts w:ascii="Times New Roman" w:hAnsi="Times New Roman"/>
          <w:b/>
          <w:noProof/>
          <w:sz w:val="24"/>
        </w:rPr>
        <w:t>kybernetickú bezpečnosť</w:t>
      </w:r>
      <w:r>
        <w:rPr>
          <w:rFonts w:ascii="Times New Roman" w:hAnsi="Times New Roman"/>
          <w:noProof/>
          <w:sz w:val="24"/>
        </w:rPr>
        <w:t>, uľahčiť prístup k </w:t>
      </w:r>
      <w:r>
        <w:rPr>
          <w:rFonts w:ascii="Times New Roman" w:hAnsi="Times New Roman"/>
          <w:b/>
          <w:noProof/>
          <w:sz w:val="24"/>
        </w:rPr>
        <w:t>elektronickým dôkazom</w:t>
      </w:r>
      <w:r>
        <w:rPr>
          <w:rFonts w:ascii="Times New Roman" w:hAnsi="Times New Roman"/>
          <w:noProof/>
          <w:sz w:val="24"/>
        </w:rPr>
        <w:t xml:space="preserve"> a dokončiť prácu na silnejších a inteligentnejších informačných systémoch v oblasti bezpečnosti, riadenia hraníc a migrácie;</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poskytujú aktuálne informácie o naliehavej spoločnej práci začatej v marci 2019 s cieľom posúdiť a posilniť </w:t>
      </w:r>
      <w:r>
        <w:rPr>
          <w:rFonts w:ascii="Times New Roman" w:hAnsi="Times New Roman"/>
          <w:b/>
          <w:noProof/>
          <w:sz w:val="24"/>
        </w:rPr>
        <w:t>bezpečnosť sietí 5G</w:t>
      </w:r>
      <w:r>
        <w:rPr>
          <w:rFonts w:ascii="Times New Roman" w:hAnsi="Times New Roman"/>
          <w:noProof/>
          <w:sz w:val="24"/>
        </w:rPr>
        <w:t>, a to na základe vnútroštátnych posúdení rizika, ktoré mali členské štáty predložiť do 15. júla 2019;</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venuje pozornosť balíku štyroch správ súvisiacich s </w:t>
      </w:r>
      <w:r>
        <w:rPr>
          <w:rFonts w:ascii="Times New Roman" w:hAnsi="Times New Roman"/>
          <w:b/>
          <w:noProof/>
          <w:sz w:val="24"/>
        </w:rPr>
        <w:t>bojom proti praniu špinavých peňazí</w:t>
      </w:r>
      <w:r>
        <w:rPr>
          <w:rFonts w:ascii="Times New Roman" w:hAnsi="Times New Roman"/>
          <w:noProof/>
          <w:sz w:val="24"/>
        </w:rPr>
        <w:t>, ktorý Komisia prijala 24. júla 2019. V týchto správach sa analyzujú aktuálne riziká a zraniteľné miesta v oblasti prania špinavých peňazí a posudzuje sa v nich, ako sa v súkromnom a vo verejnom sektore uplatňuje príslušný regulačný rámec EÚ;</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rPr>
        <w:t>poskytujú aktualizované informácie o pokroku dosiahnutom od marca 2019</w:t>
      </w:r>
      <w:r>
        <w:rPr>
          <w:rStyle w:val="FootnoteReference"/>
          <w:noProof/>
          <w:sz w:val="24"/>
        </w:rPr>
        <w:footnoteReference w:id="4"/>
      </w:r>
      <w:r>
        <w:rPr>
          <w:rFonts w:ascii="Times New Roman" w:hAnsi="Times New Roman"/>
          <w:noProof/>
          <w:sz w:val="24"/>
        </w:rPr>
        <w:t>pri vykonávaní legislatívnych opatrení v oblasti bezpečnostnej únie, pričom interoperabilita informačných systémov je jednou z hlavných priorít, ktorú by mali členské štáty urýchlene a úplne vykonať;</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rPr>
        <w:t>hodnotia tak prebiehajúce práce, ktorých cieľom je bojovať proti dezinformáciám a chrániť voľby pred kybernetickými hrozbami, ako aj úsilie o zlepšenie pripravenosti a ochrany pred bezpečnostnými hrozbami a spoluprácu s medzinárodnými partnermi v otázkach bezpečnosti.</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II. PLNENIE LEGISLATÍVNYCH PRIORÍT</w:t>
      </w:r>
    </w:p>
    <w:p>
      <w:pPr>
        <w:spacing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rPr>
        <w:t>1. Predchádzanie radikalizácii na internete a v komunitách</w:t>
      </w:r>
    </w:p>
    <w:p>
      <w:pPr>
        <w:widowControl w:val="0"/>
        <w:spacing w:after="240" w:line="240" w:lineRule="auto"/>
        <w:jc w:val="both"/>
        <w:rPr>
          <w:rFonts w:ascii="Times New Roman" w:hAnsi="Times New Roman"/>
          <w:noProof/>
          <w:sz w:val="24"/>
        </w:rPr>
      </w:pPr>
      <w:r>
        <w:rPr>
          <w:rFonts w:ascii="Times New Roman" w:hAnsi="Times New Roman"/>
          <w:noProof/>
          <w:sz w:val="24"/>
        </w:rPr>
        <w:t>Ústredným prvkom opatrení, ktorými EÚ reaguje na terorizmus, je predchádzanie radikalizácii tak na internete, ako aj v našich komunitách.</w:t>
      </w:r>
    </w:p>
    <w:p>
      <w:pPr>
        <w:widowControl w:val="0"/>
        <w:spacing w:after="240" w:line="240" w:lineRule="auto"/>
        <w:jc w:val="both"/>
        <w:rPr>
          <w:rFonts w:ascii="Times New Roman" w:eastAsia="Calibri" w:hAnsi="Times New Roman" w:cs="Times New Roman"/>
          <w:noProof/>
          <w:spacing w:val="-8"/>
          <w:sz w:val="24"/>
          <w:szCs w:val="24"/>
        </w:rPr>
      </w:pPr>
      <w:r>
        <w:rPr>
          <w:rFonts w:ascii="Times New Roman" w:hAnsi="Times New Roman"/>
          <w:noProof/>
          <w:spacing w:val="-8"/>
          <w:sz w:val="24"/>
        </w:rPr>
        <w:t>Hrôzostrašný útok v meste Christchurch, ku ktorému došlo 15. marca 2019 na Novom Zélande, nám hrozivo pripomenul, ako sa dá internet zneužiť na účely terorizmu, či už je motivovaný džihádizmom, krajne pravicovým extrémizmom alebo akoukoľvek ďalšou extrémistickou ideológiou. Vzhľadom na to, akou rýchlosťou a v akom rozsahu sa naživo vysielané video z útoku v meste Christchurch šírilo na internetových platformách, sa ukázalo, že je mimoriadne dôležité, aby mali internetové platformy zavedené náležité opatrenia na zastavenie rýchleho šírenia takéhoto obsahu.</w:t>
      </w:r>
    </w:p>
    <w:p>
      <w:pPr>
        <w:widowControl w:val="0"/>
        <w:spacing w:after="240" w:line="240" w:lineRule="auto"/>
        <w:jc w:val="both"/>
        <w:rPr>
          <w:rFonts w:ascii="Times New Roman" w:hAnsi="Times New Roman"/>
          <w:noProof/>
          <w:spacing w:val="-2"/>
          <w:sz w:val="24"/>
        </w:rPr>
      </w:pPr>
      <w:r>
        <w:rPr>
          <w:rFonts w:ascii="Times New Roman" w:hAnsi="Times New Roman"/>
          <w:noProof/>
          <w:spacing w:val="-2"/>
          <w:sz w:val="24"/>
        </w:rPr>
        <w:t xml:space="preserve">V reakcii na to hlavy štátov alebo predsedovia vlád niektorých členských štátov a tretích krajín, predseda Juncker a online platformy podporili 15. mája 2019 tzv. </w:t>
      </w:r>
      <w:r>
        <w:rPr>
          <w:rFonts w:ascii="Times New Roman" w:hAnsi="Times New Roman"/>
          <w:b/>
          <w:noProof/>
          <w:spacing w:val="-2"/>
          <w:sz w:val="24"/>
        </w:rPr>
        <w:t>Výzvu na činnosť z Christchurch</w:t>
      </w:r>
      <w:r>
        <w:rPr>
          <w:rStyle w:val="FootnoteReference"/>
          <w:noProof/>
          <w:spacing w:val="-2"/>
          <w:sz w:val="24"/>
        </w:rPr>
        <w:footnoteReference w:id="5"/>
      </w:r>
      <w:r>
        <w:rPr>
          <w:rFonts w:ascii="Times New Roman" w:hAnsi="Times New Roman"/>
          <w:noProof/>
          <w:spacing w:val="-2"/>
          <w:sz w:val="24"/>
        </w:rPr>
        <w:t>, v ktorej sa vytyčujú spoločné opatrenia s cieľom odstrániť teroristický a násilný extrémistický obsah online. Ďalšie záväzky v tejto súvislosti prijali skupiny G7</w:t>
      </w:r>
      <w:r>
        <w:rPr>
          <w:rStyle w:val="FootnoteReference"/>
          <w:noProof/>
          <w:spacing w:val="-2"/>
          <w:sz w:val="24"/>
        </w:rPr>
        <w:footnoteReference w:id="6"/>
      </w:r>
      <w:r>
        <w:rPr>
          <w:rFonts w:ascii="Times New Roman" w:hAnsi="Times New Roman"/>
          <w:noProof/>
          <w:spacing w:val="-2"/>
          <w:sz w:val="24"/>
        </w:rPr>
        <w:t xml:space="preserve"> a G20</w:t>
      </w:r>
      <w:r>
        <w:rPr>
          <w:rStyle w:val="FootnoteReference"/>
          <w:noProof/>
          <w:spacing w:val="-2"/>
          <w:sz w:val="24"/>
        </w:rPr>
        <w:footnoteReference w:id="7"/>
      </w:r>
      <w:r>
        <w:rPr>
          <w:rFonts w:ascii="Times New Roman" w:hAnsi="Times New Roman"/>
          <w:noProof/>
          <w:spacing w:val="-2"/>
          <w:sz w:val="24"/>
        </w:rPr>
        <w:t>.</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Komisia už zjavné a aktuálne nebezpečenstvo, ktorým je teroristický obsah online, riešila vo svojom </w:t>
      </w:r>
      <w:r>
        <w:rPr>
          <w:rFonts w:ascii="Times New Roman" w:hAnsi="Times New Roman"/>
          <w:b/>
          <w:noProof/>
          <w:sz w:val="24"/>
        </w:rPr>
        <w:t>legislatívnom návrhu</w:t>
      </w:r>
      <w:r>
        <w:rPr>
          <w:rFonts w:ascii="Times New Roman" w:hAnsi="Times New Roman"/>
          <w:noProof/>
          <w:sz w:val="24"/>
        </w:rPr>
        <w:t>, ktorý predseda Juncker oznámil vo svojom prejave o stave Únie v roku 2018. Navrhuje sa v ňom jasný a harmonizovaný právny rámec na predchádzanie zneužívaniu poskytovateľov hostingových služieb na šírenie teroristického obsahu online</w:t>
      </w:r>
      <w:r>
        <w:rPr>
          <w:rStyle w:val="FootnoteReference"/>
          <w:noProof/>
          <w:sz w:val="24"/>
        </w:rPr>
        <w:footnoteReference w:id="8"/>
      </w:r>
      <w:r>
        <w:rPr>
          <w:rFonts w:ascii="Times New Roman" w:hAnsi="Times New Roman"/>
          <w:noProof/>
          <w:sz w:val="24"/>
        </w:rPr>
        <w:t>. Na základe navrhovaných opatrení by internetové platformy boli povinné odstrániť teroristický obsah do jednej hodiny od prijatia príkazu na jeho odstránenie od príslušných orgánov v ktoromkoľvek členskom štáte. Okrem toho by platforma zneužívaná na šírenie teroristického obsahu bola povinná na základe jasných pravidiel a záruk prijať proaktívne opatrenia s cieľom odhaliť tento obsah a zabrániť jeho ďalšiemu výskytu. Orgány členských štátov by museli na tento účel zabezpečiť osobitné kapacity na presadzovanie práva, ktoré by mali disponovať dostatočnými zdrojmi na účinné odhaľovanie teroristického obsahu a vydávanie príkazov na jeho odstránenie.</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Tým sa zaistí rýchly a účinný systém v rámci celej Únie a zavedú sa spoľahlivé záruky vrátane účinných mechanizmov na podávanie sťažností a zaisťovanie súdnych prostriedkov nápravy. Navrhované opatrenia pomôžu zaručiť bezproblémové fungovanie digitálneho jednotného trhu, pričom sa zvýši bezpečnosť, zlepší sa dôvera online a posilnia sa záruky slobody prejavu a práva na informácie.</w:t>
      </w:r>
    </w:p>
    <w:p>
      <w:pPr>
        <w:widowControl w:val="0"/>
        <w:spacing w:after="240" w:line="240" w:lineRule="auto"/>
        <w:jc w:val="both"/>
        <w:rPr>
          <w:rFonts w:ascii="Times New Roman" w:hAnsi="Times New Roman" w:cs="Times New Roman"/>
          <w:noProof/>
          <w:spacing w:val="-2"/>
          <w:sz w:val="24"/>
          <w:szCs w:val="24"/>
        </w:rPr>
      </w:pPr>
      <w:r>
        <w:rPr>
          <w:rFonts w:ascii="Times New Roman" w:hAnsi="Times New Roman"/>
          <w:noProof/>
          <w:spacing w:val="-2"/>
          <w:sz w:val="24"/>
        </w:rPr>
        <w:t>V Rade sa ministri spravodlivosti a vnútra v decembri 2018 dohodli na všeobecnom postoji k návrhu. Európsky parlament prijal svoju pozíciu v prvom čítaní v apríli 2019.</w:t>
      </w:r>
      <w:r>
        <w:rPr>
          <w:rFonts w:ascii="Times New Roman" w:hAnsi="Times New Roman"/>
          <w:b/>
          <w:noProof/>
          <w:spacing w:val="-2"/>
          <w:sz w:val="24"/>
        </w:rPr>
        <w:t xml:space="preserve"> Komisia vyzýva oboch spoluzákonodarcov, aby čo najrýchlejšie začali medziinštitucionálne rokovania o tejto prioritnej iniciatíve na odstránenie teroristického obsahu online</w:t>
      </w:r>
      <w:r>
        <w:rPr>
          <w:rFonts w:ascii="Times New Roman" w:hAnsi="Times New Roman"/>
          <w:noProof/>
          <w:spacing w:val="-2"/>
          <w:sz w:val="24"/>
        </w:rPr>
        <w:t xml:space="preserve"> s cieľom urýchlene dosiahnuť dohodu o regulačnom rámci EÚ s jasnými pravidlami a zárukami.</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Komisia zároveň pokračuje vo svojej spolupráci s online platformami v rámci </w:t>
      </w:r>
      <w:r>
        <w:rPr>
          <w:rFonts w:ascii="Times New Roman" w:hAnsi="Times New Roman"/>
          <w:b/>
          <w:noProof/>
          <w:sz w:val="24"/>
        </w:rPr>
        <w:t>internetového fóra EÚ</w:t>
      </w:r>
      <w:r>
        <w:rPr>
          <w:rStyle w:val="FootnoteReference"/>
          <w:b/>
          <w:noProof/>
          <w:sz w:val="24"/>
        </w:rPr>
        <w:footnoteReference w:id="9"/>
      </w:r>
      <w:r>
        <w:rPr>
          <w:rFonts w:ascii="Times New Roman" w:hAnsi="Times New Roman"/>
          <w:noProof/>
          <w:sz w:val="24"/>
        </w:rPr>
        <w:t xml:space="preserve">. Ako už oznámil predseda Juncker na stretnutí v Paríži 15. mája 2019, ktoré sa týkalo Výzvy na činnosť z Christchurch, Komisia spolu s Europolom začali pracovať na príprave </w:t>
      </w:r>
      <w:r>
        <w:rPr>
          <w:rFonts w:ascii="Times New Roman" w:hAnsi="Times New Roman"/>
          <w:b/>
          <w:noProof/>
          <w:sz w:val="24"/>
        </w:rPr>
        <w:t>krízového protokolu EÚ</w:t>
      </w:r>
      <w:r>
        <w:rPr>
          <w:rFonts w:ascii="Times New Roman" w:hAnsi="Times New Roman"/>
          <w:noProof/>
          <w:sz w:val="24"/>
        </w:rPr>
        <w:t xml:space="preserve"> s cieľom umožniť vládam a internetovým platformám, aby dokázali rýchlo a koordinovane reagovať na šírenie teroristického obsahu online, napr. bezprostredne po teroristickom útoku. Táto práca je súčasťou medzinárodného úsilia o vykonávanie Výzvy na činnosť z Christchurch. Okrem ďalších diskusií s členskými štátmi a príslušným odvetvím a simulačného cvičenia naplánovaného na september 2019 s cieľom simulovať núdzovú situáciu Komisia zvolá 7. októbra 2019 zasadnutie internetového fóra EÚ na úrovni ministrov s cieľom schváliť </w:t>
      </w:r>
      <w:r>
        <w:rPr>
          <w:rFonts w:ascii="Times New Roman" w:hAnsi="Times New Roman"/>
          <w:bCs/>
          <w:noProof/>
          <w:sz w:val="24"/>
        </w:rPr>
        <w:t>krízový protokol EÚ</w:t>
      </w:r>
      <w:r>
        <w:rPr>
          <w:rFonts w:ascii="Times New Roman" w:hAnsi="Times New Roman"/>
          <w:noProof/>
          <w:sz w:val="24"/>
        </w:rPr>
        <w:t>.</w:t>
      </w:r>
    </w:p>
    <w:p>
      <w:pPr>
        <w:widowControl w:val="0"/>
        <w:spacing w:after="240" w:line="240" w:lineRule="auto"/>
        <w:jc w:val="both"/>
        <w:rPr>
          <w:rFonts w:ascii="Times New Roman" w:hAnsi="Times New Roman"/>
          <w:noProof/>
          <w:sz w:val="24"/>
        </w:rPr>
      </w:pPr>
      <w:r>
        <w:rPr>
          <w:rFonts w:ascii="Times New Roman" w:hAnsi="Times New Roman"/>
          <w:noProof/>
          <w:sz w:val="24"/>
        </w:rPr>
        <w:t xml:space="preserve">Komisia sa navyše aj naďalej snaží </w:t>
      </w:r>
      <w:r>
        <w:rPr>
          <w:rFonts w:ascii="Times New Roman" w:hAnsi="Times New Roman"/>
          <w:b/>
          <w:noProof/>
          <w:sz w:val="24"/>
        </w:rPr>
        <w:t>podporovať členské štáty a miestnych aktérov pri predchádzaní radikalizácii a v boji proti nej</w:t>
      </w:r>
      <w:r>
        <w:rPr>
          <w:rFonts w:ascii="Times New Roman" w:hAnsi="Times New Roman"/>
          <w:noProof/>
          <w:sz w:val="24"/>
        </w:rPr>
        <w:t xml:space="preserve"> priamo v miestnych komunitách v celej Európe. To si vyžaduje, aby sa vyvíjalo dlhodobé udržateľné úsilie, na ktorom sa budú podieľať všetci príslušní aktéri na miestnej a vnútroštátnej úrovni, ako aj na úrovni EÚ. Dňa 17. júna 2019 sa konalo druhé stretnutie </w:t>
      </w:r>
      <w:r>
        <w:rPr>
          <w:rFonts w:ascii="Times New Roman" w:hAnsi="Times New Roman"/>
          <w:b/>
          <w:noProof/>
          <w:sz w:val="24"/>
        </w:rPr>
        <w:t>riadiacej rady pre opatrenia Únie v oblasti predchádzania radikalizácii a boja proti nej</w:t>
      </w:r>
      <w:r>
        <w:rPr>
          <w:rFonts w:ascii="Times New Roman" w:hAnsi="Times New Roman"/>
          <w:noProof/>
          <w:sz w:val="24"/>
        </w:rPr>
        <w:t xml:space="preserve">, ktorá bola zriadená v auguste 2018 s cieľom radiť Komisii v tom, ako by sa mohla posilňovať politická reakcia EÚ v tejto oblasti. Na tomto stretnutí sa preskúmali ďalšie opatrenia v prioritných oblastiach, akými sú radikalizácia vo väzniciach a boj proti extrémistickým ideológiám. Keďže odborníci pôsobiaci v prvej línii a na miestnej úrovni majú často najlepšie predpoklady na to, aby identifikovali prvé varovné signály radikalizácie, ako aj spôsoby ich riešenia, </w:t>
      </w:r>
      <w:r>
        <w:rPr>
          <w:rFonts w:ascii="Times New Roman" w:hAnsi="Times New Roman"/>
          <w:b/>
          <w:noProof/>
          <w:sz w:val="24"/>
        </w:rPr>
        <w:t>sieť na zvyšovanie povedomia o radikalizácii</w:t>
      </w:r>
      <w:r>
        <w:rPr>
          <w:rStyle w:val="FootnoteReference"/>
          <w:noProof/>
          <w:sz w:val="24"/>
        </w:rPr>
        <w:footnoteReference w:id="10"/>
      </w:r>
      <w:r>
        <w:rPr>
          <w:rFonts w:ascii="Times New Roman" w:hAnsi="Times New Roman"/>
          <w:noProof/>
          <w:sz w:val="24"/>
        </w:rPr>
        <w:t xml:space="preserve"> , ktorá je financovaná z prostriedkov EÚ, pokračuje v podporovaní aktérov v prvej línii, pričom spája približne 5 000 odborníkov z radov občianskej spoločnosti, zo škôl a z radov polície, ako aj vnútroštátnych koordinátorov a tvorcov politík.</w:t>
      </w:r>
    </w:p>
    <w:p>
      <w:pPr>
        <w:widowControl w:val="0"/>
        <w:spacing w:after="240" w:line="240" w:lineRule="auto"/>
        <w:jc w:val="both"/>
        <w:rPr>
          <w:rFonts w:ascii="Times New Roman" w:eastAsia="Calibri" w:hAnsi="Times New Roman" w:cs="Times New Roman"/>
          <w:iCs/>
          <w:noProof/>
          <w:spacing w:val="-2"/>
          <w:sz w:val="24"/>
          <w:szCs w:val="24"/>
        </w:rPr>
      </w:pPr>
      <w:r>
        <w:rPr>
          <w:rFonts w:ascii="Times New Roman" w:hAnsi="Times New Roman"/>
          <w:noProof/>
          <w:spacing w:val="-2"/>
          <w:sz w:val="24"/>
        </w:rPr>
        <w:t xml:space="preserve">Nedávna spolupráca odborníkov v prvej línii v rámci tejto siete viedla k hlbšiemu pochopeniu výziev spojených s krajne pravicovým extrémizmom. Tento rok sieť na zvyšovanie povedomia o radikalizácii zverejní </w:t>
      </w:r>
      <w:r>
        <w:rPr>
          <w:rFonts w:ascii="Times New Roman" w:hAnsi="Times New Roman"/>
          <w:bCs/>
          <w:noProof/>
          <w:spacing w:val="-2"/>
          <w:sz w:val="24"/>
        </w:rPr>
        <w:t>informačné listy s cieľom pomôcť tvorcom politík a odborníkom identifikovať hlavné formy a prejavy krajne pravicového a islamistického extrémizmu,</w:t>
      </w:r>
      <w:r>
        <w:rPr>
          <w:rFonts w:ascii="Times New Roman" w:hAnsi="Times New Roman"/>
          <w:noProof/>
          <w:spacing w:val="-2"/>
          <w:sz w:val="24"/>
        </w:rPr>
        <w:t xml:space="preserve"> ako sú kľúčové argumenty, jazyk, formy, symboly, typológie a stratégie. Napokon, keďže v popredí pri predchádzaní radikalizácii a boji proti nej stoja miestni aktéri a </w:t>
      </w:r>
      <w:r>
        <w:rPr>
          <w:rFonts w:ascii="Times New Roman" w:hAnsi="Times New Roman"/>
          <w:b/>
          <w:noProof/>
          <w:spacing w:val="-2"/>
          <w:sz w:val="24"/>
        </w:rPr>
        <w:t>mestá</w:t>
      </w:r>
      <w:r>
        <w:rPr>
          <w:rFonts w:ascii="Times New Roman" w:hAnsi="Times New Roman"/>
          <w:noProof/>
          <w:spacing w:val="-2"/>
          <w:sz w:val="24"/>
        </w:rPr>
        <w:t>, Komisia podporuje mestské iniciatívy v oblasti boja proti radikalizácii. V </w:t>
      </w:r>
      <w:r>
        <w:rPr>
          <w:rFonts w:ascii="Times New Roman" w:hAnsi="Times New Roman"/>
          <w:iCs/>
          <w:noProof/>
          <w:spacing w:val="-2"/>
          <w:sz w:val="24"/>
        </w:rPr>
        <w:t>nadväznosti na konferenciu „Mestá EÚ proti radikalizácii“, ktorá sa konala 26. februára 2019, sa 8. júla 2019 uskutočnilo prvé stretnutie pilotnej skupiny približne 20 miest, ktoré zorganizoval primátor Štrasburgu a ktorého cieľom bolo zintenzívniť výmenu najlepších postupov a podporiť úsilie miest v tejto oblasti.</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rPr>
        <w:t>Súčasne pokračuje práca zameraná na podporu partnerských krajín pri riešení radikalizácie, ktorá môže viesť k terorizmu, vrátane radikalizácie vo väzniciach.</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rPr>
        <w:t>V snahe bojovať proti hrozbe, ktorú predstavuje teroristický obsah online, Komisia vyzýva Európsky parlament a Radu, aby: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tc>
          <w:tcPr>
            <w:tcW w:w="9288" w:type="dxa"/>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začali rokovania o legislatívnom návrhu na predchádzanie šíreniu </w:t>
            </w:r>
            <w:r>
              <w:rPr>
                <w:rFonts w:ascii="Times New Roman" w:hAnsi="Times New Roman"/>
                <w:b/>
                <w:noProof/>
                <w:sz w:val="24"/>
              </w:rPr>
              <w:t>teroristického obsahu online</w:t>
            </w:r>
            <w:r>
              <w:rPr>
                <w:rFonts w:ascii="Times New Roman" w:hAnsi="Times New Roman"/>
                <w:noProof/>
                <w:sz w:val="24"/>
              </w:rPr>
              <w:t xml:space="preserve"> s cieľom urýchlene dosiahnuť dohodu o regulačnom rámci EÚ s jasnými pravidlami a zárukami.</w:t>
            </w:r>
          </w:p>
        </w:tc>
      </w:tr>
    </w:tbl>
    <w:p>
      <w:pPr>
        <w:spacing w:before="240" w:after="240" w:line="240" w:lineRule="auto"/>
        <w:jc w:val="both"/>
        <w:rPr>
          <w:rFonts w:ascii="Times New Roman" w:hAnsi="Times New Roman"/>
          <w:i/>
          <w:iCs/>
          <w:noProof/>
          <w:sz w:val="24"/>
        </w:rPr>
      </w:pPr>
      <w:r>
        <w:rPr>
          <w:rFonts w:ascii="Times New Roman" w:hAnsi="Times New Roman"/>
          <w:i/>
          <w:iCs/>
          <w:noProof/>
          <w:sz w:val="24"/>
        </w:rPr>
        <w:t>2. Posilnenie kybernetickej bezpečnosti</w:t>
      </w:r>
    </w:p>
    <w:p>
      <w:pPr>
        <w:spacing w:line="240" w:lineRule="auto"/>
        <w:jc w:val="both"/>
        <w:rPr>
          <w:rFonts w:ascii="Times New Roman" w:hAnsi="Times New Roman"/>
          <w:noProof/>
          <w:spacing w:val="-6"/>
          <w:sz w:val="24"/>
        </w:rPr>
      </w:pPr>
      <w:r>
        <w:rPr>
          <w:rFonts w:ascii="Times New Roman" w:hAnsi="Times New Roman"/>
          <w:noProof/>
          <w:spacing w:val="-6"/>
          <w:sz w:val="24"/>
        </w:rPr>
        <w:t>Kybernetická bezpečnosť naďalej predstavuje kľúčovú bezpečnostnú výzvu. EÚ dosiahla významný pokrok</w:t>
      </w:r>
      <w:r>
        <w:rPr>
          <w:rStyle w:val="FootnoteReference"/>
          <w:noProof/>
          <w:spacing w:val="-6"/>
          <w:sz w:val="24"/>
        </w:rPr>
        <w:footnoteReference w:id="11"/>
      </w:r>
      <w:r>
        <w:rPr>
          <w:rFonts w:ascii="Times New Roman" w:hAnsi="Times New Roman"/>
          <w:noProof/>
          <w:spacing w:val="-6"/>
          <w:sz w:val="24"/>
        </w:rPr>
        <w:t xml:space="preserve"> pri riešení „klasických“ kybernetických hrozieb zacielených na systémy a údaje vďaka tomu, že prijala opatrenia stanovené v spoločnom oznámení</w:t>
      </w:r>
      <w:r>
        <w:rPr>
          <w:rFonts w:ascii="Times New Roman" w:hAnsi="Times New Roman" w:cs="Times New Roman"/>
          <w:noProof/>
          <w:spacing w:val="-6"/>
          <w:sz w:val="24"/>
          <w:vertAlign w:val="superscript"/>
        </w:rPr>
        <w:footnoteReference w:id="12"/>
      </w:r>
      <w:r>
        <w:rPr>
          <w:rFonts w:ascii="Times New Roman" w:hAnsi="Times New Roman"/>
          <w:noProof/>
          <w:spacing w:val="-6"/>
          <w:sz w:val="24"/>
        </w:rPr>
        <w:t xml:space="preserve"> zo septembra 2017 s názvom „Odolnosť, odrádzanie a obrana: budovanie silnej kybernetickej bezpečnosti pre EÚ“. Medzi tieto opatrenia patrí akt EÚ o kybernetickej bezpečnosti</w:t>
      </w:r>
      <w:r>
        <w:rPr>
          <w:rStyle w:val="FootnoteReference"/>
          <w:noProof/>
          <w:spacing w:val="-6"/>
          <w:sz w:val="24"/>
        </w:rPr>
        <w:footnoteReference w:id="13"/>
      </w:r>
      <w:r>
        <w:rPr>
          <w:rFonts w:ascii="Times New Roman" w:hAnsi="Times New Roman"/>
          <w:noProof/>
          <w:spacing w:val="-6"/>
          <w:sz w:val="24"/>
        </w:rPr>
        <w:t>, ktorým sa Agentúre Európskej únie pre kybernetickú bezpečnosť udeľuje trvalý mandát, posilňuje sa jej úloha a zriaďuje sa rámec EÚ pre certifikáciu kybernetickej bezpečnosti. Komisia sa zaoberala aj požiadavkami špecifickými pre jednotlivé odvetvia, napr. prostredníctvom svojho odporúčania o kybernetickej bezpečnosti v odvetní energetiky prijatého 3. apríla 2019</w:t>
      </w:r>
      <w:r>
        <w:rPr>
          <w:rStyle w:val="FootnoteReference"/>
          <w:noProof/>
          <w:spacing w:val="-6"/>
          <w:sz w:val="24"/>
        </w:rPr>
        <w:footnoteReference w:id="14"/>
      </w:r>
      <w:r>
        <w:rPr>
          <w:rFonts w:ascii="Times New Roman" w:hAnsi="Times New Roman"/>
          <w:noProof/>
          <w:spacing w:val="-6"/>
          <w:sz w:val="24"/>
        </w:rPr>
        <w:t>. Zvyšujúca sa intenzita činností aktérov s nekalými úmyslami, ktorí sa zameriavajú na rôznorodé ciele a obete, však znamená, že boj proti počítačovej kriminalite a posilnenie kybernetickej bezpečnosti aj naďalej zostávajú prioritou činnosti EÚ.</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Európsky parlament a Rada by ešte mali dospieť k dohode o </w:t>
      </w:r>
      <w:r>
        <w:rPr>
          <w:rFonts w:ascii="Times New Roman" w:hAnsi="Times New Roman"/>
          <w:bCs/>
          <w:noProof/>
          <w:sz w:val="24"/>
        </w:rPr>
        <w:t xml:space="preserve">prioritnej iniciatíve Komisie, ktorá sa týka zriadenia </w:t>
      </w:r>
      <w:r>
        <w:rPr>
          <w:rFonts w:ascii="Times New Roman" w:hAnsi="Times New Roman"/>
          <w:b/>
          <w:bCs/>
          <w:noProof/>
          <w:sz w:val="24"/>
        </w:rPr>
        <w:t>Európskeho centra odvetvových, technologických a výskumných kompetencií v oblasti kybernetickej bezpečnosti a siete národných koordinačných centier</w:t>
      </w:r>
      <w:r>
        <w:rPr>
          <w:rStyle w:val="FootnoteReference"/>
          <w:bCs/>
          <w:noProof/>
          <w:sz w:val="24"/>
        </w:rPr>
        <w:footnoteReference w:id="15"/>
      </w:r>
      <w:r>
        <w:rPr>
          <w:rFonts w:ascii="Times New Roman" w:hAnsi="Times New Roman"/>
          <w:noProof/>
          <w:sz w:val="24"/>
        </w:rPr>
        <w:t>.</w:t>
      </w:r>
      <w:r>
        <w:rPr>
          <w:rFonts w:ascii="Times New Roman" w:hAnsi="Times New Roman"/>
          <w:bCs/>
          <w:noProof/>
          <w:sz w:val="24"/>
        </w:rPr>
        <w:t xml:space="preserve"> </w:t>
      </w:r>
      <w:r>
        <w:rPr>
          <w:rFonts w:ascii="Times New Roman" w:hAnsi="Times New Roman"/>
          <w:noProof/>
          <w:sz w:val="24"/>
        </w:rPr>
        <w:t xml:space="preserve">Cieľom návrhu je podporiť technologické a odvetvové kapacity v oblasti kybernetickej bezpečnosti a zvýšiť konkurencieschopnosť odvetvia kybernetickej bezpečnosti Únie. Obaja spoluzákonodarcovia prijali svoje mandáty na rokovanie v marci 2019. Keďže medziinštitucionálne rokovania nebolo možné uzavrieť pred koncom predchádzajúceho funkčného obdobia Európskeho parlamentu, Európsky parlament formálne prijal svoju pozíciu v prvom čítaní. Medzitým pokračujú diskusie medzi členskými štátmi v Rade, pričom osobitný dôraz sa kladie na vzájomný vzťah medzi navrhovaným nariadením, ktorým sa zriaďuje centrum kompetencií v oblasti kybernetickej bezpečnosti a uvedená sieť, na jednej strane a programami Európsky horizont a Digitálna Európa na druhej strane. </w:t>
      </w:r>
      <w:r>
        <w:rPr>
          <w:rFonts w:ascii="Times New Roman" w:hAnsi="Times New Roman"/>
          <w:b/>
          <w:noProof/>
          <w:sz w:val="24"/>
        </w:rPr>
        <w:t>Komisia vyzýva oboch spoluzákonodarcov, aby obnovili a urýchlene uzavreli medziinštitucionálne rokovania o tejto prioritnej iniciatíve na posilnenie kybernetickej bezpečnosti.</w:t>
      </w:r>
    </w:p>
    <w:p>
      <w:pPr>
        <w:widowControl w:val="0"/>
        <w:spacing w:after="240" w:line="240" w:lineRule="auto"/>
        <w:jc w:val="both"/>
        <w:rPr>
          <w:rFonts w:ascii="Times New Roman" w:hAnsi="Times New Roman"/>
          <w:noProof/>
          <w:spacing w:val="-4"/>
          <w:sz w:val="24"/>
        </w:rPr>
      </w:pPr>
      <w:r>
        <w:rPr>
          <w:rFonts w:ascii="Times New Roman" w:hAnsi="Times New Roman"/>
          <w:noProof/>
          <w:spacing w:val="-4"/>
          <w:sz w:val="24"/>
        </w:rPr>
        <w:t>Komisia zatiaľ pokračuje v </w:t>
      </w:r>
      <w:r>
        <w:rPr>
          <w:rFonts w:ascii="Times New Roman" w:hAnsi="Times New Roman"/>
          <w:b/>
          <w:noProof/>
          <w:spacing w:val="-4"/>
          <w:sz w:val="24"/>
        </w:rPr>
        <w:t>podporovaní výskumu a inovácie</w:t>
      </w:r>
      <w:r>
        <w:rPr>
          <w:rFonts w:ascii="Times New Roman" w:hAnsi="Times New Roman"/>
          <w:noProof/>
          <w:spacing w:val="-4"/>
          <w:sz w:val="24"/>
        </w:rPr>
        <w:t xml:space="preserve"> v súvislosti s kybernetickou bezpečnosťou, pričom sprístupnila 135 miliónov EUR v aktuálnom viacročnom finančnom rámci na projekty v oblastiach, ako sú kybernetická bezpečnosť v kritických infraštruktúrach, spravodajská bezpečnosť a riadenie súkromia, ako aj nástroje určené osobitne pre občanov a malé a stredné podniky</w:t>
      </w:r>
      <w:r>
        <w:rPr>
          <w:rStyle w:val="FootnoteReference"/>
          <w:noProof/>
          <w:spacing w:val="-4"/>
          <w:sz w:val="24"/>
        </w:rPr>
        <w:footnoteReference w:id="16"/>
      </w:r>
      <w:r>
        <w:rPr>
          <w:rFonts w:ascii="Times New Roman" w:hAnsi="Times New Roman"/>
          <w:noProof/>
          <w:spacing w:val="-4"/>
          <w:sz w:val="24"/>
        </w:rPr>
        <w:t>. Komisia v júli 2019 vydala novú výzvu na predkladanie návrhov v rámci programu Nástroj na prepájanie Európy a sprístupnila 10 miliónov EUR na financovanie z prostriedkov EÚ pre kľúčových aktérov uvedených v </w:t>
      </w:r>
      <w:r>
        <w:rPr>
          <w:rFonts w:ascii="Times New Roman" w:hAnsi="Times New Roman"/>
          <w:bCs/>
          <w:noProof/>
          <w:spacing w:val="-4"/>
          <w:sz w:val="24"/>
        </w:rPr>
        <w:t>smernici o opatreniach na zabezpečenie vysokej spoločnej úrovne bezpečnosti sietí a informačných systémov v Únii</w:t>
      </w:r>
      <w:r>
        <w:rPr>
          <w:rFonts w:ascii="Times New Roman" w:hAnsi="Times New Roman"/>
          <w:noProof/>
          <w:spacing w:val="-4"/>
          <w:sz w:val="24"/>
        </w:rPr>
        <w:t xml:space="preserve"> (smernica NIS)</w:t>
      </w:r>
      <w:r>
        <w:rPr>
          <w:rStyle w:val="FootnoteReference"/>
          <w:noProof/>
          <w:spacing w:val="-4"/>
          <w:sz w:val="24"/>
        </w:rPr>
        <w:footnoteReference w:id="17"/>
      </w:r>
      <w:r>
        <w:rPr>
          <w:rFonts w:ascii="Times New Roman" w:hAnsi="Times New Roman"/>
          <w:noProof/>
          <w:spacing w:val="-4"/>
          <w:sz w:val="24"/>
        </w:rPr>
        <w:t>, ako sú európske jednotky pre riešenie počítačových bezpečnostných incidentov, prevádzkovatelia základných služieb (napr. banky, nemocnice, poskytovatelia verejných služieb, železničné a letecké spoločnosti, poskytovatelia názvov domén) a rôzne verejné orgány. Po prvýkrát sa môžu o podporu v rámci tohto programu uchádzať aj európske orgány pre certifikáciu kybernetickej bezpečnosti, aby sa im umožnilo implementovať akt o kybernetickej bezpečnosti EÚ.</w:t>
      </w:r>
    </w:p>
    <w:p>
      <w:pPr>
        <w:widowControl w:val="0"/>
        <w:spacing w:after="240" w:line="240" w:lineRule="auto"/>
        <w:jc w:val="both"/>
        <w:rPr>
          <w:rFonts w:ascii="Times New Roman" w:hAnsi="Times New Roman"/>
          <w:noProof/>
          <w:sz w:val="24"/>
        </w:rPr>
      </w:pPr>
      <w:r>
        <w:rPr>
          <w:rFonts w:ascii="Times New Roman" w:hAnsi="Times New Roman"/>
          <w:noProof/>
          <w:sz w:val="24"/>
        </w:rPr>
        <w:t xml:space="preserve">Rada 17. mája 2019 prijala </w:t>
      </w:r>
      <w:r>
        <w:rPr>
          <w:rFonts w:ascii="Times New Roman" w:hAnsi="Times New Roman"/>
          <w:b/>
          <w:bCs/>
          <w:noProof/>
          <w:sz w:val="24"/>
        </w:rPr>
        <w:t>sankčný režim</w:t>
      </w:r>
      <w:r>
        <w:rPr>
          <w:rFonts w:ascii="Times New Roman" w:hAnsi="Times New Roman"/>
          <w:noProof/>
          <w:sz w:val="24"/>
        </w:rPr>
        <w:t xml:space="preserve">, ktorý EÚ umožňuje ukladať cielené reštriktívne opatrenia, ktoré majú odrádzať od kybernetických útokov predstavujúcich vonkajšiu hrozbu pre EÚ a jej členské štáty, a reagovať na ne. Nový sankčný režim je súčasťou </w:t>
      </w:r>
      <w:r>
        <w:rPr>
          <w:rFonts w:ascii="Times New Roman" w:hAnsi="Times New Roman"/>
          <w:b/>
          <w:bCs/>
          <w:noProof/>
          <w:sz w:val="24"/>
        </w:rPr>
        <w:t>súboru nástrojov EÚ pre kybernetickú diplomaciu</w:t>
      </w:r>
      <w:r>
        <w:rPr>
          <w:rStyle w:val="FootnoteReference"/>
          <w:bCs/>
          <w:noProof/>
          <w:sz w:val="24"/>
        </w:rPr>
        <w:footnoteReference w:id="18"/>
      </w:r>
      <w:r>
        <w:rPr>
          <w:rFonts w:ascii="Times New Roman" w:hAnsi="Times New Roman"/>
          <w:noProof/>
          <w:sz w:val="24"/>
        </w:rPr>
        <w:t>, čo je rámec pre spoločnú diplomatickú reakciu EÚ na škodlivé kybernetické činnosti</w:t>
      </w:r>
      <w:r>
        <w:rPr>
          <w:rStyle w:val="FootnoteReference"/>
          <w:noProof/>
          <w:sz w:val="24"/>
        </w:rPr>
        <w:footnoteReference w:id="19"/>
      </w:r>
      <w:r>
        <w:rPr>
          <w:rFonts w:ascii="Times New Roman" w:hAnsi="Times New Roman"/>
          <w:noProof/>
          <w:sz w:val="24"/>
        </w:rPr>
        <w:t>, ktorý Európskej únii umožňuje, aby pri odrádzaní od škodlivých kybernetických činností a pri reakcii na ne v plnej miere využívala opatrenia v rámci spoločnej zahraničnej a bezpečnostnej politiky.</w:t>
      </w:r>
    </w:p>
    <w:p>
      <w:pPr>
        <w:widowControl w:val="0"/>
        <w:spacing w:after="240" w:line="240" w:lineRule="auto"/>
        <w:jc w:val="both"/>
        <w:rPr>
          <w:rFonts w:ascii="Times New Roman" w:eastAsia="Calibri" w:hAnsi="Times New Roman" w:cs="Times New Roman"/>
          <w:noProof/>
          <w:spacing w:val="-4"/>
          <w:sz w:val="24"/>
          <w:szCs w:val="24"/>
        </w:rPr>
      </w:pPr>
      <w:r>
        <w:rPr>
          <w:rFonts w:ascii="Times New Roman" w:hAnsi="Times New Roman"/>
          <w:noProof/>
          <w:spacing w:val="-4"/>
          <w:sz w:val="24"/>
        </w:rPr>
        <w:t xml:space="preserve">Okrem kybernetických hrozieb zacielených na systémy a údaje EÚ takisto prijíma opatrenia na riešenie komplexných a mnohostranných výziev, ktoré predstavujú </w:t>
      </w:r>
      <w:r>
        <w:rPr>
          <w:rFonts w:ascii="Times New Roman" w:hAnsi="Times New Roman"/>
          <w:b/>
          <w:noProof/>
          <w:spacing w:val="-4"/>
          <w:sz w:val="24"/>
        </w:rPr>
        <w:t>hybridné hrozby</w:t>
      </w:r>
      <w:r>
        <w:rPr>
          <w:rStyle w:val="FootnoteReference"/>
          <w:noProof/>
          <w:spacing w:val="-4"/>
          <w:sz w:val="24"/>
        </w:rPr>
        <w:footnoteReference w:id="20"/>
      </w:r>
      <w:r>
        <w:rPr>
          <w:rFonts w:ascii="Times New Roman" w:hAnsi="Times New Roman"/>
          <w:noProof/>
          <w:spacing w:val="-4"/>
          <w:sz w:val="24"/>
        </w:rPr>
        <w:t>. Európska rada vo svojich záveroch z 21. júna 2019</w:t>
      </w:r>
      <w:r>
        <w:rPr>
          <w:rStyle w:val="FootnoteReference"/>
          <w:noProof/>
          <w:spacing w:val="-4"/>
          <w:sz w:val="24"/>
        </w:rPr>
        <w:footnoteReference w:id="21"/>
      </w:r>
      <w:r>
        <w:rPr>
          <w:rFonts w:ascii="Times New Roman" w:hAnsi="Times New Roman"/>
          <w:noProof/>
          <w:spacing w:val="-4"/>
          <w:sz w:val="24"/>
        </w:rPr>
        <w:t xml:space="preserve"> zdôraznila, že </w:t>
      </w:r>
      <w:r>
        <w:rPr>
          <w:rFonts w:ascii="Times New Roman" w:hAnsi="Times New Roman"/>
          <w:i/>
          <w:noProof/>
          <w:spacing w:val="-4"/>
          <w:sz w:val="24"/>
        </w:rPr>
        <w:t>„EÚ musí zaistiť koordinovanú reakciu na hybridné a kybernetické hrozby a posilniť spoluprácu s relevantnými medzinárodnými aktérmi“.</w:t>
      </w:r>
      <w:r>
        <w:rPr>
          <w:rFonts w:ascii="Times New Roman" w:hAnsi="Times New Roman"/>
          <w:noProof/>
          <w:spacing w:val="-4"/>
          <w:sz w:val="24"/>
        </w:rPr>
        <w:t xml:space="preserve"> Komisia víta skutočnosť, že boj proti hybridným hrozbám je prioritou aj pre fínske predsedníctvo v Rade a že na neformálnom zasadnutí ministrov spravodlivosti a vnútra 18. a 19 júla 2019 v Helsinkách sa viedla politická diskusia o hybridných hrozbách založená na scenároch. Podobné diskusie o hybridných hrozbách založené na scenároch viedli politickí riaditelia EÚ pre oblasť obrany 7. a 8. júla 2019 a politickí riaditelia EÚ 9. a 10. júla 2019, pričom výsledky týchto diskusií sa oznámia ministrom zahraničných vecí a obrany na neformálnom spoločnom stretnutí 29. a 30. augusta 2019.</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rPr>
        <w:t>V záujme posilnenia kybernetickej bezpečnosti Komisia vyzýva Európsky parlament a Radu, aby:</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urýchlene dosiahli dohodu o legislatívnom návrhu na zriadenie </w:t>
            </w:r>
            <w:r>
              <w:rPr>
                <w:rFonts w:ascii="Times New Roman" w:hAnsi="Times New Roman"/>
                <w:b/>
                <w:noProof/>
                <w:sz w:val="24"/>
              </w:rPr>
              <w:t>Európskeho centra priemyselných, technologických a výskumných kompetencií v oblasti kybernetickej bezpečnosti a siete národných koordinačných centier.</w:t>
            </w:r>
          </w:p>
        </w:tc>
      </w:tr>
    </w:tbl>
    <w:p>
      <w:pPr>
        <w:spacing w:before="240" w:after="240" w:line="240" w:lineRule="auto"/>
        <w:jc w:val="both"/>
        <w:rPr>
          <w:rFonts w:ascii="Times New Roman" w:hAnsi="Times New Roman"/>
          <w:i/>
          <w:iCs/>
          <w:noProof/>
          <w:sz w:val="24"/>
        </w:rPr>
      </w:pPr>
      <w:r>
        <w:rPr>
          <w:rFonts w:ascii="Times New Roman" w:hAnsi="Times New Roman"/>
          <w:i/>
          <w:noProof/>
          <w:sz w:val="24"/>
        </w:rPr>
        <w:t xml:space="preserve">3. </w:t>
      </w:r>
      <w:r>
        <w:rPr>
          <w:rFonts w:ascii="Times New Roman" w:hAnsi="Times New Roman"/>
          <w:i/>
          <w:iCs/>
          <w:noProof/>
          <w:sz w:val="24"/>
        </w:rPr>
        <w:t>Zlepšenie prístupu k elektronickým dôkazom pri presadzovaní práva</w:t>
      </w:r>
    </w:p>
    <w:p>
      <w:pPr>
        <w:spacing w:after="240" w:line="240" w:lineRule="auto"/>
        <w:jc w:val="both"/>
        <w:rPr>
          <w:rFonts w:ascii="Times New Roman" w:hAnsi="Times New Roman" w:cs="Times New Roman"/>
          <w:noProof/>
          <w:sz w:val="24"/>
          <w:szCs w:val="24"/>
        </w:rPr>
      </w:pPr>
      <w:r>
        <w:rPr>
          <w:rFonts w:ascii="Times New Roman" w:hAnsi="Times New Roman"/>
          <w:noProof/>
          <w:sz w:val="24"/>
        </w:rPr>
        <w:t>EÚ prijala ďalšie opatrenia, aby teroristom a páchateľom trestnej činnosti odobrala prostriedky, ktoré im umožňujú páchať trestnú alebo teroristickú činnosť, pričom im sťažila možnosť prístupu k prekurzorom výbušnín</w:t>
      </w:r>
      <w:r>
        <w:rPr>
          <w:rStyle w:val="FootnoteReference"/>
          <w:noProof/>
          <w:sz w:val="24"/>
        </w:rPr>
        <w:footnoteReference w:id="22"/>
      </w:r>
      <w:r>
        <w:rPr>
          <w:rFonts w:ascii="Times New Roman" w:hAnsi="Times New Roman"/>
          <w:noProof/>
          <w:sz w:val="24"/>
        </w:rPr>
        <w:t>, možnosť financovania ich činností</w:t>
      </w:r>
      <w:r>
        <w:rPr>
          <w:rStyle w:val="FootnoteReference"/>
          <w:noProof/>
          <w:sz w:val="24"/>
        </w:rPr>
        <w:footnoteReference w:id="23"/>
      </w:r>
      <w:r>
        <w:rPr>
          <w:rFonts w:ascii="Times New Roman" w:hAnsi="Times New Roman"/>
          <w:noProof/>
          <w:sz w:val="24"/>
        </w:rPr>
        <w:t xml:space="preserve"> alebo pohybu bez odhalenia</w:t>
      </w:r>
      <w:r>
        <w:rPr>
          <w:rStyle w:val="FootnoteReference"/>
          <w:noProof/>
          <w:sz w:val="24"/>
        </w:rPr>
        <w:footnoteReference w:id="24"/>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Rokovania o návrhoch Komisie z apríla 2018 na zlepšenie </w:t>
      </w:r>
      <w:r>
        <w:rPr>
          <w:rFonts w:ascii="Times New Roman" w:hAnsi="Times New Roman"/>
          <w:b/>
          <w:noProof/>
          <w:sz w:val="24"/>
        </w:rPr>
        <w:t>prístupu k elektronickým dôkazom</w:t>
      </w:r>
      <w:r>
        <w:rPr>
          <w:rFonts w:ascii="Times New Roman" w:hAnsi="Times New Roman"/>
          <w:noProof/>
          <w:sz w:val="24"/>
        </w:rPr>
        <w:t xml:space="preserve"> pri presadzovaní práva by sa mali ukončiť čo najskôr – viac ako polovica všetkých vyšetrovaní trestných činov v súčasnosti zahŕňa cezhraničnú žiadosť o prístup k elektronickým dôkazom</w:t>
      </w:r>
      <w:r>
        <w:rPr>
          <w:rStyle w:val="FootnoteReference"/>
          <w:noProof/>
          <w:sz w:val="24"/>
        </w:rPr>
        <w:footnoteReference w:id="25"/>
      </w:r>
      <w:r>
        <w:rPr>
          <w:rFonts w:ascii="Times New Roman" w:hAnsi="Times New Roman"/>
          <w:noProof/>
          <w:sz w:val="24"/>
        </w:rPr>
        <w:t>. Rada prijala svoju rokovaciu pozíciu k návrhu nariadenia</w:t>
      </w:r>
      <w:r>
        <w:rPr>
          <w:rStyle w:val="FootnoteReference"/>
          <w:noProof/>
          <w:sz w:val="24"/>
        </w:rPr>
        <w:footnoteReference w:id="26"/>
      </w:r>
      <w:r>
        <w:rPr>
          <w:rFonts w:ascii="Times New Roman" w:hAnsi="Times New Roman"/>
          <w:noProof/>
          <w:sz w:val="24"/>
        </w:rPr>
        <w:t xml:space="preserve"> na zlepšenie cezhraničného prístupu k elektronickým dôkazom pri vyšetrovaní trestných činov a k návrhu smernice</w:t>
      </w:r>
      <w:r>
        <w:rPr>
          <w:rStyle w:val="FootnoteReference"/>
          <w:noProof/>
          <w:sz w:val="24"/>
        </w:rPr>
        <w:footnoteReference w:id="27"/>
      </w:r>
      <w:r>
        <w:rPr>
          <w:rFonts w:ascii="Times New Roman" w:hAnsi="Times New Roman"/>
          <w:noProof/>
          <w:sz w:val="24"/>
        </w:rPr>
        <w:t>, ktorou sa stanovujú harmonizované pravidlá určovania právnych zástupcov na účely zhromažďovania dôkazov v trestnom konaní. Vzhľadom na kľúčový význam efektívneho prístupu k elektronickým dôkazom pre vyšetrovanie a stíhanie cezhraničných trestných činov, ako je terorizmus alebo počítačová kriminalita, Komisia naliehavo vyzýva Európsky parlament, aby v súvislosti s týmto návrhom pokročil, aby spoluzákonodarcovia mohli pracovať na jeho rýchlom prijatí.</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rPr>
        <w:t xml:space="preserve">Komisia súčasne pracuje na zlepšení a zaistení potrebných záruk pri </w:t>
      </w:r>
      <w:r>
        <w:rPr>
          <w:rFonts w:ascii="Times New Roman" w:hAnsi="Times New Roman"/>
          <w:b/>
          <w:iCs/>
          <w:noProof/>
          <w:sz w:val="24"/>
        </w:rPr>
        <w:t>medzinárodnej výmene elektronických dôkazov</w:t>
      </w:r>
      <w:r>
        <w:rPr>
          <w:rFonts w:ascii="Times New Roman" w:hAnsi="Times New Roman"/>
          <w:iCs/>
          <w:noProof/>
          <w:sz w:val="24"/>
        </w:rPr>
        <w:t xml:space="preserve"> v kontexte prebiehajúcich rokovaní o Druhom dodatkovom protokole k Budapeštianskemu dohovoru Rady Európy o počítačovej kriminalite a v kontexte rokovaní so Spojenými štátni v súlade s mandátmi na rokovanie udelenými Radou na zasadnutí Rady pre spravodlivosť a vnútorné veci 6. a 7. júna 2019</w:t>
      </w:r>
      <w:r>
        <w:rPr>
          <w:rStyle w:val="FootnoteReference"/>
          <w:iCs/>
          <w:noProof/>
          <w:sz w:val="24"/>
        </w:rPr>
        <w:footnoteReference w:id="28"/>
      </w:r>
      <w:r>
        <w:rPr>
          <w:rFonts w:ascii="Times New Roman" w:hAnsi="Times New Roman"/>
          <w:noProof/>
          <w:sz w:val="24"/>
        </w:rPr>
        <w:t>.</w:t>
      </w:r>
      <w:r>
        <w:rPr>
          <w:rFonts w:ascii="Times New Roman" w:hAnsi="Times New Roman"/>
          <w:iCs/>
          <w:noProof/>
          <w:sz w:val="24"/>
        </w:rPr>
        <w:t xml:space="preserve"> Komisia sa zúčastnila na poslednom kole rokovaní o Druhom dodatkovom protokole k Budapeštianskemu dohovoru Rady Európy o počítačovej kriminalite 9. – 11. júla 2019. Komisia a orgány Spojených štátov sa aktuálne pripravujú na technickej úrovni na oficiálne začatie rokovaní o dohode medzi EÚ a USA o cezhraničnom prístupe k elektronickým dôkazom.</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rPr>
        <w:t>V záujme zlepšenia prístupu k elektronickým dôkazom pri presadzovaní práva Komisia vyzýva Európsky parlament, aby:</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keepNext/>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prijal svoj mandát na rokovanie o legislatívnych návrhoch týkajúcich sa </w:t>
            </w:r>
            <w:r>
              <w:rPr>
                <w:rFonts w:ascii="Times New Roman" w:hAnsi="Times New Roman"/>
                <w:b/>
                <w:noProof/>
                <w:sz w:val="24"/>
              </w:rPr>
              <w:t>elektronických dôkazov</w:t>
            </w:r>
            <w:r>
              <w:rPr>
                <w:rFonts w:ascii="Times New Roman" w:hAnsi="Times New Roman"/>
                <w:noProof/>
                <w:sz w:val="24"/>
              </w:rPr>
              <w:t xml:space="preserve"> a mohol tak bezodkladne začať s Radou rokovania v rámci trialógu. </w:t>
            </w:r>
            <w:r>
              <w:rPr>
                <w:rFonts w:ascii="Times New Roman" w:hAnsi="Times New Roman"/>
                <w:i/>
                <w:noProof/>
                <w:sz w:val="24"/>
              </w:rPr>
              <w:t>(Priorita uvedená v rámci spoločného vyhlásenia)</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rPr>
        <w:t>4. Silnejšie a inteligentnejšie informačné systémy v oblasti bezpečnosti, riadenia hraníc a migrácie</w:t>
      </w:r>
    </w:p>
    <w:p>
      <w:pPr>
        <w:spacing w:after="240" w:line="240" w:lineRule="auto"/>
        <w:jc w:val="both"/>
        <w:rPr>
          <w:rFonts w:ascii="Times New Roman" w:hAnsi="Times New Roman"/>
          <w:iCs/>
          <w:noProof/>
          <w:sz w:val="24"/>
        </w:rPr>
      </w:pPr>
      <w:r>
        <w:rPr>
          <w:rFonts w:ascii="Times New Roman" w:hAnsi="Times New Roman"/>
          <w:iCs/>
          <w:noProof/>
          <w:sz w:val="24"/>
        </w:rPr>
        <w:t>V nadväznosti na prijatie pravidiel o </w:t>
      </w:r>
      <w:r>
        <w:rPr>
          <w:rFonts w:ascii="Times New Roman" w:hAnsi="Times New Roman"/>
          <w:b/>
          <w:iCs/>
          <w:noProof/>
          <w:sz w:val="24"/>
        </w:rPr>
        <w:t>interoperabilite informačných systémov</w:t>
      </w:r>
      <w:r>
        <w:rPr>
          <w:rStyle w:val="FootnoteReference"/>
          <w:iCs/>
          <w:noProof/>
          <w:sz w:val="24"/>
        </w:rPr>
        <w:footnoteReference w:id="29"/>
      </w:r>
      <w:r>
        <w:rPr>
          <w:rFonts w:ascii="Times New Roman" w:hAnsi="Times New Roman"/>
          <w:iCs/>
          <w:noProof/>
          <w:sz w:val="24"/>
        </w:rPr>
        <w:t xml:space="preserve">, ktorou sa odstránia informačné medzery a slepé miesta, keďže pomôže odhaľovať viacnásobné totožnosti a bojovať proti podvodom s osobnými údajmi, Komisia urýchlene začala sériu iniciatív na podporu členských štátov pri vykonávaní týchto pravidiel vrátane prípadného financovania, ako aj workshopov na uľahčenie výmeny odborných znalostí a najlepších postupov. </w:t>
      </w:r>
      <w:r>
        <w:rPr>
          <w:rFonts w:ascii="Times New Roman" w:hAnsi="Times New Roman"/>
          <w:noProof/>
          <w:sz w:val="24"/>
        </w:rPr>
        <w:t>Úzka spolupráca medzi agentúrami EÚ, všetkými členskými štátmi a krajinami pridruženými k schengenskému priestoru bude mať prvoradý význam z hľadiska splnenia ambiciózneho cieľa dosiahnuť úplnú interoperabilitu informačných systémov EÚ pre oblasť bezpečnosti, riadenia hraníc a riadenia migrácie do roku 2020</w:t>
      </w:r>
      <w:r>
        <w:rPr>
          <w:rFonts w:ascii="Times New Roman" w:hAnsi="Times New Roman"/>
          <w:iCs/>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iCs/>
          <w:noProof/>
          <w:sz w:val="24"/>
        </w:rPr>
        <w:t>Tento cieľ si takisto vyžaduje rýchle a úplné vykonávanie nedávno prijatých právnych predpisov, ktorými sa zriaďujú nové informačné systémy </w:t>
      </w:r>
      <w:r>
        <w:rPr>
          <w:rFonts w:ascii="Times New Roman" w:hAnsi="Times New Roman"/>
          <w:noProof/>
          <w:sz w:val="24"/>
        </w:rPr>
        <w:t>(systém vstup/výstup EÚ</w:t>
      </w:r>
      <w:r>
        <w:rPr>
          <w:rStyle w:val="FootnoteReference"/>
          <w:noProof/>
          <w:sz w:val="24"/>
        </w:rPr>
        <w:footnoteReference w:id="30"/>
      </w:r>
      <w:r>
        <w:rPr>
          <w:rFonts w:ascii="Times New Roman" w:hAnsi="Times New Roman"/>
          <w:noProof/>
          <w:sz w:val="24"/>
        </w:rPr>
        <w:t xml:space="preserve"> a Európsky systém pre cestovné informácie a povolenia</w:t>
      </w:r>
      <w:r>
        <w:rPr>
          <w:rStyle w:val="FootnoteReference"/>
          <w:noProof/>
          <w:sz w:val="24"/>
        </w:rPr>
        <w:footnoteReference w:id="31"/>
      </w:r>
      <w:r>
        <w:rPr>
          <w:rFonts w:ascii="Times New Roman" w:hAnsi="Times New Roman"/>
          <w:noProof/>
          <w:sz w:val="24"/>
        </w:rPr>
        <w:t>), posilňuje Schengenský informačný systém</w:t>
      </w:r>
      <w:r>
        <w:rPr>
          <w:rStyle w:val="FootnoteReference"/>
          <w:noProof/>
          <w:sz w:val="24"/>
        </w:rPr>
        <w:footnoteReference w:id="32"/>
      </w:r>
      <w:r>
        <w:rPr>
          <w:rFonts w:ascii="Times New Roman" w:hAnsi="Times New Roman"/>
          <w:noProof/>
          <w:sz w:val="24"/>
        </w:rPr>
        <w:t xml:space="preserve"> a rozširuje Európsky informačný systém registrov trestov</w:t>
      </w:r>
      <w:r>
        <w:rPr>
          <w:rStyle w:val="FootnoteReference"/>
          <w:noProof/>
          <w:sz w:val="24"/>
        </w:rPr>
        <w:footnoteReference w:id="33"/>
      </w:r>
      <w:r>
        <w:rPr>
          <w:rFonts w:ascii="Times New Roman" w:hAnsi="Times New Roman"/>
          <w:noProof/>
          <w:sz w:val="24"/>
        </w:rPr>
        <w:t xml:space="preserve"> na štátnych príslušníkov tretích krajín. Novou architektúrou pre silnejšie a inteligentnejšie informačné systémy v oblasti bezpečnosti, riadenia hraníc a migrácie sa situácia v praxi zmení, len ak sa budú všetky zložky v plnej miere vykonávať na úrovni Únie a v každom členskom štáte podľa dohodnutého harmonogramu.</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rPr>
        <w:t xml:space="preserve">Súčasne je potrebné, aby spoluzákonodarcovia podnikli ďalšie kroky na dokončenie prác na silnejších a inteligentnejších informačných systémov v oblasti bezpečnosti, riadenia hraníc a migrácie. </w:t>
      </w:r>
      <w:r>
        <w:rPr>
          <w:rFonts w:ascii="Times New Roman" w:hAnsi="Times New Roman"/>
          <w:noProof/>
          <w:sz w:val="24"/>
        </w:rPr>
        <w:t xml:space="preserve">V rámci technickej realizácie </w:t>
      </w:r>
      <w:r>
        <w:rPr>
          <w:rFonts w:ascii="Times New Roman" w:hAnsi="Times New Roman"/>
          <w:b/>
          <w:noProof/>
          <w:sz w:val="24"/>
        </w:rPr>
        <w:t>Európskeho systému pre cestovné informácie a povolenia</w:t>
      </w:r>
      <w:r>
        <w:rPr>
          <w:rFonts w:ascii="Times New Roman" w:hAnsi="Times New Roman"/>
          <w:noProof/>
          <w:sz w:val="24"/>
        </w:rPr>
        <w:t xml:space="preserve"> Komisia 7. januára 2019 predložila dva návrhy, ktorými sa stanovujú technické zmeny príslušného nariadenia</w:t>
      </w:r>
      <w:r>
        <w:rPr>
          <w:rStyle w:val="FootnoteReference"/>
          <w:noProof/>
          <w:sz w:val="24"/>
        </w:rPr>
        <w:footnoteReference w:id="34"/>
      </w:r>
      <w:r>
        <w:rPr>
          <w:rFonts w:ascii="Times New Roman" w:hAnsi="Times New Roman"/>
          <w:noProof/>
          <w:sz w:val="24"/>
        </w:rPr>
        <w:t>, ktoré sú potrebné pre úplné zriadenie systému. Komisia vyzýva spoluzákonodarcov, aby pokročili v práci na týchto technických zmenách s cieľom čo najskôr dospieť k dohode, a umožnili tak rýchle a včasné zavedenie Európskeho systému pre cestovné informácie a povolenia, aby mohol byť uvedený do prevádzky začiatkom roka 2021.</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 máji 2018 Komisia predložila návrh na </w:t>
      </w:r>
      <w:r>
        <w:rPr>
          <w:rFonts w:ascii="Times New Roman" w:hAnsi="Times New Roman"/>
          <w:b/>
          <w:noProof/>
          <w:sz w:val="24"/>
        </w:rPr>
        <w:t>posilnenie existujúceho vízového informačného systému</w:t>
      </w:r>
      <w:r>
        <w:rPr>
          <w:rStyle w:val="FootnoteReference"/>
          <w:noProof/>
          <w:sz w:val="24"/>
        </w:rPr>
        <w:footnoteReference w:id="35"/>
      </w:r>
      <w:r>
        <w:rPr>
          <w:rFonts w:ascii="Times New Roman" w:hAnsi="Times New Roman"/>
          <w:noProof/>
          <w:sz w:val="24"/>
        </w:rPr>
        <w:t>, v ktorom sa stanovujú dôkladnejšie previerky žiadateľov o udelenie víza a ktorým sa odstraňujú informačné medzery na základe lepšej výmeny informácií medzi členskými štátmi. Rada prijala svoj mandát na rokovanie 19. decembra 2018 a Európsky parlament 13. marca 2019 odhlasoval na plenárnom zasadnutí svoju správu o návrhu, čím uzavrel svoje prvé čítanie. Komisia vyzýva, aby sa po zložení nového Európskeho parlamentu urýchlene začali rokovania medzi spoluzákonodarcami.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 máji 2016 Komisia predložila návrh na rozšírenie rozsahu pôsobnosti systému </w:t>
      </w:r>
      <w:r>
        <w:rPr>
          <w:rFonts w:ascii="Times New Roman" w:hAnsi="Times New Roman"/>
          <w:b/>
          <w:noProof/>
          <w:sz w:val="24"/>
        </w:rPr>
        <w:t>Eurodac</w:t>
      </w:r>
      <w:r>
        <w:rPr>
          <w:rStyle w:val="FootnoteReference"/>
          <w:noProof/>
          <w:sz w:val="24"/>
        </w:rPr>
        <w:footnoteReference w:id="36"/>
      </w:r>
      <w:r>
        <w:rPr>
          <w:rFonts w:ascii="Times New Roman" w:hAnsi="Times New Roman"/>
          <w:noProof/>
          <w:sz w:val="24"/>
        </w:rPr>
        <w:t>, a to tak, že by zahŕňal nielen identifikačné údaje žiadateľov o azyl, ale aj neoprávnene sa zdržiavajúcich štátnych príslušníkov tretích krajín a osôb, ktoré neoprávnene vstúpili na územie EÚ. V súlade so závermi Európskej rady z decembra 2018</w:t>
      </w:r>
      <w:r>
        <w:rPr>
          <w:rStyle w:val="FootnoteReference"/>
          <w:noProof/>
          <w:sz w:val="24"/>
        </w:rPr>
        <w:footnoteReference w:id="37"/>
      </w:r>
      <w:r>
        <w:rPr>
          <w:rFonts w:ascii="Times New Roman" w:hAnsi="Times New Roman"/>
          <w:noProof/>
          <w:sz w:val="24"/>
        </w:rPr>
        <w:t xml:space="preserve"> a s oznámením Komisie zo 6. marca 2019 o pokroku pri vykonávaní európskej migračnej agendy</w:t>
      </w:r>
      <w:r>
        <w:rPr>
          <w:rStyle w:val="FootnoteReference"/>
          <w:noProof/>
          <w:sz w:val="24"/>
        </w:rPr>
        <w:footnoteReference w:id="38"/>
      </w:r>
      <w:r>
        <w:rPr>
          <w:rFonts w:ascii="Times New Roman" w:hAnsi="Times New Roman"/>
          <w:noProof/>
          <w:sz w:val="24"/>
        </w:rPr>
        <w:t xml:space="preserve"> Komisia vyzýva spoluzákonodarcov, aby tento návrh prijali. Tento legislatívny návrh je dôležité prijať, aby sa systém Eurodac mohol stať súčasťou budúcej architektúry interoperabilných informačných systémov EÚ, čím sa do nej začlenia kľúčové údaje o neoprávnene sa zdržiavajúcich štátnych príslušníkoch tretích krajín a osôb, ktoré neoprávnene vstúpili na územie EÚ.</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V záujme posilnenia informačných systémov EÚ v oblasti bezpečnosti, riadenia hraníc a migrácie Komisia vyzýva Európsky parlament a Radu, aby:</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prijali legislatívny návrh týkajúci sa systému </w:t>
            </w:r>
            <w:r>
              <w:rPr>
                <w:rFonts w:ascii="Times New Roman" w:hAnsi="Times New Roman"/>
                <w:b/>
                <w:noProof/>
                <w:sz w:val="24"/>
              </w:rPr>
              <w:t>Eurodac</w:t>
            </w:r>
            <w:r>
              <w:rPr>
                <w:rFonts w:ascii="Times New Roman" w:hAnsi="Times New Roman"/>
                <w:noProof/>
                <w:sz w:val="24"/>
              </w:rPr>
              <w:t xml:space="preserve"> </w:t>
            </w:r>
            <w:r>
              <w:rPr>
                <w:rFonts w:ascii="Times New Roman" w:hAnsi="Times New Roman"/>
                <w:i/>
                <w:noProof/>
                <w:sz w:val="24"/>
              </w:rPr>
              <w:t>(Priorita uvedená v rámci spoločného vyhlásenia)</w:t>
            </w:r>
            <w:r>
              <w:rPr>
                <w:rFonts w:ascii="Times New Roman" w:hAnsi="Times New Roman"/>
                <w:noProof/>
                <w:sz w:val="24"/>
              </w:rPr>
              <w:t>,</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pokročili v úsilí o rýchle dosiahnutie dohody o navrhovaných technických zmenách, ktoré sú potrebné na zriadenie </w:t>
            </w:r>
            <w:r>
              <w:rPr>
                <w:rFonts w:ascii="Times New Roman" w:hAnsi="Times New Roman"/>
                <w:b/>
                <w:noProof/>
                <w:sz w:val="24"/>
              </w:rPr>
              <w:t>Európskeho systému pre cestovné informácie a povolenia.</w:t>
            </w:r>
          </w:p>
        </w:tc>
      </w:tr>
    </w:tbl>
    <w:p>
      <w:pPr>
        <w:widowControl w:val="0"/>
        <w:spacing w:before="240" w:after="240" w:line="240" w:lineRule="auto"/>
        <w:jc w:val="both"/>
        <w:rPr>
          <w:rFonts w:ascii="Times New Roman" w:hAnsi="Times New Roman" w:cs="Times New Roman"/>
          <w:b/>
          <w:bCs/>
          <w:noProof/>
          <w:sz w:val="24"/>
          <w:szCs w:val="24"/>
        </w:rPr>
      </w:pPr>
      <w:r>
        <w:rPr>
          <w:rFonts w:ascii="Times New Roman" w:hAnsi="Times New Roman"/>
          <w:b/>
          <w:bCs/>
          <w:noProof/>
          <w:sz w:val="24"/>
        </w:rPr>
        <w:t xml:space="preserve">III. </w:t>
      </w:r>
      <w:r>
        <w:rPr>
          <w:rFonts w:ascii="Times New Roman" w:hAnsi="Times New Roman"/>
          <w:b/>
          <w:bCs/>
          <w:noProof/>
          <w:sz w:val="24"/>
        </w:rPr>
        <w:tab/>
        <w:t>POSILNENIE BEZPEČNOSTI DIGITÁLNYCH INFRAŠTRUKTÚR</w:t>
      </w:r>
    </w:p>
    <w:p>
      <w:pPr>
        <w:spacing w:after="240" w:line="240" w:lineRule="auto"/>
        <w:jc w:val="both"/>
        <w:rPr>
          <w:rFonts w:ascii="Times New Roman" w:hAnsi="Times New Roman"/>
          <w:noProof/>
          <w:spacing w:val="-2"/>
          <w:sz w:val="24"/>
        </w:rPr>
      </w:pPr>
      <w:r>
        <w:rPr>
          <w:rStyle w:val="Emphasis"/>
          <w:rFonts w:ascii="Times New Roman" w:hAnsi="Times New Roman"/>
          <w:i w:val="0"/>
          <w:noProof/>
          <w:spacing w:val="-2"/>
          <w:sz w:val="24"/>
        </w:rPr>
        <w:t xml:space="preserve">Odolnosť našej digitálnej infraštruktúry má kritický význam pre vlády, podniky, bezpečnosť našich osobných údajov a fungovanie našich demokratických inštitúcií. </w:t>
      </w:r>
      <w:r>
        <w:rPr>
          <w:rFonts w:ascii="Times New Roman" w:hAnsi="Times New Roman"/>
          <w:b/>
          <w:noProof/>
          <w:spacing w:val="-2"/>
          <w:sz w:val="24"/>
        </w:rPr>
        <w:t>Siete piatej generácie (5G),</w:t>
      </w:r>
      <w:r>
        <w:rPr>
          <w:rFonts w:ascii="Times New Roman" w:hAnsi="Times New Roman"/>
          <w:noProof/>
          <w:spacing w:val="-2"/>
          <w:sz w:val="24"/>
        </w:rPr>
        <w:t xml:space="preserve"> ktoré sa zavedú v nasledujúcich rokoch, budú tvoriť digitálnu kostru našich spoločností a ekonomík a budú spájať miliardy občanov, predmetov a systémov, a to aj v kritických sektoroch ako energetika, doprava, bankovníctvo a zdravotníctvo, ako aj priemyselné riadiace systémy, ktoré uchovávajú citlivé informácie a podporujú bezpečnostné systémy.</w:t>
      </w:r>
    </w:p>
    <w:p>
      <w:pPr>
        <w:spacing w:after="240" w:line="240" w:lineRule="auto"/>
        <w:jc w:val="both"/>
        <w:rPr>
          <w:rFonts w:ascii="Times New Roman" w:hAnsi="Times New Roman"/>
          <w:noProof/>
          <w:sz w:val="24"/>
        </w:rPr>
      </w:pPr>
      <w:r>
        <w:rPr>
          <w:rFonts w:ascii="Times New Roman" w:hAnsi="Times New Roman"/>
          <w:noProof/>
          <w:sz w:val="24"/>
        </w:rPr>
        <w:t xml:space="preserve">Keďže celosvetové výnosy z technológie 5G v roku 2025 sa odhadujú na 225 miliárd EUR, táto technológia predstavuje pre Európu zásadnú výhodu v globálnej hospodárskej súťaži, a preto </w:t>
      </w:r>
      <w:r>
        <w:rPr>
          <w:rFonts w:ascii="Times New Roman" w:hAnsi="Times New Roman"/>
          <w:b/>
          <w:noProof/>
          <w:sz w:val="24"/>
        </w:rPr>
        <w:t>je bezpečnosť sietí 5G nevyhnutná pre zaručenie strategickej autonómie Únie</w:t>
      </w:r>
      <w:r>
        <w:rPr>
          <w:rFonts w:ascii="Times New Roman" w:hAnsi="Times New Roman"/>
          <w:noProof/>
          <w:sz w:val="24"/>
        </w:rPr>
        <w:t>. Zaručenie vysokej úrovne kybernetickej bezpečnosti si vyžaduje zosúladené opatrenia na vnútroštátnej aj európskej úrovni, keďže každé zraniteľné miesto v sieťach 5G v jednom členskom štáte by ovplyvnilo Úniu ako celok.</w:t>
      </w:r>
    </w:p>
    <w:p>
      <w:pPr>
        <w:spacing w:after="240" w:line="240" w:lineRule="auto"/>
        <w:jc w:val="both"/>
        <w:rPr>
          <w:rFonts w:ascii="Times New Roman" w:hAnsi="Times New Roman"/>
          <w:noProof/>
          <w:sz w:val="24"/>
          <w:szCs w:val="24"/>
        </w:rPr>
      </w:pPr>
      <w:r>
        <w:rPr>
          <w:rFonts w:ascii="Times New Roman" w:hAnsi="Times New Roman"/>
          <w:noProof/>
          <w:sz w:val="24"/>
        </w:rPr>
        <w:t>V nadväznosti na podporu, ktorú hlavy štátov alebo predsedovia vlád vyjadrili na zasadnutí Európskej rady v marci 2019</w:t>
      </w:r>
      <w:r>
        <w:rPr>
          <w:rStyle w:val="FootnoteReference"/>
          <w:noProof/>
          <w:sz w:val="24"/>
        </w:rPr>
        <w:footnoteReference w:id="39"/>
      </w:r>
      <w:r>
        <w:rPr>
          <w:rFonts w:ascii="Times New Roman" w:hAnsi="Times New Roman"/>
          <w:noProof/>
          <w:sz w:val="24"/>
        </w:rPr>
        <w:t xml:space="preserve">, Komisia 26. marca 2019 predložila </w:t>
      </w:r>
      <w:r>
        <w:rPr>
          <w:rFonts w:ascii="Times New Roman" w:hAnsi="Times New Roman"/>
          <w:b/>
          <w:noProof/>
          <w:sz w:val="24"/>
        </w:rPr>
        <w:t>odporúčanie o kybernetickej bezpečnosti sietí 5G</w:t>
      </w:r>
      <w:r>
        <w:rPr>
          <w:rStyle w:val="FootnoteReference"/>
          <w:noProof/>
          <w:sz w:val="24"/>
        </w:rPr>
        <w:footnoteReference w:id="40"/>
      </w:r>
      <w:r>
        <w:rPr>
          <w:rFonts w:ascii="Times New Roman" w:hAnsi="Times New Roman"/>
          <w:noProof/>
          <w:sz w:val="24"/>
        </w:rPr>
        <w:t>, v ktorom sa stanovujú činnosti na posúdenie rizík týkajúcich sa kybernetickej bezpečnosti sietí 5G a na posilnenie preventívnych opatrení. Odporúčania vychádzajú z opatrení EÚ zameraných na koordinované posúdenie rizík a riadenie rizík, z účinného rámca pre spoluprácu a výmenu informácií a zo spoločných poznatkov EÚ o situácii týkajúcej sa kritických komunikačných sietí.</w:t>
      </w:r>
    </w:p>
    <w:p>
      <w:pPr>
        <w:spacing w:after="0" w:line="240" w:lineRule="auto"/>
        <w:jc w:val="both"/>
        <w:rPr>
          <w:rFonts w:ascii="Times New Roman" w:hAnsi="Times New Roman"/>
          <w:bCs/>
          <w:noProof/>
          <w:sz w:val="24"/>
          <w:szCs w:val="24"/>
        </w:rPr>
      </w:pPr>
      <w:r>
        <w:rPr>
          <w:rFonts w:ascii="Times New Roman" w:hAnsi="Times New Roman"/>
          <w:noProof/>
          <w:sz w:val="24"/>
        </w:rPr>
        <w:t xml:space="preserve">V rámci </w:t>
      </w:r>
      <w:r>
        <w:rPr>
          <w:rFonts w:ascii="Times New Roman" w:hAnsi="Times New Roman"/>
          <w:b/>
          <w:noProof/>
          <w:sz w:val="24"/>
        </w:rPr>
        <w:t>prvej fázy</w:t>
      </w:r>
      <w:r>
        <w:rPr>
          <w:rFonts w:ascii="Times New Roman" w:hAnsi="Times New Roman"/>
          <w:noProof/>
          <w:sz w:val="24"/>
        </w:rPr>
        <w:t xml:space="preserve"> postupu iniciovaného v tomto odporúčaní všetky členské štáty do 15. júla 2019 dokončili </w:t>
      </w:r>
      <w:r>
        <w:rPr>
          <w:rFonts w:ascii="Times New Roman" w:hAnsi="Times New Roman"/>
          <w:b/>
          <w:noProof/>
          <w:sz w:val="24"/>
        </w:rPr>
        <w:t>vnútroštátne posúdenie rizika</w:t>
      </w:r>
      <w:r>
        <w:rPr>
          <w:rFonts w:ascii="Times New Roman" w:hAnsi="Times New Roman"/>
          <w:noProof/>
          <w:sz w:val="24"/>
        </w:rPr>
        <w:t xml:space="preserve"> a predložili svoje zistenia Komisii a Agentúre EÚ pre kybernetickú bezpečnosť alebo oznámili, že tak urobia v krátkom čase. Vnútroštátne posúdenia rizika sa riadili súborom usmernení a spoločným vzorom pre podávanie správ o zisteniach, na ktorých sa členské štáty a Komisia dohodli s cieľom podporiť konzistentnosť a uľahčiť výmenu informácií o vnútroštátnych výsledkoch na úrovni EÚ. Parametre posudzované vo všetkých členských štátoch zahŕňali:</w:t>
      </w:r>
    </w:p>
    <w:p>
      <w:pPr>
        <w:spacing w:after="0" w:line="240" w:lineRule="auto"/>
        <w:jc w:val="both"/>
        <w:rPr>
          <w:rFonts w:ascii="Times New Roman" w:hAnsi="Times New Roman"/>
          <w:noProof/>
          <w:sz w:val="24"/>
          <w:szCs w:val="24"/>
        </w:rPr>
      </w:pPr>
    </w:p>
    <w:p>
      <w:pPr>
        <w:pStyle w:val="ListParagraph"/>
        <w:numPr>
          <w:ilvl w:val="0"/>
          <w:numId w:val="35"/>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hlavné hrozby s vplyvom na siete 5G a príslušných aktérov týchto hrozieb,</w:t>
      </w:r>
    </w:p>
    <w:p>
      <w:pPr>
        <w:pStyle w:val="ListParagraph"/>
        <w:numPr>
          <w:ilvl w:val="0"/>
          <w:numId w:val="35"/>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stupeň citlivosti prvkov a funkcií sietí 5G, ako aj ďalších zložiek</w:t>
      </w:r>
      <w:r>
        <w:rPr>
          <w:rFonts w:ascii="Times New Roman" w:hAnsi="Times New Roman"/>
          <w:bCs/>
          <w:noProof/>
          <w:sz w:val="24"/>
        </w:rPr>
        <w:t xml:space="preserve"> a</w:t>
      </w:r>
    </w:p>
    <w:p>
      <w:pPr>
        <w:pStyle w:val="ListParagraph"/>
        <w:numPr>
          <w:ilvl w:val="0"/>
          <w:numId w:val="35"/>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rôzne typy zraniteľných miest vrátane zraniteľných miest technickej a inej povahy, ako sú napríklad tie, ktoré môžu vyplynúť z dodávateľského reťazca 5G.</w:t>
      </w:r>
    </w:p>
    <w:p>
      <w:pPr>
        <w:spacing w:after="240" w:line="240" w:lineRule="auto"/>
        <w:jc w:val="both"/>
        <w:rPr>
          <w:rFonts w:ascii="Times New Roman" w:hAnsi="Times New Roman"/>
          <w:noProof/>
          <w:sz w:val="24"/>
          <w:szCs w:val="24"/>
        </w:rPr>
      </w:pPr>
      <w:r>
        <w:rPr>
          <w:rFonts w:ascii="Times New Roman" w:hAnsi="Times New Roman"/>
          <w:noProof/>
          <w:sz w:val="24"/>
        </w:rPr>
        <w:t>Navyše sa na vypracovaní vnútroštátnych posúdení rizika podieľal celý rad príslušných aktérov v členských štátoch v závislosti od ich úloh na vnútroštátnej úrovni, ako sú orgány pre kybernetickú bezpečnosť a telekomunikácie, či bezpečnostné a spravodajské služby, vďaka čomu sa posilnila ich spolupráca a koordinácia. Paralelne s tým viacero členských štátov podniklo vzhľadom na svoje harmonogramy zavádzania sietí 5G kroky na posilnenie platných bezpečnostných požiadaviek v tejto oblasti, zatiaľ čo niekoľko ďalších štátov vyjadrilo svoj zámer zvažovať nové opatrenia v blízkej budúcnosti.</w:t>
      </w:r>
    </w:p>
    <w:p>
      <w:pPr>
        <w:spacing w:after="240" w:line="240" w:lineRule="auto"/>
        <w:jc w:val="both"/>
        <w:rPr>
          <w:rFonts w:ascii="Times New Roman" w:hAnsi="Times New Roman"/>
          <w:noProof/>
          <w:sz w:val="24"/>
        </w:rPr>
      </w:pPr>
      <w:r>
        <w:rPr>
          <w:rFonts w:ascii="Times New Roman" w:hAnsi="Times New Roman"/>
          <w:noProof/>
          <w:sz w:val="24"/>
        </w:rPr>
        <w:t xml:space="preserve">Na základe výsledkov </w:t>
      </w:r>
      <w:r>
        <w:rPr>
          <w:rFonts w:ascii="Times New Roman" w:hAnsi="Times New Roman"/>
          <w:bCs/>
          <w:iCs/>
          <w:noProof/>
          <w:sz w:val="24"/>
        </w:rPr>
        <w:t>vnútroštátneho posúdenia rizika</w:t>
      </w:r>
      <w:r>
        <w:rPr>
          <w:rFonts w:ascii="Times New Roman" w:hAnsi="Times New Roman"/>
          <w:noProof/>
          <w:sz w:val="24"/>
        </w:rPr>
        <w:t xml:space="preserve"> orgány členských štátov pre kybernetickú bezpečnosť v skupine pre spoluprácu v oblasti sietí a informačných systémov</w:t>
      </w:r>
      <w:r>
        <w:rPr>
          <w:rStyle w:val="FootnoteReference"/>
          <w:noProof/>
          <w:sz w:val="24"/>
        </w:rPr>
        <w:footnoteReference w:id="41"/>
      </w:r>
      <w:r>
        <w:rPr>
          <w:rFonts w:ascii="Times New Roman" w:hAnsi="Times New Roman"/>
          <w:noProof/>
          <w:sz w:val="24"/>
        </w:rPr>
        <w:t xml:space="preserve"> do 1. októbra 2019 vypracujú </w:t>
      </w:r>
      <w:r>
        <w:rPr>
          <w:rFonts w:ascii="Times New Roman" w:hAnsi="Times New Roman"/>
          <w:b/>
          <w:noProof/>
          <w:sz w:val="24"/>
        </w:rPr>
        <w:t>spoločné preskúmanie rizík na úrovni EÚ</w:t>
      </w:r>
      <w:r>
        <w:rPr>
          <w:rFonts w:ascii="Times New Roman" w:hAnsi="Times New Roman"/>
          <w:noProof/>
          <w:sz w:val="24"/>
        </w:rPr>
        <w:t xml:space="preserve">, ktoré bude predstavovať druhú fázu postupu iniciovaného v tomto odporúčaní. Na základe toho skupina pre spoluprácu v tretej fáze vypracuje do 31. decembra 2019 </w:t>
      </w:r>
      <w:r>
        <w:rPr>
          <w:rFonts w:ascii="Times New Roman" w:hAnsi="Times New Roman"/>
          <w:b/>
          <w:noProof/>
          <w:sz w:val="24"/>
        </w:rPr>
        <w:t>spoločný súbor zmierňujúcich opatrení Únie</w:t>
      </w:r>
      <w:r>
        <w:rPr>
          <w:rFonts w:ascii="Times New Roman" w:hAnsi="Times New Roman"/>
          <w:noProof/>
          <w:sz w:val="24"/>
        </w:rPr>
        <w:t xml:space="preserve"> na riešenie zistených rizík. Komisia a Agentúra EÚ pre kybernetickú bezpečnosť budú pokračovať v podpore vykonávania tohto odporúčania.</w:t>
      </w:r>
    </w:p>
    <w:p>
      <w:pPr>
        <w:spacing w:after="240" w:line="240" w:lineRule="auto"/>
        <w:jc w:val="both"/>
        <w:rPr>
          <w:rFonts w:ascii="Times New Roman" w:eastAsia="Calibri" w:hAnsi="Times New Roman"/>
          <w:bCs/>
          <w:noProof/>
          <w:spacing w:val="-2"/>
          <w:sz w:val="24"/>
          <w:szCs w:val="24"/>
        </w:rPr>
      </w:pPr>
      <w:r>
        <w:rPr>
          <w:rFonts w:ascii="Times New Roman" w:hAnsi="Times New Roman"/>
          <w:noProof/>
          <w:spacing w:val="-2"/>
          <w:sz w:val="24"/>
        </w:rPr>
        <w:t>Prácu v rámci skupiny pre spoluprácu v oblasti sietí a informačných systémov podporujú viaceré ďalšie fóra. Orgán európskych regulačných orgánov pre elektronické komunikácie pripravuje prieskum všetkých existujúcich bezpečnostných opatrení, ktoré sú potenciálne relevantné pre technológiu 5G. Nová špecializovaná skupina odborníkov v Agentúre EÚ pre kybernetickú bezpečnosť začala pracovať na preskúmaní panorámy hrozieb v súvislosti s technológiou 5G.</w:t>
      </w:r>
      <w:r>
        <w:rPr>
          <w:rFonts w:ascii="Times New Roman" w:hAnsi="Times New Roman"/>
          <w:bCs/>
          <w:noProof/>
          <w:spacing w:val="-2"/>
          <w:sz w:val="24"/>
        </w:rPr>
        <w:t xml:space="preserve"> </w:t>
      </w:r>
      <w:r>
        <w:rPr>
          <w:rFonts w:ascii="Times New Roman" w:hAnsi="Times New Roman"/>
          <w:noProof/>
          <w:spacing w:val="-2"/>
          <w:sz w:val="24"/>
        </w:rPr>
        <w:t>Navyše po nadobudnutí účinnosti aktu o kybernetickej bezpečnosti 27. júna 2019 Komisia a Agentúra EÚ pre kybernetickú bezpečnosť prijmú všetky potrebné kroky na zriadenie rámca certifikácie pre celú EÚ.</w:t>
      </w:r>
      <w:r>
        <w:rPr>
          <w:rFonts w:ascii="Times New Roman" w:hAnsi="Times New Roman"/>
          <w:bCs/>
          <w:noProof/>
          <w:spacing w:val="-2"/>
          <w:sz w:val="24"/>
        </w:rPr>
        <w:t xml:space="preserve"> </w:t>
      </w:r>
      <w:r>
        <w:rPr>
          <w:rFonts w:ascii="Times New Roman" w:hAnsi="Times New Roman"/>
          <w:noProof/>
          <w:spacing w:val="-2"/>
          <w:sz w:val="24"/>
        </w:rPr>
        <w:t>Členské štáty sa takisto stretli v júni 2019 na zasadnutí výboru pre normalizáciu, aby v reakcii na toto odporúčanie diskutovali o kybernetickej bezpečnosti a normalizácii s cieľom preskúmať budúce výzvy pre normalizáciu v oblasti kybernetickej bezpečnosti vrátane sietí 5G a vhodné politické iniciatívy na úrovni EÚ.</w:t>
      </w:r>
    </w:p>
    <w:p>
      <w:pPr>
        <w:spacing w:after="240" w:line="240" w:lineRule="auto"/>
        <w:jc w:val="both"/>
        <w:rPr>
          <w:rFonts w:ascii="Times New Roman" w:hAnsi="Times New Roman"/>
          <w:noProof/>
          <w:sz w:val="24"/>
        </w:rPr>
      </w:pPr>
      <w:r>
        <w:rPr>
          <w:rFonts w:ascii="Times New Roman" w:hAnsi="Times New Roman"/>
          <w:noProof/>
          <w:sz w:val="24"/>
        </w:rPr>
        <w:t>Bezpečnosť sietí 5G má pre Úniu strategický význam. Zahraničné investície do strategických odvetví, akvizícia kritických aktív, technológií a infraštruktúry v Únii a dodávanie kritických zariadení môžu takisto predstavovať riziká pre bezpečnosť Únie.</w:t>
      </w:r>
    </w:p>
    <w:p>
      <w:pPr>
        <w:spacing w:after="240" w:line="240" w:lineRule="auto"/>
        <w:jc w:val="both"/>
        <w:rPr>
          <w:rFonts w:ascii="Times New Roman" w:hAnsi="Times New Roman"/>
          <w:noProof/>
          <w:color w:val="000000"/>
          <w:sz w:val="24"/>
          <w:szCs w:val="24"/>
        </w:rPr>
      </w:pPr>
      <w:r>
        <w:rPr>
          <w:rFonts w:ascii="Times New Roman" w:hAnsi="Times New Roman"/>
          <w:bCs/>
          <w:noProof/>
          <w:sz w:val="24"/>
        </w:rPr>
        <w:t xml:space="preserve">Nový </w:t>
      </w:r>
      <w:r>
        <w:rPr>
          <w:rFonts w:ascii="Times New Roman" w:hAnsi="Times New Roman"/>
          <w:b/>
          <w:bCs/>
          <w:noProof/>
          <w:sz w:val="24"/>
        </w:rPr>
        <w:t>rámec EÚ na preverovanie priamych zahraničných investícií</w:t>
      </w:r>
      <w:r>
        <w:rPr>
          <w:rStyle w:val="FootnoteReference"/>
          <w:bCs/>
          <w:noProof/>
          <w:sz w:val="24"/>
        </w:rPr>
        <w:footnoteReference w:id="42"/>
      </w:r>
      <w:r>
        <w:rPr>
          <w:rFonts w:ascii="Times New Roman" w:hAnsi="Times New Roman"/>
          <w:bCs/>
          <w:noProof/>
          <w:sz w:val="24"/>
        </w:rPr>
        <w:t xml:space="preserve"> nadobudol účinnosť 10. apríla 2019. V priebehu nasledujúcich 18 mesiacov Komisia a členské štáty prijmú potrebné opatrenia s cieľom zabezpečiť, aby EÚ mohla od 11. októbra 2020 naplno uplatňovať </w:t>
      </w:r>
      <w:r>
        <w:rPr>
          <w:rFonts w:ascii="Times New Roman" w:hAnsi="Times New Roman"/>
          <w:noProof/>
          <w:sz w:val="24"/>
        </w:rPr>
        <w:t>nariadenie o preverovaní investícií.</w:t>
      </w:r>
      <w:r>
        <w:rPr>
          <w:rFonts w:ascii="Times New Roman" w:hAnsi="Times New Roman"/>
          <w:bCs/>
          <w:noProof/>
          <w:sz w:val="24"/>
        </w:rPr>
        <w:t>.</w:t>
      </w:r>
    </w:p>
    <w:p>
      <w:pPr>
        <w:spacing w:after="240" w:line="240" w:lineRule="auto"/>
        <w:rPr>
          <w:rFonts w:ascii="Times New Roman" w:hAnsi="Times New Roman"/>
          <w:b/>
          <w:bCs/>
          <w:noProof/>
          <w:sz w:val="24"/>
        </w:rPr>
      </w:pPr>
      <w:r>
        <w:rPr>
          <w:rFonts w:ascii="Times New Roman" w:hAnsi="Times New Roman"/>
          <w:b/>
          <w:bCs/>
          <w:noProof/>
          <w:sz w:val="24"/>
        </w:rPr>
        <w:t xml:space="preserve">IV. </w:t>
      </w:r>
      <w:r>
        <w:rPr>
          <w:rFonts w:ascii="Times New Roman" w:hAnsi="Times New Roman"/>
          <w:b/>
          <w:bCs/>
          <w:noProof/>
          <w:sz w:val="24"/>
        </w:rPr>
        <w:tab/>
        <w:t>BOJ PROTI PRANIU ŠPINAVÝCH PEŇAZÍ</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Schopnosť páchateľov trestných činov a teroristov prevádzať finančné prostriedky medzi bankovými účtami v priebehu niekoľkých hodín im umožňuje ľahšie pripravovať teroristické činy alebo nezákonne prať príjmy z trestnej činnosti v rozličných členských štátoch. S </w:t>
      </w:r>
      <w:r>
        <w:rPr>
          <w:rFonts w:ascii="Times New Roman" w:hAnsi="Times New Roman"/>
          <w:iCs/>
          <w:noProof/>
          <w:sz w:val="24"/>
        </w:rPr>
        <w:t xml:space="preserve">cieľom riešiť tento problém Únia vyvinula pevný </w:t>
      </w:r>
      <w:r>
        <w:rPr>
          <w:rFonts w:ascii="Times New Roman" w:hAnsi="Times New Roman"/>
          <w:b/>
          <w:iCs/>
          <w:noProof/>
          <w:sz w:val="24"/>
        </w:rPr>
        <w:t>regulačný rámec na boj proti praniu špinavých peňazí a financovaniu terorizmu</w:t>
      </w:r>
      <w:r>
        <w:rPr>
          <w:rFonts w:ascii="Times New Roman" w:hAnsi="Times New Roman"/>
          <w:iCs/>
          <w:noProof/>
          <w:sz w:val="24"/>
        </w:rPr>
        <w:t>, ktorý je v súlade s medzinárodnými normami prijatými Finančnou akčnou skupinou.</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rPr>
        <w:t xml:space="preserve">Vzhľadom na potrebu udržať krok s meniacimi sa trendmi, technologickým vývojom a prispôsobivou vynaliezavosťou páchateľov trestnej činnosti pri využívaní akýchkoľvek nedostatkov a medzier v systéme Komisia 24. júla 2019 prijala </w:t>
      </w:r>
      <w:r>
        <w:rPr>
          <w:rFonts w:ascii="Times New Roman" w:hAnsi="Times New Roman"/>
          <w:b/>
          <w:iCs/>
          <w:noProof/>
          <w:sz w:val="24"/>
        </w:rPr>
        <w:t>balík štyroch správ</w:t>
      </w:r>
      <w:r>
        <w:rPr>
          <w:rFonts w:ascii="Times New Roman" w:hAnsi="Times New Roman"/>
          <w:iCs/>
          <w:noProof/>
          <w:sz w:val="24"/>
        </w:rPr>
        <w:t>, v ktorých sa analyzujú aktuálne riziká a zraniteľné miesta súvisiace s praním špinavých peňazí a v ktorých sa posudzuje spôsob, akým rámec uplatňujú príslušní aktéri v súkromnom, ako aj vo verejnom sektore</w:t>
      </w:r>
      <w:r>
        <w:rPr>
          <w:rStyle w:val="FootnoteReference"/>
          <w:iCs/>
          <w:noProof/>
          <w:sz w:val="24"/>
        </w:rPr>
        <w:footnoteReference w:id="43"/>
      </w:r>
      <w:r>
        <w:rPr>
          <w:rFonts w:ascii="Times New Roman" w:hAnsi="Times New Roman"/>
          <w:noProof/>
          <w:sz w:val="24"/>
        </w:rPr>
        <w:t>.</w:t>
      </w:r>
    </w:p>
    <w:p>
      <w:pPr>
        <w:widowControl w:val="0"/>
        <w:spacing w:after="240" w:line="240" w:lineRule="auto"/>
        <w:jc w:val="both"/>
        <w:rPr>
          <w:rFonts w:ascii="Times New Roman" w:eastAsia="Calibri" w:hAnsi="Times New Roman" w:cs="Times New Roman"/>
          <w:iCs/>
          <w:noProof/>
          <w:spacing w:val="-4"/>
          <w:sz w:val="24"/>
          <w:szCs w:val="24"/>
        </w:rPr>
      </w:pPr>
      <w:r>
        <w:rPr>
          <w:rFonts w:ascii="Times New Roman" w:hAnsi="Times New Roman"/>
          <w:iCs/>
          <w:noProof/>
          <w:spacing w:val="-4"/>
          <w:sz w:val="24"/>
        </w:rPr>
        <w:t xml:space="preserve">Balík obsahuje </w:t>
      </w:r>
      <w:r>
        <w:rPr>
          <w:rFonts w:ascii="Times New Roman" w:hAnsi="Times New Roman"/>
          <w:b/>
          <w:iCs/>
          <w:noProof/>
          <w:spacing w:val="-4"/>
          <w:sz w:val="24"/>
        </w:rPr>
        <w:t>posúdenie potenciálneho prepojenia vnútroštátnych centralizovaných registrov bankových účtov a systémov vyhľadávania údajov</w:t>
      </w:r>
      <w:r>
        <w:rPr>
          <w:rFonts w:ascii="Times New Roman" w:hAnsi="Times New Roman"/>
          <w:iCs/>
          <w:noProof/>
          <w:spacing w:val="-4"/>
          <w:sz w:val="24"/>
        </w:rPr>
        <w:t xml:space="preserve"> v EÚ. </w:t>
      </w:r>
      <w:r>
        <w:rPr>
          <w:rFonts w:ascii="Times New Roman" w:hAnsi="Times New Roman"/>
          <w:noProof/>
          <w:spacing w:val="-4"/>
          <w:sz w:val="24"/>
        </w:rPr>
        <w:t>Na základe takýchto vnútroštátnych centralizovaných systémov je možné identifikovať každú fyzickú alebo právnickú osobu, ktorá vlastní alebo kontroluje platobné účty, bankové účty a bezpečnostné schránky – tieto informácie sú často kľúčové pre príslušné orgány v boji proti praniu špinavých peňazí a financovaniu terorizmu. V piatej smernici o boji proti praniu špinavých peňazí</w:t>
      </w:r>
      <w:r>
        <w:rPr>
          <w:rStyle w:val="FootnoteReference"/>
          <w:iCs/>
          <w:noProof/>
          <w:spacing w:val="-4"/>
          <w:sz w:val="24"/>
        </w:rPr>
        <w:footnoteReference w:id="44"/>
      </w:r>
      <w:r>
        <w:rPr>
          <w:rFonts w:ascii="Times New Roman" w:hAnsi="Times New Roman"/>
          <w:iCs/>
          <w:noProof/>
          <w:spacing w:val="-4"/>
          <w:sz w:val="24"/>
        </w:rPr>
        <w:t xml:space="preserve"> sa od členských štátov vyžaduje, aby takéto vnútroštátne centralizované systémy zaviedli a poskytli svojim vnútroštátnym finančným spravodajským jednotkám priamy prístup. Nedávno prijatými pravidlami na uľahčenie používania finančných informácií na boj proti závažnej trestnej činnosti</w:t>
      </w:r>
      <w:r>
        <w:rPr>
          <w:rStyle w:val="FootnoteReference"/>
          <w:iCs/>
          <w:noProof/>
          <w:spacing w:val="-4"/>
          <w:sz w:val="24"/>
        </w:rPr>
        <w:footnoteReference w:id="45"/>
      </w:r>
      <w:r>
        <w:rPr>
          <w:rFonts w:ascii="Times New Roman" w:hAnsi="Times New Roman"/>
          <w:iCs/>
          <w:noProof/>
          <w:spacing w:val="-4"/>
          <w:sz w:val="24"/>
        </w:rPr>
        <w:t xml:space="preserve"> sa určeným orgánom presadzovania práva a úradom pre vyhľadávanie majetku poskytuje priamy prístup k ich príslušným vnútroštátnym centralizovaným registrom bankových účtov. Na základe toho, a ako sa vyžaduje podľa smernice o boji proti praniu špinavých peňazí, sa v správe posudzujú rôzne IT riešenia na úrovni EÚ, ktoré sú už v prevádzke alebo v súčasnosti prebieha ich vývoj a ktoré môžu slúžiť ako model pre prípadné prepojenie vnútroštátnych centralizovaných systémov. </w:t>
      </w:r>
      <w:r>
        <w:rPr>
          <w:rFonts w:ascii="Times New Roman" w:hAnsi="Times New Roman"/>
          <w:noProof/>
          <w:spacing w:val="-4"/>
          <w:sz w:val="24"/>
        </w:rPr>
        <w:t>Vzhľadom na to, že v budúcnosti by prepojenie centralizovaných mechanizmov v celej Únii urýchlilo prístup k finančným informáciám a uľahčilo cezhraničnú spoluprácu príslušných orgánov, Komisia plánuje pokračovať v konzultáciách s príslušnými zainteresovanými stranami, vládami, ako aj s finančnými spravodajskými jednotkami, orgánmi presadzovania práva a úradmi pre vyhľadávanie majetku ako s potenciálnymi „koncovými používateľmi“ prípadného prepojeného systému.</w:t>
      </w:r>
    </w:p>
    <w:p>
      <w:pPr>
        <w:widowControl w:val="0"/>
        <w:spacing w:after="240" w:line="240" w:lineRule="auto"/>
        <w:jc w:val="both"/>
        <w:rPr>
          <w:rFonts w:ascii="Times New Roman" w:eastAsia="Calibri" w:hAnsi="Times New Roman" w:cs="Times New Roman"/>
          <w:iCs/>
          <w:noProof/>
          <w:spacing w:val="-2"/>
          <w:sz w:val="24"/>
          <w:szCs w:val="24"/>
        </w:rPr>
      </w:pPr>
      <w:r>
        <w:rPr>
          <w:rFonts w:ascii="Times New Roman" w:hAnsi="Times New Roman"/>
          <w:iCs/>
          <w:noProof/>
          <w:spacing w:val="-2"/>
          <w:sz w:val="24"/>
        </w:rPr>
        <w:t xml:space="preserve">V rámci úvah Komisie o práci finančných spravodajských jednotiek sa v správe, ktorou sa posudzuje </w:t>
      </w:r>
      <w:r>
        <w:rPr>
          <w:rFonts w:ascii="Times New Roman" w:hAnsi="Times New Roman"/>
          <w:b/>
          <w:iCs/>
          <w:noProof/>
          <w:spacing w:val="-2"/>
          <w:sz w:val="24"/>
        </w:rPr>
        <w:t>spolupráca medzi finančnými spravodajskými jednotkami</w:t>
      </w:r>
      <w:r>
        <w:rPr>
          <w:rFonts w:ascii="Times New Roman" w:hAnsi="Times New Roman"/>
          <w:iCs/>
          <w:noProof/>
          <w:spacing w:val="-2"/>
          <w:sz w:val="24"/>
        </w:rPr>
        <w:t>, hodnotí spolupráca v rámci Únie aj spolupráca s tretími krajinami</w:t>
      </w:r>
      <w:r>
        <w:rPr>
          <w:rStyle w:val="FootnoteReference"/>
          <w:iCs/>
          <w:noProof/>
          <w:spacing w:val="-2"/>
          <w:sz w:val="24"/>
        </w:rPr>
        <w:footnoteReference w:id="46"/>
      </w:r>
      <w:r>
        <w:rPr>
          <w:rFonts w:ascii="Times New Roman" w:hAnsi="Times New Roman"/>
          <w:noProof/>
          <w:spacing w:val="-2"/>
          <w:sz w:val="24"/>
        </w:rPr>
        <w:t>.</w:t>
      </w:r>
      <w:r>
        <w:rPr>
          <w:rFonts w:ascii="Times New Roman" w:hAnsi="Times New Roman"/>
          <w:iCs/>
          <w:noProof/>
          <w:spacing w:val="-2"/>
          <w:sz w:val="24"/>
        </w:rPr>
        <w:t xml:space="preserve"> Určujú sa v nej isté nedostatky, ktoré budú pravdepodobne existovať dovtedy, kým úlohy a záväzky finančných spravodajských jednotiek v oblasti cezhraničnej spolupráce nebudú jasnejšie pomenované v právnom rámci EÚ na boj proti praniu špinavých peňazí a financovaniu terorizmu. Z posúdenia rovnako vyplynula aj potreba silnejšieho mechanizmu na koordináciu a podporu cezhraničnej spolupráce a analýzu.</w:t>
      </w:r>
    </w:p>
    <w:p>
      <w:pPr>
        <w:widowControl w:val="0"/>
        <w:spacing w:after="240" w:line="240" w:lineRule="auto"/>
        <w:jc w:val="both"/>
        <w:rPr>
          <w:rFonts w:ascii="Times New Roman" w:hAnsi="Times New Roman" w:cs="Times New Roman"/>
          <w:b/>
          <w:bCs/>
          <w:noProof/>
          <w:sz w:val="24"/>
          <w:szCs w:val="24"/>
        </w:rPr>
      </w:pPr>
      <w:r>
        <w:rPr>
          <w:rFonts w:ascii="Times New Roman" w:hAnsi="Times New Roman"/>
          <w:noProof/>
          <w:sz w:val="24"/>
        </w:rPr>
        <w:t>Odhliadnuc od už vykonanej práce v boji proti praniu špinavých peňazí a financovaniu terorizmu, ako aj v reakcii na výzvu Európskeho parlamentu</w:t>
      </w:r>
      <w:r>
        <w:rPr>
          <w:rStyle w:val="FootnoteReference"/>
          <w:noProof/>
          <w:sz w:val="24"/>
        </w:rPr>
        <w:footnoteReference w:id="47"/>
      </w:r>
      <w:r>
        <w:rPr>
          <w:rFonts w:ascii="Times New Roman" w:hAnsi="Times New Roman"/>
          <w:noProof/>
          <w:sz w:val="24"/>
        </w:rPr>
        <w:t xml:space="preserve"> bude Komisia naďalej posudzovať nevyhnutnosť, technickú uskutočniteľnosť a primeranosť dodatočných opatrení na sledovanie financovania terorizmu v EÚ</w:t>
      </w:r>
      <w:r>
        <w:rPr>
          <w:rStyle w:val="FootnoteReference"/>
          <w:noProof/>
          <w:sz w:val="24"/>
        </w:rPr>
        <w:footnoteReference w:id="48"/>
      </w:r>
      <w:r>
        <w:rPr>
          <w:rFonts w:ascii="Times New Roman" w:hAnsi="Times New Roman"/>
          <w:noProof/>
          <w:sz w:val="24"/>
        </w:rPr>
        <w:t>.</w:t>
      </w:r>
    </w:p>
    <w:p>
      <w:pPr>
        <w:spacing w:after="240" w:line="240" w:lineRule="auto"/>
        <w:rPr>
          <w:rFonts w:ascii="Times New Roman" w:hAnsi="Times New Roman" w:cs="Times New Roman"/>
          <w:noProof/>
          <w:sz w:val="24"/>
          <w:szCs w:val="24"/>
        </w:rPr>
      </w:pPr>
      <w:r>
        <w:rPr>
          <w:rFonts w:ascii="Times New Roman" w:hAnsi="Times New Roman"/>
          <w:b/>
          <w:bCs/>
          <w:noProof/>
          <w:sz w:val="24"/>
        </w:rPr>
        <w:t>V. VYKONÁVANIE OSTATNÝCH PRIORÍT V OBLASTI BEZPEČNOSTI</w:t>
      </w:r>
    </w:p>
    <w:p>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rPr>
        <w:t>1. Vykonávanie legislatívnych opatrení v rámci bezpečnostnej únie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rPr>
        <w:t>Dosiahnutie dohody o opatreniach v rámci bezpečnostnej únie nepredstavuje koniec postupu – následne je veľmi dôležité zaistiť ich rýchle a úplné vykonávanie členskými štátmi, aby sa mohli v plnej miere využívať ich výhody. Na tento účel Komisia aktívne podporuje členské štáty, okrem iného aj prostredníctvom financovania a uľahčovania výmeny najlepších postupov. V prípade potreby je však Komisia pripravená v plnej miere využívať aj svoje právomoci vyplývajúce zo zmlúv, pokiaľ ide o presadzovanie právnych predpisov EÚ, prípadne aj vrátane postupov v prípade nesplnenia povinnosti.</w:t>
      </w:r>
    </w:p>
    <w:p>
      <w:pPr>
        <w:widowControl w:val="0"/>
        <w:spacing w:after="240" w:line="240" w:lineRule="auto"/>
        <w:jc w:val="both"/>
        <w:rPr>
          <w:rFonts w:ascii="Times New Roman" w:hAnsi="Times New Roman"/>
          <w:iCs/>
          <w:noProof/>
          <w:spacing w:val="-4"/>
          <w:sz w:val="24"/>
        </w:rPr>
      </w:pPr>
      <w:r>
        <w:rPr>
          <w:rFonts w:ascii="Times New Roman" w:hAnsi="Times New Roman"/>
          <w:iCs/>
          <w:noProof/>
          <w:spacing w:val="-4"/>
          <w:sz w:val="24"/>
        </w:rPr>
        <w:t xml:space="preserve">Lehota na vykonávanie </w:t>
      </w:r>
      <w:r>
        <w:rPr>
          <w:rFonts w:ascii="Times New Roman" w:hAnsi="Times New Roman"/>
          <w:b/>
          <w:iCs/>
          <w:noProof/>
          <w:spacing w:val="-4"/>
          <w:sz w:val="24"/>
        </w:rPr>
        <w:t>smernice EÚ o osobných záznamoch o cestujúcich</w:t>
      </w:r>
      <w:r>
        <w:rPr>
          <w:rFonts w:ascii="Times New Roman" w:eastAsia="Calibri" w:hAnsi="Times New Roman" w:cs="Times New Roman"/>
          <w:iCs/>
          <w:noProof/>
          <w:spacing w:val="-4"/>
          <w:sz w:val="24"/>
          <w:vertAlign w:val="superscript"/>
        </w:rPr>
        <w:footnoteReference w:id="49"/>
      </w:r>
      <w:r>
        <w:rPr>
          <w:rFonts w:ascii="Times New Roman" w:hAnsi="Times New Roman"/>
          <w:b/>
          <w:iCs/>
          <w:noProof/>
          <w:spacing w:val="-4"/>
          <w:sz w:val="24"/>
        </w:rPr>
        <w:t xml:space="preserve"> </w:t>
      </w:r>
      <w:r>
        <w:rPr>
          <w:rFonts w:ascii="Times New Roman" w:hAnsi="Times New Roman"/>
          <w:iCs/>
          <w:noProof/>
          <w:spacing w:val="-4"/>
          <w:sz w:val="24"/>
        </w:rPr>
        <w:t xml:space="preserve">uplynula 25. mája 2018. </w:t>
      </w:r>
      <w:r>
        <w:rPr>
          <w:rFonts w:ascii="Times New Roman" w:hAnsi="Times New Roman"/>
          <w:noProof/>
          <w:spacing w:val="-4"/>
          <w:sz w:val="24"/>
        </w:rPr>
        <w:t>25 členských štátov doteraz Komisii neoznámilo úplnú transpozíciu</w:t>
      </w:r>
      <w:r>
        <w:rPr>
          <w:rStyle w:val="FootnoteReference"/>
          <w:noProof/>
          <w:spacing w:val="-4"/>
          <w:sz w:val="24"/>
        </w:rPr>
        <w:footnoteReference w:id="50"/>
      </w:r>
      <w:r>
        <w:rPr>
          <w:rFonts w:ascii="Times New Roman" w:hAnsi="Times New Roman"/>
          <w:noProof/>
          <w:spacing w:val="-4"/>
          <w:sz w:val="24"/>
        </w:rPr>
        <w:t>.</w:t>
      </w:r>
      <w:r>
        <w:rPr>
          <w:rFonts w:ascii="Times New Roman" w:hAnsi="Times New Roman"/>
          <w:iCs/>
          <w:noProof/>
          <w:spacing w:val="-4"/>
          <w:sz w:val="24"/>
        </w:rPr>
        <w:t xml:space="preserve"> Úplná transpozícia sa ešte stále nevykonala v dvoch členských štátoch, a to aj napriek tomu, že sa 19. júla 2018 začali postupy v prípade nesplnenia povinnosti</w:t>
      </w:r>
      <w:r>
        <w:rPr>
          <w:rStyle w:val="FootnoteReference"/>
          <w:iCs/>
          <w:noProof/>
          <w:spacing w:val="-4"/>
          <w:sz w:val="24"/>
        </w:rPr>
        <w:footnoteReference w:id="51"/>
      </w:r>
      <w:r>
        <w:rPr>
          <w:rFonts w:ascii="Times New Roman" w:hAnsi="Times New Roman"/>
          <w:noProof/>
          <w:spacing w:val="-4"/>
          <w:sz w:val="24"/>
        </w:rPr>
        <w:t>.</w:t>
      </w:r>
      <w:r>
        <w:rPr>
          <w:rFonts w:ascii="Times New Roman" w:hAnsi="Times New Roman"/>
          <w:iCs/>
          <w:noProof/>
          <w:spacing w:val="-4"/>
          <w:sz w:val="24"/>
        </w:rPr>
        <w:t xml:space="preserve"> Komisia zároveň naďalej podporuje všetky členské štáty v ich úsilí o dokončenie vývoja systémov na vedenie osobných záznamov o cestujúcich, okrem iného aj zjednodušením výmeny informácií a najlepších postupov.</w:t>
      </w:r>
    </w:p>
    <w:p>
      <w:pPr>
        <w:widowControl w:val="0"/>
        <w:spacing w:after="240" w:line="240" w:lineRule="auto"/>
        <w:jc w:val="both"/>
        <w:rPr>
          <w:rFonts w:ascii="Times New Roman" w:eastAsia="Calibri" w:hAnsi="Times New Roman" w:cs="Times New Roman"/>
          <w:iCs/>
          <w:noProof/>
          <w:spacing w:val="-4"/>
          <w:sz w:val="24"/>
          <w:szCs w:val="24"/>
        </w:rPr>
      </w:pPr>
      <w:r>
        <w:rPr>
          <w:rFonts w:ascii="Times New Roman" w:hAnsi="Times New Roman"/>
          <w:iCs/>
          <w:noProof/>
          <w:spacing w:val="-4"/>
          <w:sz w:val="24"/>
        </w:rPr>
        <w:t xml:space="preserve">Lehota na transpozíciu </w:t>
      </w:r>
      <w:r>
        <w:rPr>
          <w:rFonts w:ascii="Times New Roman" w:hAnsi="Times New Roman"/>
          <w:b/>
          <w:bCs/>
          <w:iCs/>
          <w:noProof/>
          <w:spacing w:val="-4"/>
          <w:sz w:val="24"/>
        </w:rPr>
        <w:t>smernice o boji proti terorizmu</w:t>
      </w:r>
      <w:r>
        <w:rPr>
          <w:rFonts w:ascii="Times New Roman" w:eastAsia="Calibri" w:hAnsi="Times New Roman" w:cs="Times New Roman"/>
          <w:iCs/>
          <w:noProof/>
          <w:spacing w:val="-4"/>
          <w:sz w:val="24"/>
          <w:vertAlign w:val="superscript"/>
        </w:rPr>
        <w:footnoteReference w:id="52"/>
      </w:r>
      <w:r>
        <w:rPr>
          <w:rFonts w:ascii="Times New Roman" w:hAnsi="Times New Roman"/>
          <w:iCs/>
          <w:noProof/>
          <w:spacing w:val="-4"/>
          <w:sz w:val="24"/>
        </w:rPr>
        <w:t xml:space="preserve"> uplynula 8. septembra 2018. </w:t>
      </w:r>
      <w:r>
        <w:rPr>
          <w:rFonts w:ascii="Times New Roman" w:hAnsi="Times New Roman"/>
          <w:noProof/>
          <w:spacing w:val="-4"/>
          <w:sz w:val="24"/>
        </w:rPr>
        <w:t>22 členských štátov doteraz neoznámilo Komisii úplnú transpozíciu.</w:t>
      </w:r>
      <w:r>
        <w:rPr>
          <w:rFonts w:ascii="Times New Roman" w:hAnsi="Times New Roman"/>
          <w:iCs/>
          <w:noProof/>
          <w:spacing w:val="-4"/>
          <w:sz w:val="24"/>
        </w:rPr>
        <w:t xml:space="preserve"> Tri členské štáty ešte stále neinformovali o prijatí vnútroštátnych právnych predpisov, ktorými sa smernica úplne transponuje, a to aj napriek postupom v prípade nesplnenia povinnosti, ktoré Komisia začala 22. novembra 2018.</w:t>
      </w:r>
      <w:r>
        <w:rPr>
          <w:rFonts w:ascii="Times New Roman" w:eastAsia="Calibri" w:hAnsi="Times New Roman" w:cs="Times New Roman"/>
          <w:iCs/>
          <w:noProof/>
          <w:spacing w:val="-4"/>
          <w:sz w:val="24"/>
          <w:vertAlign w:val="superscript"/>
        </w:rPr>
        <w:footnoteReference w:id="53"/>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rPr>
        <w:t xml:space="preserve">Lehota na transpozíciu </w:t>
      </w:r>
      <w:r>
        <w:rPr>
          <w:rFonts w:ascii="Times New Roman" w:hAnsi="Times New Roman"/>
          <w:b/>
          <w:iCs/>
          <w:noProof/>
          <w:sz w:val="24"/>
        </w:rPr>
        <w:t>smernice o kontrole získavania a vlastnenia zbraní</w:t>
      </w:r>
      <w:r>
        <w:rPr>
          <w:rFonts w:ascii="Times New Roman" w:eastAsia="Calibri" w:hAnsi="Times New Roman" w:cs="Times New Roman"/>
          <w:iCs/>
          <w:noProof/>
          <w:sz w:val="24"/>
          <w:vertAlign w:val="superscript"/>
        </w:rPr>
        <w:footnoteReference w:id="54"/>
      </w:r>
      <w:r>
        <w:rPr>
          <w:rFonts w:ascii="Times New Roman" w:hAnsi="Times New Roman"/>
          <w:iCs/>
          <w:noProof/>
          <w:sz w:val="24"/>
        </w:rPr>
        <w:t xml:space="preserve"> uplynula 14. septembra 2018. </w:t>
      </w:r>
      <w:r>
        <w:rPr>
          <w:rFonts w:ascii="Times New Roman" w:hAnsi="Times New Roman"/>
          <w:noProof/>
          <w:sz w:val="24"/>
        </w:rPr>
        <w:t>8 členských štátov doteraz neoznámilo Komisii úplnú transpozíciu.</w:t>
      </w:r>
      <w:r>
        <w:rPr>
          <w:rFonts w:ascii="Times New Roman" w:hAnsi="Times New Roman"/>
          <w:iCs/>
          <w:noProof/>
          <w:sz w:val="24"/>
        </w:rPr>
        <w:t xml:space="preserve"> 20 členských štátov ešte stále neinformovalo o prijatí vnútroštátnych opatrení, ktorými sa smernica úplne transponuje, a to aj napriek postupom v prípade nesplnenia povinnosti, ktoré Komisia začala 22. novembra 2018</w:t>
      </w:r>
      <w:r>
        <w:rPr>
          <w:rStyle w:val="FootnoteReference"/>
          <w:iCs/>
          <w:noProof/>
          <w:sz w:val="24"/>
        </w:rPr>
        <w:footnoteReference w:id="55"/>
      </w:r>
      <w:r>
        <w:rPr>
          <w:rFonts w:ascii="Times New Roman" w:hAnsi="Times New Roman"/>
          <w:noProof/>
          <w:sz w:val="24"/>
        </w:rPr>
        <w:t>.</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Pokiaľ ide o transpozíciu </w:t>
      </w:r>
      <w:r>
        <w:rPr>
          <w:rFonts w:ascii="Times New Roman" w:hAnsi="Times New Roman"/>
          <w:b/>
          <w:noProof/>
          <w:sz w:val="24"/>
        </w:rPr>
        <w:t>smernice o presadzovaní práva v oblasti ochrany údajov</w:t>
      </w:r>
      <w:r>
        <w:rPr>
          <w:rStyle w:val="FootnoteReference"/>
          <w:noProof/>
          <w:sz w:val="24"/>
        </w:rPr>
        <w:footnoteReference w:id="56"/>
      </w:r>
      <w:r>
        <w:rPr>
          <w:rFonts w:ascii="Times New Roman" w:hAnsi="Times New Roman"/>
          <w:noProof/>
          <w:sz w:val="24"/>
        </w:rPr>
        <w:t xml:space="preserve"> do vnútroštátneho práva, lehota na transpozíciu uplynula 6. mája 2018. 20 členských štátov doteraz Komisii neoznámilo úplnú transpozíciu</w:t>
      </w:r>
      <w:r>
        <w:rPr>
          <w:rStyle w:val="FootnoteReference"/>
          <w:noProof/>
          <w:sz w:val="24"/>
        </w:rPr>
        <w:footnoteReference w:id="57"/>
      </w:r>
      <w:r>
        <w:rPr>
          <w:rFonts w:ascii="Times New Roman" w:hAnsi="Times New Roman"/>
          <w:noProof/>
          <w:sz w:val="24"/>
        </w:rPr>
        <w:t>.</w:t>
      </w:r>
      <w:r>
        <w:rPr>
          <w:rFonts w:ascii="Times New Roman" w:hAnsi="Times New Roman"/>
          <w:iCs/>
          <w:noProof/>
          <w:sz w:val="24"/>
        </w:rPr>
        <w:t xml:space="preserve"> 7 členských štátov ešte stále neinformovalo o prijatí vnútroštátnych opatrení, ktorými sa smernica úplne transponuje, a to aj napriek postupom v prípade nesplnenia povinnosti,</w:t>
      </w:r>
      <w:r>
        <w:rPr>
          <w:rFonts w:ascii="Times New Roman" w:hAnsi="Times New Roman"/>
          <w:noProof/>
          <w:sz w:val="24"/>
        </w:rPr>
        <w:t xml:space="preserve"> ktoré Komisia začala 19. júla 2018</w:t>
      </w:r>
      <w:r>
        <w:rPr>
          <w:rStyle w:val="FootnoteReference"/>
          <w:noProof/>
          <w:sz w:val="24"/>
        </w:rPr>
        <w:footnoteReference w:id="58"/>
      </w:r>
      <w:r>
        <w:rPr>
          <w:rFonts w:ascii="Times New Roman" w:hAnsi="Times New Roman"/>
          <w:noProof/>
          <w:sz w:val="24"/>
        </w:rPr>
        <w:t>.</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Členské štáty mali čas do 9. mája 2018 na to, aby transponovali </w:t>
      </w:r>
      <w:r>
        <w:rPr>
          <w:rFonts w:ascii="Times New Roman" w:hAnsi="Times New Roman"/>
          <w:b/>
          <w:noProof/>
          <w:sz w:val="24"/>
        </w:rPr>
        <w:t>smernicu o bezpečnosti sietí a informačných systémov</w:t>
      </w:r>
      <w:r>
        <w:rPr>
          <w:rStyle w:val="FootnoteReference"/>
          <w:b/>
          <w:noProof/>
          <w:sz w:val="24"/>
        </w:rPr>
        <w:footnoteReference w:id="59"/>
      </w:r>
      <w:r>
        <w:rPr>
          <w:rFonts w:ascii="Times New Roman" w:hAnsi="Times New Roman"/>
          <w:noProof/>
          <w:sz w:val="24"/>
        </w:rPr>
        <w:t xml:space="preserve"> do vnútroštátneho práva. Komisii doteraz oznámilo úplnú transpozíciu 26 členských štátov a dva členské štáty smernicu transponovali čiastočne</w:t>
      </w:r>
      <w:r>
        <w:rPr>
          <w:rStyle w:val="FootnoteReference"/>
          <w:noProof/>
          <w:sz w:val="24"/>
        </w:rPr>
        <w:footnoteReference w:id="60"/>
      </w:r>
      <w:r>
        <w:rPr>
          <w:rFonts w:ascii="Times New Roman" w:hAnsi="Times New Roman"/>
          <w:noProof/>
          <w:sz w:val="24"/>
        </w:rPr>
        <w:t>. Od členských štátov sa navyše vyžadovalo, aby do 9. novembra 2018 v súlade so smernicou identifikovali prevádzkovateľov základných služieb. Komisia mala do 9. mája 2019 predložiť Európskemu parlamentu a Rade správu, v ktorej sa posudzuje konzistentnosť prístupu pri identifikácii prevádzkovateľov základných služieb identifikovaných na území členských štátov. Keďže viacero členských štátov ešte stále nepredložilo úplné informácie o procese identifikácie, Komisia musela túto správu odložiť.</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rPr>
        <w:t xml:space="preserve">Komisia posudzuje transpozíciu </w:t>
      </w:r>
      <w:r>
        <w:rPr>
          <w:rFonts w:ascii="Times New Roman" w:hAnsi="Times New Roman"/>
          <w:b/>
          <w:iCs/>
          <w:noProof/>
          <w:sz w:val="24"/>
        </w:rPr>
        <w:t>štvrtej smernice o boji proti praniu špinavých peňazí</w:t>
      </w:r>
      <w:r>
        <w:rPr>
          <w:rFonts w:ascii="Times New Roman" w:eastAsia="Calibri" w:hAnsi="Times New Roman" w:cs="Times New Roman"/>
          <w:iCs/>
          <w:noProof/>
          <w:sz w:val="24"/>
          <w:vertAlign w:val="superscript"/>
        </w:rPr>
        <w:footnoteReference w:id="61"/>
      </w:r>
      <w:r>
        <w:rPr>
          <w:rFonts w:ascii="Times New Roman" w:hAnsi="Times New Roman"/>
          <w:iCs/>
          <w:noProof/>
          <w:sz w:val="24"/>
        </w:rPr>
        <w:t xml:space="preserve"> a zároveň overuje, či členské štáty uplatňujú dané pravidlá. Komisia vedie postupy v prípade nesplnenia povinnosti proti 24 členským štátom, keďže dospela k záveru, že oznámenia predložené členskými štátmi nesvedčia o úplnej transpozícii tejto smernice.</w:t>
      </w:r>
      <w:r>
        <w:rPr>
          <w:rFonts w:ascii="Times New Roman" w:eastAsia="Calibri" w:hAnsi="Times New Roman" w:cs="Times New Roman"/>
          <w:iCs/>
          <w:noProof/>
          <w:sz w:val="24"/>
          <w:vertAlign w:val="superscript"/>
        </w:rPr>
        <w:footnoteReference w:id="62"/>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rPr>
        <w:t>Komisia naliehavo vyzýva členské štáty, aby prijali potrebné opatrenia na úplnú transpozíciu týchto smerníc do vnútroštátneho práva a oznámili ju Komisii:</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smernica EÚ o osobných záznamoch o cestujúcich</w:t>
            </w:r>
            <w:r>
              <w:rPr>
                <w:rFonts w:ascii="Times New Roman" w:hAnsi="Times New Roman"/>
                <w:noProof/>
                <w:sz w:val="24"/>
              </w:rPr>
              <w:t>, v súvislosti s ktorou jeden členský štát ešte stále neoznámil transpozíciu do vnútroštátneho práva a jeden členský štát musí oznámenie o transpozícii dokončiť</w:t>
            </w:r>
            <w:r>
              <w:rPr>
                <w:rStyle w:val="FootnoteReference"/>
                <w:noProof/>
                <w:sz w:val="24"/>
              </w:rPr>
              <w:footnoteReference w:id="63"/>
            </w:r>
            <w:r>
              <w:rPr>
                <w:rFonts w:ascii="Times New Roman" w:hAnsi="Times New Roman"/>
                <w:noProof/>
                <w:sz w:val="24"/>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smernica o boji proti terorizmu</w:t>
            </w:r>
            <w:r>
              <w:rPr>
                <w:rFonts w:ascii="Times New Roman" w:hAnsi="Times New Roman"/>
                <w:noProof/>
                <w:sz w:val="24"/>
              </w:rPr>
              <w:t>, v súvislosti s ktorou dva členské štáty ešte stále neoznámili transpozíciu do vnútroštátneho práva a jeden členský štát musí oznámenie o transpozícii dokončiť</w:t>
            </w:r>
            <w:r>
              <w:rPr>
                <w:rStyle w:val="FootnoteReference"/>
                <w:noProof/>
                <w:sz w:val="24"/>
              </w:rPr>
              <w:footnoteReference w:id="64"/>
            </w:r>
            <w:r>
              <w:rPr>
                <w:rFonts w:ascii="Times New Roman" w:hAnsi="Times New Roman"/>
                <w:noProof/>
                <w:sz w:val="24"/>
              </w:rPr>
              <w:t>;</w:t>
            </w:r>
          </w:p>
          <w:p>
            <w:pPr>
              <w:pStyle w:val="ListParagraph"/>
              <w:numPr>
                <w:ilvl w:val="0"/>
                <w:numId w:val="20"/>
              </w:numPr>
              <w:spacing w:after="240"/>
              <w:jc w:val="both"/>
              <w:rPr>
                <w:rFonts w:ascii="Times New Roman" w:hAnsi="Times New Roman"/>
                <w:noProof/>
                <w:sz w:val="24"/>
              </w:rPr>
            </w:pPr>
            <w:r>
              <w:rPr>
                <w:rFonts w:ascii="Times New Roman" w:hAnsi="Times New Roman"/>
                <w:b/>
                <w:noProof/>
                <w:sz w:val="24"/>
              </w:rPr>
              <w:t>smernica o kontrole získavania a vlastnenia zbraní</w:t>
            </w:r>
            <w:r>
              <w:rPr>
                <w:rFonts w:ascii="Times New Roman" w:hAnsi="Times New Roman"/>
                <w:noProof/>
                <w:sz w:val="24"/>
              </w:rPr>
              <w:t>, v súvislosti s ktorou 12 členských štátov ešte stále neoznámilo transpozíciu do vnútroštátneho práva a osem členských štátov musí oznámenie o transpozícii dokončiť</w:t>
            </w:r>
            <w:r>
              <w:rPr>
                <w:rStyle w:val="FootnoteReference"/>
                <w:noProof/>
                <w:sz w:val="24"/>
              </w:rPr>
              <w:footnoteReference w:id="65"/>
            </w:r>
            <w:r>
              <w:rPr>
                <w:rFonts w:ascii="Times New Roman" w:hAnsi="Times New Roman"/>
                <w:noProof/>
                <w:sz w:val="24"/>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smernica o presadzovaní práva v oblasti ochrany údajov</w:t>
            </w:r>
            <w:r>
              <w:rPr>
                <w:rFonts w:ascii="Times New Roman" w:hAnsi="Times New Roman"/>
                <w:noProof/>
                <w:sz w:val="24"/>
              </w:rPr>
              <w:t>, v súvislosti s ktorou dva členské štáty ešte stále neoznámili transpozíciu do vnútroštátneho práva a päť členských štátov musí oznámenie o transpozícii dokončiť</w:t>
            </w:r>
            <w:r>
              <w:rPr>
                <w:rStyle w:val="FootnoteReference"/>
                <w:noProof/>
                <w:sz w:val="24"/>
              </w:rPr>
              <w:footnoteReference w:id="66"/>
            </w:r>
            <w:r>
              <w:rPr>
                <w:rFonts w:ascii="Times New Roman" w:hAnsi="Times New Roman"/>
                <w:noProof/>
                <w:sz w:val="24"/>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rPr>
              <w:t>smernica o bezpečnosti sietí a informačných systémov</w:t>
            </w:r>
            <w:r>
              <w:rPr>
                <w:rFonts w:ascii="Times New Roman" w:hAnsi="Times New Roman"/>
                <w:noProof/>
                <w:sz w:val="24"/>
              </w:rPr>
              <w:t>, v súvislosti s ktorou musia oznámenie o transpozícii dokončiť dva členské štáty</w:t>
            </w:r>
            <w:r>
              <w:rPr>
                <w:rStyle w:val="FootnoteReference"/>
                <w:noProof/>
                <w:sz w:val="24"/>
              </w:rPr>
              <w:footnoteReference w:id="67"/>
            </w:r>
            <w:r>
              <w:rPr>
                <w:rFonts w:ascii="Times New Roman" w:hAnsi="Times New Roman"/>
                <w:noProof/>
                <w:sz w:val="24"/>
              </w:rPr>
              <w:t xml:space="preserve"> a</w:t>
            </w:r>
          </w:p>
          <w:p>
            <w:pPr>
              <w:pStyle w:val="ListParagraph"/>
              <w:numPr>
                <w:ilvl w:val="0"/>
                <w:numId w:val="20"/>
              </w:numPr>
              <w:ind w:left="357" w:hanging="357"/>
              <w:jc w:val="both"/>
              <w:rPr>
                <w:rFonts w:ascii="Times New Roman" w:hAnsi="Times New Roman" w:cs="Times New Roman"/>
                <w:noProof/>
                <w:color w:val="FF0000"/>
                <w:sz w:val="24"/>
                <w:szCs w:val="24"/>
              </w:rPr>
            </w:pPr>
            <w:r>
              <w:rPr>
                <w:rFonts w:ascii="Times New Roman" w:hAnsi="Times New Roman"/>
                <w:b/>
                <w:noProof/>
                <w:sz w:val="24"/>
              </w:rPr>
              <w:t>štvrtá smernica o boji proti praniu špinavých peňazí</w:t>
            </w:r>
            <w:r>
              <w:rPr>
                <w:rFonts w:ascii="Times New Roman" w:hAnsi="Times New Roman"/>
                <w:noProof/>
                <w:sz w:val="24"/>
              </w:rPr>
              <w:t>, v súvislosti s ktorou musí oznámenie o transpozícii dokončiť 24 členských štátov</w:t>
            </w:r>
            <w:r>
              <w:rPr>
                <w:rStyle w:val="FootnoteReference"/>
                <w:noProof/>
                <w:sz w:val="24"/>
              </w:rPr>
              <w:footnoteReference w:id="68"/>
            </w:r>
            <w:r>
              <w:rPr>
                <w:rFonts w:ascii="Times New Roman" w:hAnsi="Times New Roman"/>
                <w:noProof/>
                <w:sz w:val="24"/>
              </w:rPr>
              <w:t>.</w:t>
            </w:r>
          </w:p>
        </w:tc>
      </w:tr>
    </w:tbl>
    <w:p>
      <w:pPr>
        <w:spacing w:before="240" w:after="240" w:line="240" w:lineRule="auto"/>
        <w:jc w:val="both"/>
        <w:rPr>
          <w:rFonts w:ascii="Times New Roman" w:eastAsia="Calibri" w:hAnsi="Times New Roman" w:cs="Times New Roman"/>
          <w:i/>
          <w:iCs/>
          <w:noProof/>
          <w:color w:val="000000" w:themeColor="text1"/>
          <w:sz w:val="24"/>
          <w:szCs w:val="24"/>
        </w:rPr>
      </w:pPr>
      <w:r>
        <w:rPr>
          <w:rFonts w:ascii="Times New Roman" w:hAnsi="Times New Roman"/>
          <w:i/>
          <w:iCs/>
          <w:noProof/>
          <w:sz w:val="24"/>
        </w:rPr>
        <w:t>2. Boj proti dezinformáciám a ochrana volieb pred ďalšími kybernetickými hrozbami</w:t>
      </w:r>
    </w:p>
    <w:p>
      <w:p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Ochrana demokratických procesov a inštitúcií pred dezinformáciami a súvisiacimi zásahmi je veľkou výzvou pre spoločnosti na celom svete. S cieľom riešiť túto výzvu EÚ zaviedla </w:t>
      </w:r>
      <w:r>
        <w:rPr>
          <w:rFonts w:ascii="Times New Roman" w:hAnsi="Times New Roman"/>
          <w:b/>
          <w:noProof/>
          <w:sz w:val="24"/>
        </w:rPr>
        <w:t>pevný rámec pre koordinovaný boj proti dezinformáciám</w:t>
      </w:r>
      <w:r>
        <w:rPr>
          <w:rFonts w:ascii="Times New Roman" w:hAnsi="Times New Roman"/>
          <w:noProof/>
          <w:sz w:val="24"/>
        </w:rPr>
        <w:t xml:space="preserve"> pri úplnom zohľadňovaní európskych hodnôt a základných práv</w:t>
      </w:r>
      <w:r>
        <w:rPr>
          <w:rStyle w:val="FootnoteReference"/>
          <w:noProof/>
          <w:sz w:val="24"/>
        </w:rPr>
        <w:footnoteReference w:id="69"/>
      </w:r>
      <w:r>
        <w:rPr>
          <w:rFonts w:ascii="Times New Roman" w:hAnsi="Times New Roman"/>
          <w:noProof/>
          <w:sz w:val="24"/>
        </w:rPr>
        <w:t>. Ako sa uvádza v spoločnom oznámení zo 14. júla 2019 o vykonávaní akčného plánu proti dezinformáciám</w:t>
      </w:r>
      <w:r>
        <w:rPr>
          <w:rStyle w:val="FootnoteReference"/>
          <w:noProof/>
          <w:sz w:val="24"/>
        </w:rPr>
        <w:footnoteReference w:id="70"/>
      </w:r>
      <w:r>
        <w:rPr>
          <w:rFonts w:ascii="Times New Roman" w:hAnsi="Times New Roman"/>
          <w:noProof/>
          <w:sz w:val="24"/>
        </w:rPr>
        <w:t>, opatreniami podniknutými vo viacerých doplňujúcich sa oblastiach sa pomohlo obmedziť priestor pre dezinformácie a zachovať integritu volieb do Európskeho parlamentu.</w:t>
      </w:r>
    </w:p>
    <w:p>
      <w:pPr>
        <w:spacing w:after="240" w:line="240" w:lineRule="auto"/>
        <w:contextualSpacing/>
        <w:jc w:val="both"/>
        <w:rPr>
          <w:rFonts w:ascii="Times New Roman" w:eastAsia="Times New Roman" w:hAnsi="Times New Roman" w:cs="Times New Roman"/>
          <w:noProof/>
          <w:sz w:val="24"/>
          <w:szCs w:val="24"/>
        </w:rPr>
      </w:pPr>
    </w:p>
    <w:p>
      <w:pPr>
        <w:spacing w:after="240" w:line="240" w:lineRule="auto"/>
        <w:contextualSpacing/>
        <w:jc w:val="both"/>
        <w:rPr>
          <w:rFonts w:ascii="Times New Roman" w:hAnsi="Times New Roman" w:cs="Times New Roman"/>
          <w:noProof/>
          <w:sz w:val="24"/>
          <w:szCs w:val="24"/>
        </w:rPr>
      </w:pPr>
      <w:r>
        <w:rPr>
          <w:rFonts w:ascii="Times New Roman" w:hAnsi="Times New Roman"/>
          <w:iCs/>
          <w:noProof/>
          <w:sz w:val="24"/>
        </w:rPr>
        <w:t>Európska rada</w:t>
      </w:r>
      <w:r>
        <w:rPr>
          <w:rFonts w:ascii="Times New Roman" w:hAnsi="Times New Roman"/>
          <w:noProof/>
          <w:sz w:val="24"/>
        </w:rPr>
        <w:t xml:space="preserve"> vo svojich záveroch z 21. júna 2019</w:t>
      </w:r>
      <w:r>
        <w:rPr>
          <w:rStyle w:val="FootnoteReference"/>
          <w:noProof/>
          <w:sz w:val="24"/>
        </w:rPr>
        <w:footnoteReference w:id="71"/>
      </w:r>
      <w:r>
        <w:rPr>
          <w:rFonts w:ascii="Times New Roman" w:hAnsi="Times New Roman"/>
          <w:noProof/>
          <w:sz w:val="24"/>
        </w:rPr>
        <w:t xml:space="preserve"> privítala zámer Komisie vykonať hĺbkové hodnotenie plnenia záväzkov prijatých online platformami a ďalšími signatármi </w:t>
      </w:r>
      <w:r>
        <w:rPr>
          <w:rFonts w:ascii="Times New Roman" w:hAnsi="Times New Roman"/>
          <w:b/>
          <w:noProof/>
          <w:sz w:val="24"/>
        </w:rPr>
        <w:t>Kódexu postupov proti šíreniu dezinformácií</w:t>
      </w:r>
      <w:r>
        <w:rPr>
          <w:rStyle w:val="FootnoteReference"/>
          <w:noProof/>
          <w:sz w:val="24"/>
        </w:rPr>
        <w:footnoteReference w:id="72"/>
      </w:r>
      <w:r>
        <w:rPr>
          <w:rFonts w:ascii="Times New Roman" w:hAnsi="Times New Roman"/>
          <w:noProof/>
          <w:sz w:val="24"/>
        </w:rPr>
        <w:t xml:space="preserve"> a vyzvala Komisiu a vysokú predstaviteľku Únie pre zahraničné veci a bezpečnostnú politiku, aby neustále posudzovali a primerane reagovali na </w:t>
      </w:r>
      <w:r>
        <w:rPr>
          <w:rFonts w:ascii="Times New Roman" w:hAnsi="Times New Roman"/>
          <w:i/>
          <w:noProof/>
          <w:sz w:val="24"/>
        </w:rPr>
        <w:t>„meniaci sa charakter hrozieb a rastúce riziko škodlivého zasahovania a online manipulácie, ktoré súvisia s rozvojom umelej inteligencie a techník získavania údajov“.</w:t>
      </w:r>
      <w:r>
        <w:rPr>
          <w:rFonts w:ascii="Times New Roman" w:hAnsi="Times New Roman"/>
          <w:noProof/>
          <w:sz w:val="24"/>
        </w:rPr>
        <w:t>.</w:t>
      </w:r>
    </w:p>
    <w:p>
      <w:pPr>
        <w:spacing w:after="240" w:line="240" w:lineRule="auto"/>
        <w:contextualSpacing/>
        <w:jc w:val="both"/>
        <w:rPr>
          <w:rFonts w:ascii="Times New Roman" w:eastAsia="Times New Roman" w:hAnsi="Times New Roman" w:cs="Times New Roman"/>
          <w:noProof/>
          <w:sz w:val="24"/>
          <w:szCs w:val="24"/>
        </w:rPr>
      </w:pPr>
    </w:p>
    <w:p>
      <w:pPr>
        <w:spacing w:after="240" w:line="240" w:lineRule="auto"/>
        <w:jc w:val="both"/>
        <w:rPr>
          <w:rFonts w:ascii="Times New Roman" w:hAnsi="Times New Roman" w:cs="Times New Roman"/>
          <w:noProof/>
          <w:spacing w:val="-2"/>
          <w:sz w:val="24"/>
          <w:szCs w:val="24"/>
        </w:rPr>
      </w:pPr>
      <w:r>
        <w:rPr>
          <w:rFonts w:ascii="Times New Roman" w:hAnsi="Times New Roman"/>
          <w:noProof/>
          <w:spacing w:val="-2"/>
          <w:sz w:val="24"/>
        </w:rPr>
        <w:t>Komisia a vysoká predstaviteľka budú pokračovať v práci v tejto oblasti v súlade so závermi Európskej rady. V </w:t>
      </w:r>
      <w:r>
        <w:rPr>
          <w:rFonts w:ascii="Times New Roman" w:hAnsi="Times New Roman"/>
          <w:iCs/>
          <w:noProof/>
          <w:spacing w:val="-2"/>
          <w:sz w:val="24"/>
        </w:rPr>
        <w:t xml:space="preserve">marci 2019 Komisia a vysoká predstaviteľka zriadili </w:t>
      </w:r>
      <w:r>
        <w:rPr>
          <w:rFonts w:ascii="Times New Roman" w:hAnsi="Times New Roman"/>
          <w:b/>
          <w:iCs/>
          <w:noProof/>
          <w:spacing w:val="-2"/>
          <w:sz w:val="24"/>
        </w:rPr>
        <w:t>systém včasného varovania</w:t>
      </w:r>
      <w:r>
        <w:rPr>
          <w:rFonts w:ascii="Times New Roman" w:hAnsi="Times New Roman"/>
          <w:iCs/>
          <w:noProof/>
          <w:spacing w:val="-2"/>
          <w:sz w:val="24"/>
        </w:rPr>
        <w:t xml:space="preserve"> medzi inštitúciami EÚ a členskými štátmi s cieľom uľahčiť výmenu informácií súvisiacich s dezinformačnými kampaňami a koordinovať reakcie. Prvé stretnutie kontaktných miest členských štátov po voľbách do Európskeho parlamentu sa konalo 3. a 4. júna 2019 v Tallinne. Vysoká predstaviteľka a Komisia v úzkej spolupráci s členskými štátmi na jeseň 2019 preskúmajú fungovanie systému včasného varovania s cieľom ešte viac posilniť jeho fungovanie. </w:t>
      </w:r>
      <w:r>
        <w:rPr>
          <w:rFonts w:ascii="Times New Roman" w:hAnsi="Times New Roman"/>
          <w:noProof/>
          <w:spacing w:val="-2"/>
          <w:sz w:val="24"/>
        </w:rPr>
        <w:t>Takisto vypracujú spoločnú metodiku pre analýzu a odhaľovanie dezinformačných kampaní a vytvoria aj silnejšie partnerstvá s medzinárodnými partnermi, ako sú G7 a NATO.</w:t>
      </w:r>
    </w:p>
    <w:p>
      <w:pPr>
        <w:spacing w:after="240" w:line="240" w:lineRule="auto"/>
        <w:jc w:val="both"/>
        <w:rPr>
          <w:rFonts w:ascii="Times New Roman" w:hAnsi="Times New Roman" w:cs="Times New Roman"/>
          <w:iCs/>
          <w:noProof/>
          <w:sz w:val="24"/>
          <w:szCs w:val="24"/>
        </w:rPr>
      </w:pPr>
      <w:r>
        <w:rPr>
          <w:rFonts w:ascii="Times New Roman" w:hAnsi="Times New Roman"/>
          <w:noProof/>
          <w:sz w:val="24"/>
        </w:rPr>
        <w:t xml:space="preserve">Pokračujú aj práce v rámci </w:t>
      </w:r>
      <w:r>
        <w:rPr>
          <w:rFonts w:ascii="Times New Roman" w:hAnsi="Times New Roman"/>
          <w:b/>
          <w:noProof/>
          <w:sz w:val="24"/>
        </w:rPr>
        <w:t>európskej siete spolupráce v oblasti volieb</w:t>
      </w:r>
      <w:r>
        <w:rPr>
          <w:rStyle w:val="FootnoteReference"/>
          <w:noProof/>
          <w:sz w:val="24"/>
        </w:rPr>
        <w:footnoteReference w:id="73"/>
      </w:r>
      <w:r>
        <w:rPr>
          <w:rFonts w:ascii="Times New Roman" w:hAnsi="Times New Roman"/>
          <w:noProof/>
          <w:sz w:val="24"/>
        </w:rPr>
        <w:t>, ktorej prvé stretnutie sa konalo 7. júna 2019 s cieľom vyhodnotiť voľby do Európskeho parlamentu. Tieto úvahy a ďalšie vstupné informácie od príslušných vnútroštátnych orgánov, politických strán a online platforiem budú slúžiť ako zdroj pri vypracovaní komplexnej správy Komisie o voľbách do Európskeho parlamentu, ktorá sa má prijať v októbri 2019. Členské štáty využili sieť nielen v súvislosti s voľbami do Európskeho parlamentu, ale aj s ďalšími voľbami, čo poukazuje na jej širšiu využiteľnosť pri zaisťovaní integrity demokracie v EÚ.</w:t>
      </w:r>
    </w:p>
    <w:p>
      <w:pPr>
        <w:spacing w:after="240" w:line="240" w:lineRule="auto"/>
        <w:jc w:val="both"/>
        <w:rPr>
          <w:rFonts w:ascii="Times New Roman" w:hAnsi="Times New Roman" w:cs="Times New Roman"/>
          <w:noProof/>
          <w:sz w:val="24"/>
          <w:szCs w:val="24"/>
        </w:rPr>
      </w:pPr>
      <w:r>
        <w:rPr>
          <w:rFonts w:ascii="Times New Roman" w:hAnsi="Times New Roman"/>
          <w:iCs/>
          <w:noProof/>
          <w:sz w:val="24"/>
        </w:rPr>
        <w:t>Komisia bude takisto pokračovať v monitorovaní a podporovaní vykonávania záväzkov, ktoré prijali online platformy v </w:t>
      </w:r>
      <w:r>
        <w:rPr>
          <w:rFonts w:ascii="Times New Roman" w:hAnsi="Times New Roman"/>
          <w:b/>
          <w:iCs/>
          <w:noProof/>
          <w:sz w:val="24"/>
        </w:rPr>
        <w:t>Kódexe postupov proti šíreniu dezinformácií</w:t>
      </w:r>
      <w:r>
        <w:rPr>
          <w:rFonts w:ascii="Times New Roman" w:hAnsi="Times New Roman"/>
          <w:iCs/>
          <w:noProof/>
          <w:sz w:val="24"/>
        </w:rPr>
        <w:t>.</w:t>
      </w:r>
      <w:r>
        <w:rPr>
          <w:rFonts w:ascii="Times New Roman" w:hAnsi="Times New Roman"/>
          <w:noProof/>
          <w:sz w:val="24"/>
        </w:rPr>
        <w:t xml:space="preserve"> Zo správ poskytnutých platformami Google, Twitter a Facebook na základe kódexu vyplýva, že všetky platformy podnikli pred voľbami do Európskeho parlamentu opatrenia spočívajúce v tom, že politické reklamy označili a sprístupnili ich verejnosti prostredníctvom prehľadávateľných reklamných knižníc. </w:t>
      </w:r>
      <w:r>
        <w:rPr>
          <w:rFonts w:ascii="Times New Roman" w:hAnsi="Times New Roman"/>
          <w:iCs/>
          <w:noProof/>
          <w:sz w:val="24"/>
        </w:rPr>
        <w:t>Zároveň tejto oblasti existuje priestor na zlepšenie, ako vyplýva zo záverov skupiny európskych regulačných orgánov pre audiovizuálne mediálne služby</w:t>
      </w:r>
      <w:r>
        <w:rPr>
          <w:rStyle w:val="FootnoteReference"/>
          <w:iCs/>
          <w:noProof/>
        </w:rPr>
        <w:footnoteReference w:id="74"/>
      </w:r>
      <w:r>
        <w:rPr>
          <w:rFonts w:ascii="Times New Roman" w:hAnsi="Times New Roman"/>
          <w:noProof/>
          <w:sz w:val="24"/>
        </w:rPr>
        <w:t>.</w:t>
      </w:r>
      <w:r>
        <w:rPr>
          <w:rFonts w:ascii="Times New Roman" w:hAnsi="Times New Roman"/>
          <w:iCs/>
          <w:noProof/>
          <w:sz w:val="24"/>
        </w:rPr>
        <w:t xml:space="preserve"> Konkrétne stále neexistuje dostatočný prístup k podrobným nespracovaným údajom, ktoré sú nevyhnutné pre komplexné monitorovanie. V neposlednom rade by platformy mali výskumnej komunite poskytnúť zmysluplný prístup k údajom v súlade s pravidlami ochrany osobných údajov. Komisia v priebehu tohto roka vykoná komplexné posúdenie vykonávania všetkých záväzkov podľa kódexu počas počiatočného obdobia 12 mesiacov. </w:t>
      </w:r>
      <w:r>
        <w:rPr>
          <w:rFonts w:ascii="Times New Roman" w:hAnsi="Times New Roman"/>
          <w:noProof/>
          <w:sz w:val="24"/>
        </w:rPr>
        <w:t>Komisia môže na základe toho zvážiť ďalšie opatrenia vrátane takých, ktoré majú regulačnú povahu, s cieľom zlepšiť dlhodobú reakciu EÚ na šírenie dezinformácií.</w:t>
      </w:r>
    </w:p>
    <w:p>
      <w:pPr>
        <w:spacing w:after="240" w:line="240" w:lineRule="auto"/>
        <w:jc w:val="both"/>
        <w:rPr>
          <w:rFonts w:ascii="Times New Roman" w:hAnsi="Times New Roman"/>
          <w:i/>
          <w:iCs/>
          <w:noProof/>
          <w:sz w:val="24"/>
        </w:rPr>
      </w:pPr>
      <w:r>
        <w:rPr>
          <w:rFonts w:ascii="Times New Roman" w:hAnsi="Times New Roman"/>
          <w:i/>
          <w:iCs/>
          <w:noProof/>
          <w:sz w:val="24"/>
        </w:rPr>
        <w:t>3. Pripravenosť a ochrana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Posilnenie obrany a budovanie odolnosti proti bezpečnostným hrozbám je dôležitým aspektom úsilia o vybudovanie účinnej a skutočnej bezpečnostnej únie. Patrí sem podpora, ktorú Komisia poskytuje členským štátom a ich miestnym orgánom s cieľom posilniť </w:t>
      </w:r>
      <w:r>
        <w:rPr>
          <w:rFonts w:ascii="Times New Roman" w:hAnsi="Times New Roman"/>
          <w:b/>
          <w:noProof/>
          <w:sz w:val="24"/>
        </w:rPr>
        <w:t>ochranu verejných priestorov</w:t>
      </w:r>
      <w:r>
        <w:rPr>
          <w:rStyle w:val="FootnoteReference"/>
          <w:noProof/>
          <w:sz w:val="24"/>
        </w:rPr>
        <w:footnoteReference w:id="75"/>
      </w:r>
      <w:r>
        <w:rPr>
          <w:rFonts w:ascii="Times New Roman" w:hAnsi="Times New Roman"/>
          <w:noProof/>
          <w:sz w:val="24"/>
        </w:rPr>
        <w:t xml:space="preserve">, ako aj podpora poskytovaná členským štátom pri posilňovaní pripravenosti na </w:t>
      </w:r>
      <w:r>
        <w:rPr>
          <w:rFonts w:ascii="Times New Roman" w:hAnsi="Times New Roman"/>
          <w:b/>
          <w:bCs/>
          <w:noProof/>
          <w:sz w:val="24"/>
        </w:rPr>
        <w:t>chemické, biologické, rádiologické a jadrové bezpečnostné riziká</w:t>
      </w:r>
      <w:r>
        <w:rPr>
          <w:rStyle w:val="FootnoteReference"/>
          <w:bCs/>
          <w:noProof/>
          <w:sz w:val="24"/>
        </w:rPr>
        <w:footnoteReference w:id="76"/>
      </w:r>
      <w:r>
        <w:rPr>
          <w:rFonts w:ascii="Times New Roman" w:hAnsi="Times New Roman"/>
          <w:bCs/>
          <w:noProof/>
          <w:sz w:val="24"/>
        </w:rPr>
        <w:t>, pri vykonávaní dvoch akčných plánov v tejto</w:t>
      </w:r>
      <w:r>
        <w:rPr>
          <w:rFonts w:ascii="Times New Roman" w:hAnsi="Times New Roman"/>
          <w:noProof/>
          <w:sz w:val="24"/>
        </w:rPr>
        <w:t xml:space="preserve"> oblasti, ako aj pri analýze potrieb z hľadiska súvisiacich kapacít v oblasti reakcie, ktoré sa majú vytvoriť v rámci rescEU</w:t>
      </w:r>
      <w:r>
        <w:rPr>
          <w:rStyle w:val="FootnoteReference"/>
          <w:noProof/>
          <w:sz w:val="24"/>
        </w:rPr>
        <w:footnoteReference w:id="77"/>
      </w:r>
      <w:r>
        <w:rPr>
          <w:rFonts w:ascii="Times New Roman" w:hAnsi="Times New Roman"/>
          <w:noProof/>
          <w:sz w:val="24"/>
        </w:rPr>
        <w:t>. V súvislosti s meniacimi sa chemickými hrozbami</w:t>
      </w:r>
      <w:r>
        <w:rPr>
          <w:rFonts w:ascii="Times New Roman" w:hAnsi="Times New Roman" w:cs="Times New Roman"/>
          <w:noProof/>
          <w:sz w:val="24"/>
          <w:vertAlign w:val="superscript"/>
        </w:rPr>
        <w:footnoteReference w:id="78"/>
      </w:r>
      <w:r>
        <w:rPr>
          <w:rFonts w:ascii="Times New Roman" w:hAnsi="Times New Roman"/>
          <w:noProof/>
          <w:sz w:val="24"/>
        </w:rPr>
        <w:t xml:space="preserve"> Komisia v spolupráci s členskými štátmi a na základe konzultácií s medzinárodnými partnermi vypracovala zoznam chemikálií vyvolávajúcich najväčšie obavy, pokiaľ ide o ich zneužitie na teroristické účely. Zoznam EÚ slúži ako základ pre ďalšiu prácu s cieľom obmedziť prístup k týmto chemikáliám a spolupracovať s výrobcami na zlepšení schopností ich odhaľovania..</w:t>
      </w:r>
    </w:p>
    <w:p>
      <w:pPr>
        <w:pStyle w:val="Bodytext20"/>
        <w:shd w:val="clear" w:color="auto" w:fill="auto"/>
        <w:spacing w:line="240" w:lineRule="auto"/>
        <w:rPr>
          <w:rFonts w:ascii="Times New Roman" w:hAnsi="Times New Roman" w:cs="Times New Roman"/>
          <w:noProof/>
          <w:sz w:val="24"/>
          <w:szCs w:val="24"/>
        </w:rPr>
      </w:pPr>
      <w:r>
        <w:rPr>
          <w:rFonts w:ascii="Times New Roman" w:hAnsi="Times New Roman"/>
          <w:noProof/>
          <w:sz w:val="24"/>
        </w:rPr>
        <w:t xml:space="preserve">Technológie pre bezpilotné lietadlá umožňujú širokú škálu možných prevádzok. Vzhľadom na rýchlu expanziu trhu s bezpilotnými leteckými systémami na vojenské, civilné komerčné a záujmové účely, ku ktorej došlo za posledné roky, predstavujú </w:t>
      </w:r>
      <w:r>
        <w:rPr>
          <w:rStyle w:val="Bodytext2Bold"/>
          <w:rFonts w:eastAsiaTheme="minorHAnsi"/>
          <w:noProof/>
        </w:rPr>
        <w:t>drony</w:t>
      </w:r>
      <w:r>
        <w:rPr>
          <w:rFonts w:ascii="Times New Roman" w:hAnsi="Times New Roman"/>
          <w:noProof/>
          <w:sz w:val="24"/>
        </w:rPr>
        <w:t xml:space="preserve"> príležitosť, ale aj zvýšenú bezpečnostnú hrozbu pre kritické infraštruktúry (vrátane leteckej dopravy), verejné priestory a podujatia, citlivé miesta a jednotlivcov. V Európe boli drony použité na narušenie leteckej dopravy a operácií presadzovania práva, na prieskum kritických infraštruktúr a na pašovanie kontrabandu do väzníc a cez hranice.</w:t>
      </w:r>
    </w:p>
    <w:p>
      <w:pPr>
        <w:spacing w:after="240" w:line="240" w:lineRule="auto"/>
        <w:jc w:val="both"/>
        <w:rPr>
          <w:rFonts w:ascii="Times New Roman" w:hAnsi="Times New Roman"/>
          <w:noProof/>
          <w:spacing w:val="-2"/>
          <w:sz w:val="24"/>
        </w:rPr>
      </w:pPr>
      <w:r>
        <w:rPr>
          <w:rFonts w:ascii="Times New Roman" w:hAnsi="Times New Roman"/>
          <w:noProof/>
          <w:spacing w:val="-2"/>
          <w:sz w:val="24"/>
        </w:rPr>
        <w:t xml:space="preserve">Komisia podporuje členské štáty v boji proti narastajúcej hrozbe, ktorú drony predstavujú pre občanov a kritické spoločenské funkcie, ale zároveň neodmieta ich prospešné využitie napr. pri núdzových operáciách. Komisia nedávno prijala </w:t>
      </w:r>
      <w:r>
        <w:rPr>
          <w:rFonts w:ascii="Times New Roman" w:hAnsi="Times New Roman"/>
          <w:b/>
          <w:bCs/>
          <w:noProof/>
          <w:spacing w:val="-2"/>
          <w:sz w:val="24"/>
        </w:rPr>
        <w:t>spoločné pravidlá pre celú EÚ o bezpečnej prevádzke dronov</w:t>
      </w:r>
      <w:r>
        <w:rPr>
          <w:rStyle w:val="FootnoteReference"/>
          <w:bCs/>
          <w:noProof/>
          <w:spacing w:val="-2"/>
          <w:sz w:val="24"/>
        </w:rPr>
        <w:footnoteReference w:id="79"/>
      </w:r>
      <w:r>
        <w:rPr>
          <w:rFonts w:ascii="Times New Roman" w:hAnsi="Times New Roman"/>
          <w:noProof/>
          <w:spacing w:val="-2"/>
          <w:sz w:val="24"/>
        </w:rPr>
        <w:t xml:space="preserve"> s cieľom zmierniť riziko ich škodlivého používania. Pravidlá zahŕňajú ustanovenia vyžadujúce registráciu prevádzkovateľov a umožnenie identifikácie na diaľku. Komisia okrem toho podporuje členské štáty tým, že sleduje trendy vo vývoji hrozieb, ktoré drony predstavujú, financuje príslušné výskumné projekty a opatrenia na budovanie kapacít a uľahčuje výmenu medzi členskými štátmi a ďalšími zainteresovanými stranami. V snahe zintenzívniť túto podporu Komisia zorganizuje 17. októbra 2019 medzinárodnú konferenciu na vysokej úrovni zameranú na boj proti rizikám, ktoré drony predstavujú.</w:t>
      </w:r>
    </w:p>
    <w:p>
      <w:pPr>
        <w:spacing w:after="240" w:line="240" w:lineRule="auto"/>
        <w:jc w:val="both"/>
        <w:rPr>
          <w:rFonts w:ascii="Times New Roman" w:hAnsi="Times New Roman"/>
          <w:noProof/>
          <w:sz w:val="24"/>
          <w:szCs w:val="24"/>
        </w:rPr>
      </w:pPr>
      <w:r>
        <w:rPr>
          <w:rFonts w:ascii="Times New Roman" w:hAnsi="Times New Roman"/>
          <w:noProof/>
          <w:sz w:val="24"/>
        </w:rPr>
        <w:t xml:space="preserve">V reakcii na potrebu vnímať v širších súvislostiach politiku EÚ v oblasti </w:t>
      </w:r>
      <w:r>
        <w:rPr>
          <w:rFonts w:ascii="Times New Roman" w:hAnsi="Times New Roman"/>
          <w:b/>
          <w:noProof/>
          <w:sz w:val="24"/>
        </w:rPr>
        <w:t>ochrany kritických infraštruktúr</w:t>
      </w:r>
      <w:r>
        <w:rPr>
          <w:rStyle w:val="FootnoteReference"/>
          <w:noProof/>
          <w:sz w:val="24"/>
        </w:rPr>
        <w:footnoteReference w:id="80"/>
      </w:r>
      <w:r>
        <w:rPr>
          <w:rFonts w:ascii="Times New Roman" w:hAnsi="Times New Roman"/>
          <w:noProof/>
          <w:sz w:val="24"/>
        </w:rPr>
        <w:t xml:space="preserve"> Komisia 23. júla 2019 predložila hodnotenie smernice o európskych kritických infraštruktúrach</w:t>
      </w:r>
      <w:r>
        <w:rPr>
          <w:rFonts w:ascii="Times New Roman" w:eastAsia="Calibri" w:hAnsi="Times New Roman" w:cs="Times New Roman"/>
          <w:noProof/>
          <w:sz w:val="24"/>
          <w:vertAlign w:val="superscript"/>
        </w:rPr>
        <w:footnoteReference w:id="81"/>
      </w:r>
      <w:r>
        <w:rPr>
          <w:rFonts w:ascii="Times New Roman" w:hAnsi="Times New Roman"/>
          <w:noProof/>
          <w:sz w:val="24"/>
        </w:rPr>
        <w:t xml:space="preserve"> ako právneho rámca pre identifikáciu a označenie európskych kritických infraštruktúr a pre zhodnotenie potreby zlepšiť ich ochranu. V hodnotení sa zistilo, že od nadobudnutia účinnosti tejto smernice sa kontext, v ktorom sú kritické infraštruktúry v Európe prevádzkované, výrazne zmenil, a to vrátane legislatívneho vývoja v odvetviach, na ktoré je smernica obzvlášť zacielená, napr. v odvetví energetiky</w:t>
      </w:r>
      <w:r>
        <w:rPr>
          <w:rStyle w:val="FootnoteReference"/>
          <w:noProof/>
          <w:sz w:val="24"/>
        </w:rPr>
        <w:footnoteReference w:id="82"/>
      </w:r>
      <w:r>
        <w:rPr>
          <w:rFonts w:ascii="Times New Roman" w:hAnsi="Times New Roman"/>
          <w:noProof/>
          <w:sz w:val="24"/>
        </w:rPr>
        <w:t>, a že v dôsledku zmenenej situácie sú ustanovenia smernice relevantné už len čiastočne. Členské štáty zároveň aj naďalej podporujú politiku EÚ v oblasti ochrany kritických infraštruktúr, ktorá dodržiava zásadu subsidiarity a prináša pridanú hodnotu.</w:t>
      </w:r>
    </w:p>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rPr>
        <w:t>4. Vonkajší rozmer</w:t>
      </w:r>
    </w:p>
    <w:p>
      <w:pPr>
        <w:widowControl w:val="0"/>
        <w:spacing w:after="240" w:line="240" w:lineRule="auto"/>
        <w:jc w:val="both"/>
        <w:rPr>
          <w:rFonts w:ascii="Times New Roman" w:eastAsia="Calibri" w:hAnsi="Times New Roman" w:cs="Times New Roman"/>
          <w:iCs/>
          <w:noProof/>
          <w:spacing w:val="-6"/>
          <w:sz w:val="24"/>
          <w:szCs w:val="24"/>
        </w:rPr>
      </w:pPr>
      <w:r>
        <w:rPr>
          <w:rFonts w:ascii="Times New Roman" w:hAnsi="Times New Roman"/>
          <w:iCs/>
          <w:noProof/>
          <w:spacing w:val="-6"/>
          <w:sz w:val="24"/>
        </w:rPr>
        <w:t>Vzhľadom na cezhraničnú a globálnu povahu väčšiny bezpečnostných hrozieb, ktorým naša Únia čelí, je spolupráca s medzinárodnými organizáciami a partnerskými krajinami mimo EÚ neoddeliteľnou súčasťou práce zameranej na vybudovanie účinnej a skutočnej bezpečnostnej únie.</w:t>
      </w:r>
    </w:p>
    <w:p>
      <w:pPr>
        <w:widowControl w:val="0"/>
        <w:spacing w:after="240" w:line="240" w:lineRule="auto"/>
        <w:jc w:val="both"/>
        <w:rPr>
          <w:rFonts w:ascii="Times New Roman" w:eastAsia="Calibri" w:hAnsi="Times New Roman" w:cs="Times New Roman"/>
          <w:b/>
          <w:bCs/>
          <w:iCs/>
          <w:noProof/>
          <w:sz w:val="24"/>
          <w:szCs w:val="24"/>
        </w:rPr>
      </w:pPr>
      <w:r>
        <w:rPr>
          <w:rFonts w:ascii="Times New Roman" w:hAnsi="Times New Roman"/>
          <w:iCs/>
          <w:noProof/>
          <w:sz w:val="24"/>
        </w:rPr>
        <w:t xml:space="preserve">Neoddeliteľnou súčasťou tohto úsilia je maximalizovať výhody mnohostrannej spolupráce, čo zahŕňa spoluprácu medzi EÚ a OSN, ktorá bola nedávno, pri príležitosti druhého politického dialógu medzi OSN a EÚ na vysokej úrovni o boji proti terorizmu, posilnená podpísaním </w:t>
      </w:r>
      <w:r>
        <w:rPr>
          <w:rFonts w:ascii="Times New Roman" w:hAnsi="Times New Roman"/>
          <w:b/>
          <w:iCs/>
          <w:noProof/>
          <w:sz w:val="24"/>
        </w:rPr>
        <w:t>rámca pre boj proti terorizmu medzi OSN a EÚ</w:t>
      </w:r>
      <w:r>
        <w:rPr>
          <w:rFonts w:ascii="Times New Roman" w:hAnsi="Times New Roman"/>
          <w:iCs/>
          <w:noProof/>
          <w:sz w:val="24"/>
        </w:rPr>
        <w:t xml:space="preserve"> v New Yorku 24. apríla 2019.</w:t>
      </w:r>
      <w:r>
        <w:rPr>
          <w:rStyle w:val="FootnoteReference"/>
          <w:iCs/>
          <w:noProof/>
          <w:sz w:val="24"/>
        </w:rPr>
        <w:footnoteReference w:id="83"/>
      </w:r>
      <w:r>
        <w:rPr>
          <w:rFonts w:ascii="Times New Roman" w:hAnsi="Times New Roman"/>
          <w:noProof/>
          <w:sz w:val="24"/>
        </w:rPr>
        <w:t>.</w:t>
      </w:r>
      <w:r>
        <w:rPr>
          <w:rFonts w:ascii="Times New Roman" w:hAnsi="Times New Roman"/>
          <w:iCs/>
          <w:noProof/>
          <w:sz w:val="24"/>
        </w:rPr>
        <w:t xml:space="preserve"> Rámcom sa podporuje spolupráca v oblasti budovania kapacít na boj proti terorizmu a predchádzanie násilnému extrémizmu v Afrike, na Blízkom východe a v Ázii a boj proti nemu. V tomto rámci sú identifikované oblasti pre spoluprácu medzi OSN a EÚ do roku 2020.</w:t>
      </w:r>
    </w:p>
    <w:p>
      <w:pPr>
        <w:widowControl w:val="0"/>
        <w:spacing w:after="240" w:line="240" w:lineRule="auto"/>
        <w:jc w:val="both"/>
        <w:rPr>
          <w:rFonts w:ascii="Times New Roman" w:hAnsi="Times New Roman"/>
          <w:noProof/>
          <w:sz w:val="24"/>
        </w:rPr>
      </w:pPr>
      <w:r>
        <w:rPr>
          <w:rFonts w:ascii="Times New Roman" w:hAnsi="Times New Roman"/>
          <w:noProof/>
          <w:sz w:val="24"/>
        </w:rPr>
        <w:t xml:space="preserve">Osobitnú regionálnu prioritu predstavuje </w:t>
      </w:r>
      <w:r>
        <w:rPr>
          <w:rFonts w:ascii="Times New Roman" w:hAnsi="Times New Roman"/>
          <w:b/>
          <w:noProof/>
          <w:sz w:val="24"/>
        </w:rPr>
        <w:t>bezpečnostná spolupráca so západným Balkánom</w:t>
      </w:r>
      <w:r>
        <w:rPr>
          <w:rFonts w:ascii="Times New Roman" w:hAnsi="Times New Roman"/>
          <w:noProof/>
          <w:sz w:val="24"/>
        </w:rPr>
        <w:t>, ktorou sa vykonáva viacero prioritných bezpečnostných opatrení identifikovaných v stratégii pre západný Balkán z roku 2018</w:t>
      </w:r>
      <w:r>
        <w:rPr>
          <w:rStyle w:val="FootnoteReference"/>
          <w:noProof/>
          <w:sz w:val="24"/>
        </w:rPr>
        <w:footnoteReference w:id="84"/>
      </w:r>
      <w:r>
        <w:rPr>
          <w:rFonts w:ascii="Times New Roman" w:hAnsi="Times New Roman"/>
          <w:noProof/>
          <w:sz w:val="24"/>
        </w:rPr>
        <w:t>. Komisia na tento účel 4. apríla 2019 zorganizovala prvé stretnutie medziagentúrnej pracovnej skupiny pre krajiny západného Balkánu, na ktorom sa zástupcovia siedmich agentúr EÚ podelili o svoje skúsenosti a podporili operačnú spoluprácu s partnermi v tomto regióne vrátane boja proti organizovanej trestnej činnosti, terorizmu, strelným zbraniam, drogám, prevádzačstvu migrantov a obchodovaniu s ľuďmi. Vo všetkých šiestich krajinách západného Balkánu boli začaté prieskumy týkajúce sa hybridných rizík. Ďalším hmatateľným príkladom spolupráce s týmto regiónom je dohoda o štatúte európskej pohraničnej a pobrežnej stráže medzi EÚ a Albánskom, ktorá nadobudla platnosť 1. mája 2019 a po ktorej nasledovalo rýchle nasadenie tímov Európskej agentúry pre pohraničnú a pobrežnú stráž na hranici s Gréckom. Ide o prvú takúto dohodu s treťou krajinou a prvé vyslanie do tretej krajiny. Podobné dohody by mali byť čoskoro uzavreté s ostatnými krajinami v tomto regióne.</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Okrem toho bol v júli 2019 do Albánska vyslaný styčný dôstojník Europolu, aby albánskym orgánom poskytoval ďalšiu pomoc v ich úsilí predchádzať organizovanej trestnej činnosti a bojovať proti nej. S cieľom zintenzívniť boj proti obchodovaniu so strelnými zbraňami Komisia 27. júna 2019 predložila hodnotenie akčného plánu na roky 2015 – 2019 </w:t>
      </w:r>
      <w:r>
        <w:rPr>
          <w:rFonts w:ascii="Times New Roman" w:hAnsi="Times New Roman"/>
          <w:b/>
          <w:noProof/>
          <w:sz w:val="24"/>
        </w:rPr>
        <w:t>na boj proti obchodovaniu so strelnými zbraňami</w:t>
      </w:r>
      <w:r>
        <w:rPr>
          <w:rFonts w:ascii="Times New Roman" w:hAnsi="Times New Roman"/>
          <w:noProof/>
          <w:sz w:val="24"/>
        </w:rPr>
        <w:t xml:space="preserve"> medzi EÚ a regiónom juhovýchodnej Európy</w:t>
      </w:r>
      <w:r>
        <w:rPr>
          <w:rStyle w:val="FootnoteReference"/>
          <w:noProof/>
          <w:sz w:val="24"/>
        </w:rPr>
        <w:footnoteReference w:id="85"/>
      </w:r>
      <w:r>
        <w:rPr>
          <w:rFonts w:ascii="Times New Roman" w:hAnsi="Times New Roman"/>
          <w:noProof/>
          <w:sz w:val="24"/>
        </w:rPr>
        <w:t>. V hodnotení sa preukázalo, že na základe pridanej hodnoty vyplývajúcej zo spolupráce sa len zdôrazňuje skutočnosť, že je naďalej nevyhnutné vyvíjať ďalšie úsilie, napr. zriaďovaním účinných vnútroštátnych koordinačných centier v oblasti strelných zbraní a harmonizáciou získavania informácií a podávania správ o zaistení strelných zbraní.</w:t>
      </w:r>
    </w:p>
    <w:p>
      <w:pPr>
        <w:spacing w:before="100" w:beforeAutospacing="1" w:after="240" w:line="240" w:lineRule="auto"/>
        <w:jc w:val="both"/>
        <w:rPr>
          <w:rFonts w:ascii="Times New Roman" w:eastAsia="Times New Roman" w:hAnsi="Times New Roman" w:cs="Times New Roman"/>
          <w:noProof/>
          <w:color w:val="000000"/>
          <w:spacing w:val="-2"/>
          <w:sz w:val="24"/>
          <w:szCs w:val="18"/>
        </w:rPr>
      </w:pPr>
      <w:r>
        <w:rPr>
          <w:rFonts w:ascii="Times New Roman" w:hAnsi="Times New Roman"/>
          <w:noProof/>
          <w:spacing w:val="-2"/>
          <w:sz w:val="24"/>
        </w:rPr>
        <w:t xml:space="preserve">Rovnakú prioritu prisudzuje EÚ aj rozvíjaniu </w:t>
      </w:r>
      <w:r>
        <w:rPr>
          <w:rFonts w:ascii="Times New Roman" w:hAnsi="Times New Roman"/>
          <w:b/>
          <w:noProof/>
          <w:spacing w:val="-2"/>
          <w:sz w:val="24"/>
        </w:rPr>
        <w:t>spolupráce</w:t>
      </w:r>
      <w:r>
        <w:rPr>
          <w:rFonts w:ascii="Times New Roman" w:hAnsi="Times New Roman"/>
          <w:noProof/>
          <w:spacing w:val="-2"/>
          <w:sz w:val="24"/>
        </w:rPr>
        <w:t xml:space="preserve"> v oblasti bezpečnosti s </w:t>
      </w:r>
      <w:r>
        <w:rPr>
          <w:rFonts w:ascii="Times New Roman" w:hAnsi="Times New Roman"/>
          <w:b/>
          <w:noProof/>
          <w:spacing w:val="-2"/>
          <w:sz w:val="24"/>
        </w:rPr>
        <w:t>krajinami Blízkeho východu a severnej Afriky.</w:t>
      </w:r>
      <w:r>
        <w:rPr>
          <w:rFonts w:ascii="Times New Roman" w:hAnsi="Times New Roman"/>
          <w:noProof/>
          <w:spacing w:val="-2"/>
          <w:sz w:val="24"/>
        </w:rPr>
        <w:t xml:space="preserve"> EÚ začala dialóg o bezpečnosti s Tuniskom a Alžírskom. EÚ a Tunisko viedli tretí dialóg o bezpečnosti a boji proti terorizmu 12. júna v Tunise, zatiaľ čo druhý dialóg medzi EÚ a Alžírskom o bezpečnosti a boji proti terorizmu sa konal 12. novembra 2018 v Alžíre. Rozhovory stále prebiehajú s cieľom začať štruktúrovaný dialóg o bezpečnosti s Marokom v nadväznosti na nedávne zasadnutie Asociačnej rady z 27. júna, na ktorom EÚ a Maroko uznali dôležitosť prehĺbenia spolupráce v oblasti bezpečnosti s cieľom čeliť spoločným výzvam. Súčasne prebiehajú aj diskusie zamerané na rozvíjanie štruktúrovaného dialógu o bezpečnosti s Egyptom, ako sa takisto ďalej potvrdilo aj na poslednom stretnutí vysokých predstaviteľov EÚ a Egypta, ktoré sa konalo 10. júla v Káhire.</w:t>
      </w:r>
    </w:p>
    <w:p>
      <w:pPr>
        <w:spacing w:before="100" w:beforeAutospacing="1" w:after="240" w:line="240" w:lineRule="auto"/>
        <w:jc w:val="both"/>
        <w:rPr>
          <w:rFonts w:ascii="Times New Roman" w:eastAsia="Times New Roman" w:hAnsi="Times New Roman" w:cs="Times New Roman"/>
          <w:noProof/>
          <w:color w:val="000000"/>
          <w:sz w:val="24"/>
          <w:szCs w:val="18"/>
        </w:rPr>
      </w:pPr>
      <w:r>
        <w:rPr>
          <w:rFonts w:ascii="Times New Roman" w:hAnsi="Times New Roman"/>
          <w:noProof/>
          <w:sz w:val="24"/>
        </w:rPr>
        <w:t xml:space="preserve">Na základe mandátu od Rady začala Komisia neformálne rozhovory s väčšinou krajín </w:t>
      </w:r>
      <w:r>
        <w:rPr>
          <w:rFonts w:ascii="Times New Roman" w:hAnsi="Times New Roman"/>
          <w:b/>
          <w:bCs/>
          <w:noProof/>
          <w:sz w:val="24"/>
        </w:rPr>
        <w:t>Blízkeho východu a severnej Afriky</w:t>
      </w:r>
      <w:r>
        <w:rPr>
          <w:rFonts w:ascii="Times New Roman" w:hAnsi="Times New Roman"/>
          <w:noProof/>
          <w:sz w:val="24"/>
        </w:rPr>
        <w:t xml:space="preserve"> s cieľom začať formálne rokovania o medzinárodnej dohode o výmene osobných údajov medzi Agentúrou Európskej únie pre spoluprácu v oblasti presadzovania práva (</w:t>
      </w:r>
      <w:r>
        <w:rPr>
          <w:rFonts w:ascii="Times New Roman" w:hAnsi="Times New Roman"/>
          <w:b/>
          <w:bCs/>
          <w:noProof/>
          <w:sz w:val="24"/>
        </w:rPr>
        <w:t>Europol</w:t>
      </w:r>
      <w:r>
        <w:rPr>
          <w:rFonts w:ascii="Times New Roman" w:hAnsi="Times New Roman"/>
          <w:noProof/>
          <w:sz w:val="24"/>
        </w:rPr>
        <w:t>) a relevantnými príslušnými orgánmi v krajinách</w:t>
      </w:r>
      <w:r>
        <w:rPr>
          <w:rFonts w:ascii="Times New Roman" w:hAnsi="Times New Roman"/>
          <w:b/>
          <w:bCs/>
          <w:noProof/>
          <w:sz w:val="24"/>
        </w:rPr>
        <w:t xml:space="preserve"> Blízkeho východu a severnej Afriky</w:t>
      </w:r>
      <w:r>
        <w:rPr>
          <w:rFonts w:ascii="Times New Roman" w:hAnsi="Times New Roman"/>
          <w:noProof/>
          <w:sz w:val="24"/>
        </w:rPr>
        <w:t xml:space="preserve"> na boj proti závažnej trestnej činnosti a terorizmu. V tomto kontexte Komisia takisto presadzuje uzavretie pracovných dohôd priamo medzi Europolom a partnerskými orgánmi v krajinách </w:t>
      </w:r>
      <w:r>
        <w:rPr>
          <w:rFonts w:ascii="Times New Roman" w:hAnsi="Times New Roman"/>
          <w:b/>
          <w:bCs/>
          <w:noProof/>
          <w:sz w:val="24"/>
        </w:rPr>
        <w:t>Blízkeho východu a severnej Afriky</w:t>
      </w:r>
      <w:r>
        <w:rPr>
          <w:rFonts w:ascii="Times New Roman" w:hAnsi="Times New Roman"/>
          <w:noProof/>
          <w:sz w:val="24"/>
        </w:rPr>
        <w:t xml:space="preserve"> s cieľom zaistiť formálny rámec pre pravidelnú spoluprácu na strategickej úrovni.</w:t>
      </w:r>
    </w:p>
    <w:p>
      <w:pPr>
        <w:widowControl w:val="0"/>
        <w:spacing w:after="240" w:line="240" w:lineRule="auto"/>
        <w:jc w:val="both"/>
        <w:rPr>
          <w:rFonts w:ascii="Times New Roman" w:hAnsi="Times New Roman"/>
          <w:noProof/>
          <w:sz w:val="24"/>
        </w:rPr>
      </w:pPr>
      <w:r>
        <w:rPr>
          <w:rFonts w:ascii="Times New Roman" w:hAnsi="Times New Roman"/>
          <w:noProof/>
          <w:sz w:val="24"/>
        </w:rPr>
        <w:t>V rámci riešenia spoločných hrozieb a posilňovania bezpečnosti sú EÚ a </w:t>
      </w:r>
      <w:r>
        <w:rPr>
          <w:rFonts w:ascii="Times New Roman" w:hAnsi="Times New Roman"/>
          <w:b/>
          <w:noProof/>
          <w:sz w:val="24"/>
        </w:rPr>
        <w:t>Spojené štáty</w:t>
      </w:r>
      <w:r>
        <w:rPr>
          <w:rFonts w:ascii="Times New Roman" w:hAnsi="Times New Roman"/>
          <w:noProof/>
          <w:sz w:val="24"/>
        </w:rPr>
        <w:t xml:space="preserve"> blízkymi a strategickými partnermi. Na stretnutí ministrov spravodlivosti a vnútra 19. júna 2019 EÚ a Spojené štáty opätovne potvrdili, že boj proti terorizmu patrí medzi ich hlavné priority. Pokiaľ ide o dohodu medzi EÚ a Spojenými štátmi o osobných záznamoch o cestujúcich</w:t>
      </w:r>
      <w:r>
        <w:rPr>
          <w:rStyle w:val="FootnoteReference"/>
          <w:noProof/>
          <w:sz w:val="24"/>
        </w:rPr>
        <w:footnoteReference w:id="86"/>
      </w:r>
      <w:r>
        <w:rPr>
          <w:rFonts w:ascii="Times New Roman" w:hAnsi="Times New Roman"/>
          <w:noProof/>
          <w:sz w:val="24"/>
        </w:rPr>
        <w:t>, obe zmluvné strany opätovne potvrdili význam tejto dohody a zaviazali sa začať v septembri 2019 spoločné hodnotenie s cieľom posúdiť vykonávanie dohody v súlade s jej ustanoveniami. Obe zmluvné strany sa takisto zaviazali posilniť spoločné úsilie v boji proti terorizmu vrátane rozsiahlejšej výmeny informácií získaných v bojových zónach na účely ich použitia pri vyšetrovaní trestných činov a pri trestnom stíhaní.</w:t>
      </w:r>
    </w:p>
    <w:p>
      <w:pPr>
        <w:widowControl w:val="0"/>
        <w:spacing w:after="240" w:line="240" w:lineRule="auto"/>
        <w:jc w:val="both"/>
        <w:rPr>
          <w:rFonts w:ascii="Times New Roman" w:hAnsi="Times New Roman"/>
          <w:noProof/>
          <w:sz w:val="24"/>
        </w:rPr>
      </w:pPr>
      <w:r>
        <w:rPr>
          <w:rFonts w:ascii="Times New Roman" w:hAnsi="Times New Roman"/>
          <w:noProof/>
          <w:sz w:val="24"/>
        </w:rPr>
        <w:t>S cieľom zintenzívniť túto spoluprácu Komisia spolu s koordinátorom EÚ pre boj proti terorizmu zorganizovala 10. júla 2019 v Bruseli workshop na vysokej úrovni týkajúci sa informácií z bojísk. Stretli sa na ňom vysokí úradníci ministerstiev obrany, vnútra a spravodlivosti členských štátov, zástupcovia Spojených štátov, agentúr Europol a Eurojust a medzinárodných organizácií, pričom cieľom bola výmena názorov na používanie informácií z bojísk a spoločné úvahy o procedurálnych, právnych a operačných výzvach, ktorým v súčasnosti čelia pri snahe o identifikáciu teroristov a ich postavenie pred súd. EÚ a Spojené štáty takisto viedli v Bruseli 14. a 15. mája 2019 dialóg o budovaní kapacít v oblasti chemických, biologických, rádiologických a jadrových rizík (CBRN) s cieľom koordinovať úsilie pri znižovaní hrozieb spojených so zbraňami hromadného ničenia a posilňovaní celkovej bezpečnosti v oblasti rizík CBRN.</w:t>
      </w:r>
    </w:p>
    <w:p>
      <w:pPr>
        <w:widowControl w:val="0"/>
        <w:spacing w:after="240" w:line="240" w:lineRule="auto"/>
        <w:jc w:val="both"/>
        <w:rPr>
          <w:rFonts w:ascii="Times New Roman" w:hAnsi="Times New Roman"/>
          <w:noProof/>
          <w:sz w:val="24"/>
        </w:rPr>
      </w:pPr>
      <w:r>
        <w:rPr>
          <w:rFonts w:ascii="Times New Roman" w:hAnsi="Times New Roman"/>
          <w:noProof/>
          <w:sz w:val="24"/>
        </w:rPr>
        <w:t xml:space="preserve">Od roku 2010 platí </w:t>
      </w:r>
      <w:r>
        <w:rPr>
          <w:rFonts w:ascii="Times New Roman" w:hAnsi="Times New Roman"/>
          <w:b/>
          <w:bCs/>
          <w:noProof/>
          <w:sz w:val="24"/>
        </w:rPr>
        <w:t>Dohoda medzi EÚ a Spojenými štátmi o Programe na sledovanie financovania terorizmu</w:t>
      </w:r>
      <w:r>
        <w:rPr>
          <w:rStyle w:val="FootnoteReference"/>
          <w:noProof/>
          <w:sz w:val="24"/>
        </w:rPr>
        <w:footnoteReference w:id="87"/>
      </w:r>
      <w:r>
        <w:rPr>
          <w:rFonts w:ascii="Times New Roman" w:hAnsi="Times New Roman"/>
          <w:noProof/>
          <w:sz w:val="24"/>
        </w:rPr>
        <w:t>, ktorou sa upravuje zasielanie a spracovanie údajov na účely identifikácie, sledovania a stíhania teroristov a ich sietí. Dohoda obsahuje záruky, ktoré zabezpečujú ochranu údajov o občanoch EÚ, a predpokladá sa v nej pravidelné preskúmavanie „bezpečnostných opatrení, kontrol a ustanovení o reciprocite“. V pravidelnej hodnotiacej správe</w:t>
      </w:r>
      <w:r>
        <w:rPr>
          <w:rStyle w:val="FootnoteReference"/>
          <w:noProof/>
          <w:sz w:val="24"/>
        </w:rPr>
        <w:footnoteReference w:id="88"/>
      </w:r>
      <w:r>
        <w:rPr>
          <w:rFonts w:ascii="Times New Roman" w:hAnsi="Times New Roman"/>
          <w:noProof/>
          <w:sz w:val="24"/>
        </w:rPr>
        <w:t>, ktorá bola zverejnená 22. júla 2019, Komisia vyjadrila spokojnosť s riadnym vykonávaním dohody vrátane jej hlavných bezpečnostných opatrení a kontrol. Víta trvalú transparentnosť orgánov Spojených štátov pri výmene informácií, čo poukazuje na prínos Programu na sledovanie financovania terorizmu pre naše spoločné úsilie zamerané na boj proti terorizmu. Informácie poskytnuté podľa dohody napomohli pri napredovaní určitých vyšetrovaní v súvislosti s teroristickými útokmi na území Európy vrátane útokov v Štokholme, Barcelone a meste Turku v roku 2017. Členské štáty a Europol využívajú tento mechanizmus vo väčšej miere a na základe údajov z Programu na sledovanie financovania terorizmu vzniklo sedemnásobne viac vyšetrovacích stôp ako v predchádzajúcom období na podávanie správ. Nasledujúce spoločné preskúmanie dohody sa očakáva v roku 2021.</w:t>
      </w:r>
    </w:p>
    <w:p>
      <w:pPr>
        <w:widowControl w:val="0"/>
        <w:spacing w:after="240" w:line="240" w:lineRule="auto"/>
        <w:jc w:val="both"/>
        <w:rPr>
          <w:rFonts w:ascii="Times New Roman" w:hAnsi="Times New Roman"/>
          <w:noProof/>
          <w:sz w:val="24"/>
        </w:rPr>
      </w:pPr>
      <w:r>
        <w:rPr>
          <w:rFonts w:ascii="Times New Roman" w:hAnsi="Times New Roman"/>
          <w:noProof/>
          <w:sz w:val="24"/>
        </w:rPr>
        <w:t xml:space="preserve">Pokiaľ ide o medzinárodnú spoluprácu v oblasti výmeny </w:t>
      </w:r>
      <w:r>
        <w:rPr>
          <w:rFonts w:ascii="Times New Roman" w:hAnsi="Times New Roman"/>
          <w:b/>
          <w:noProof/>
          <w:sz w:val="24"/>
        </w:rPr>
        <w:t>osobných záznamov o cestujúcich na účely boja proti terorizmu a závažnej trestnej činnosti</w:t>
      </w:r>
      <w:r>
        <w:rPr>
          <w:rFonts w:ascii="Times New Roman" w:hAnsi="Times New Roman"/>
          <w:noProof/>
          <w:sz w:val="24"/>
        </w:rPr>
        <w:t>, EÚ a Kanada na sedemnástom samite EÚ – Kanada 17. a 18. júla 2019 v Montreale uvítali skutočnosť, že uzavreli rokovania týkajúce sa novej dohody o osobných záznamoch o cestujúcich. Zatiaľ čo Kanada predložila svoju požiadavku na právne preskúmanie, zmluvné strany sa zaviazali čo najrýchlejšie v nadväznosti na uvedené preskúmanie túto dohodu uzavrieť, pričom uznali jej zásadnú úlohu pri posilňovaní bezpečnosti a zaisťovaní súkromia a ochrany osobných údajov. Pokiaľ ide o existujúcu dohodu medzi EÚ a Austráliou o osobných záznamoch o cestujúcich</w:t>
      </w:r>
      <w:r>
        <w:rPr>
          <w:rStyle w:val="FootnoteReference"/>
          <w:noProof/>
          <w:sz w:val="24"/>
        </w:rPr>
        <w:footnoteReference w:id="89"/>
      </w:r>
      <w:r>
        <w:rPr>
          <w:rFonts w:ascii="Times New Roman" w:hAnsi="Times New Roman"/>
          <w:noProof/>
          <w:sz w:val="24"/>
        </w:rPr>
        <w:t>, návšteva tímu EÚ v Canberre sa uskutoční v auguste 2019 v kontexte spoločného preskúmania a spoločného hodnotenia tejto dohody.</w:t>
      </w:r>
    </w:p>
    <w:p>
      <w:pPr>
        <w:widowControl w:val="0"/>
        <w:spacing w:after="240" w:line="240" w:lineRule="auto"/>
        <w:jc w:val="both"/>
        <w:rPr>
          <w:rFonts w:ascii="Times New Roman" w:hAnsi="Times New Roman"/>
          <w:noProof/>
          <w:sz w:val="24"/>
        </w:rPr>
      </w:pPr>
      <w:r>
        <w:rPr>
          <w:rFonts w:ascii="Times New Roman" w:hAnsi="Times New Roman"/>
          <w:noProof/>
          <w:sz w:val="24"/>
        </w:rPr>
        <w:t xml:space="preserve">Komisia v spolupráci s členskými štátmi v Rade takisto pracuje na pozícii EÚ v súvislosti s blížiacim sa 40. zasadnutím zhromaždenia </w:t>
      </w:r>
      <w:r>
        <w:rPr>
          <w:rFonts w:ascii="Times New Roman" w:hAnsi="Times New Roman"/>
          <w:b/>
          <w:noProof/>
          <w:sz w:val="24"/>
        </w:rPr>
        <w:t>Medzinárodnej organizácie civilného letectva</w:t>
      </w:r>
      <w:r>
        <w:rPr>
          <w:rFonts w:ascii="Times New Roman" w:hAnsi="Times New Roman"/>
          <w:noProof/>
          <w:sz w:val="24"/>
        </w:rPr>
        <w:t>, ktoré sa bude konať od 24. septembra do 4. októbra 2019. Zhromaždenie nastaví politické smerovanie a poskytne Rade Medzinárodnej organizácie civilného letectva pokyny týkajúce sa technickej práce v súvislosti s normami Medzinárodnej organizácie civilného letectva pre spracovanie údajov o osobných záznamoch o cestujúcich. Rada schválila informačný dokument, ktorý vypracovala Komisia s cieľom načrtnúť pozíciu Únie v súvislosti s kľúčovými zásadami, ktoré by mali byť základom pre akúkoľvek budúcu globálnu normu o osobných záznamoch o cestujúcich. Informačný dokument bude predložený iným členom orgánu, ako sú členské štáty EÚ.</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b/>
          <w:bCs/>
          <w:noProof/>
          <w:sz w:val="24"/>
        </w:rPr>
        <w:t>VI. ZÁVER</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Vďaka úzkej spolupráci medzi Európskym parlamentom, Radou, členskými štátmi a Komisiou sa Európskej únii podarilo v posledných rokoch výrazne pokročiť v spoločnom úsilí o vybudovanie účinnej a skutočnej bezpečnostnej únie a prijať viacero prioritných legislatívnych opatrení. Členské štáty takisto vykonávajú za podpory Komisie rôzne nelegislatívne operačné opatrenia s cieľom posilniť bezpečnosť všetkých občanov. Zároveň však stále existuje viacero prioritných iniciatív v oblasti bezpečnostnej únie, ktoré sú v procese schvaľovania a ktoré si vyžadujú ďalšie kroky zo strany spoluzákonodarcov, aby sa nimi mohli riešiť bezprostredné hrozby. Komisia vyzýva Európsky parlament a Radu, aby prijali potrebné kroky na urýchlené dosiahnutie dohody o legislatívnych návrhoch s cieľom bojovať proti teroristickej propagande a radikalizácii na internete, posilniť kybernetickú bezpečnosť, uľahčiť prístup k elektronickým dôkazom a dokončiť prácu na silnejších a inteligentnejších informačných systémov v oblasti bezpečnosti, riadenia hraníc a migrácie.</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Komisia vyzýva členské štáty, aby urýchlene a v plnej miere vykonávali všetky právne predpisy prijaté v rámci bezpečnostnej únie, aby sa mohol naplno využiť ich prínos.</w:t>
      </w:r>
      <w:r>
        <w:rPr>
          <w:rFonts w:ascii="Times New Roman" w:hAnsi="Times New Roman"/>
          <w:iCs/>
          <w:noProof/>
          <w:sz w:val="24"/>
        </w:rPr>
        <w:t xml:space="preserve"> Okrem toho Komisia vyzýva členské štáty, aby ďalej pracovali a zintenzívňovali prácu na praktických opatreniach s cieľom posilniť bezpečnosť digitálnych infraštruktúr, bojovať proti dezinformáciám a ostatným kybernetickým hrozbám, zlepšiť pripravenosť a ochranu a posilniť spoluprácu s partnermi mimo Únie v boji proti spoločnými hrozbami. </w:t>
      </w:r>
      <w:r>
        <w:rPr>
          <w:rFonts w:ascii="Times New Roman" w:hAnsi="Times New Roman"/>
          <w:noProof/>
          <w:sz w:val="24"/>
        </w:rPr>
        <w:t>Tieto opatrenia ako celok zvyšujú bezpečnosť všetkých občanov.</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A8D5D" w16cid:durableId="20D594B8"/>
  <w16cid:commentId w16cid:paraId="70415691" w16cid:durableId="20D58E6A"/>
  <w16cid:commentId w16cid:paraId="40819A61" w16cid:durableId="20D58E6B"/>
  <w16cid:commentId w16cid:paraId="40B3D60E" w16cid:durableId="20D58E6C"/>
  <w16cid:commentId w16cid:paraId="4FE824E5" w16cid:durableId="20D58E6D"/>
  <w16cid:commentId w16cid:paraId="7BB9D4AF" w16cid:durableId="20D59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5949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https://www.consilium.europa.eu/media/39914/a-new-strategic-agenda-2019-2024.pdf</w:t>
        </w:r>
      </w:hyperlink>
    </w:p>
  </w:footnote>
  <w:footnote w:id="3">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Prehľad opatrení sa nachádza v informačnom liste „Bezpečnostná únia: Európa, ktorá chráni“ (</w:t>
      </w:r>
      <w:hyperlink r:id="rId2" w:history="1">
        <w:r>
          <w:rPr>
            <w:rStyle w:val="Hyperlink"/>
            <w:rFonts w:ascii="Times New Roman" w:hAnsi="Times New Roman"/>
          </w:rPr>
          <w:t>https://ec.europa.eu/commission/sites/beta-political/files/euco-sibiu-security-union_sk.pdf</w:t>
        </w:r>
      </w:hyperlink>
      <w:r>
        <w:rPr>
          <w:rFonts w:ascii="Times New Roman" w:hAnsi="Times New Roman"/>
        </w:rPr>
        <w:t>) a v osemnástej správe o pokroku dosiahnutom pri budovaní účinnej a skutočnej bezpečnostnej únie [COM(2019) 145 final, 20.3.2019].</w:t>
      </w:r>
    </w:p>
  </w:footnote>
  <w:footnote w:id="4">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Pozri osemnástu správu o pokroku dosiahnutom pri budovaní účinnej a skutočnej bezpečnostnej únie [COM(2019) 145 final, 20.3.2019].</w:t>
      </w:r>
    </w:p>
  </w:footnote>
  <w:footnote w:id="5">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https://www.elysee.fr/emmanuel-macron/2019/05/15/the-christchurch-call-to-action-to-eliminate-terrorist-and-violent-extremist-content-online.en</w:t>
        </w:r>
      </w:hyperlink>
      <w:r>
        <w:rPr>
          <w:rFonts w:ascii="Times New Roman" w:hAnsi="Times New Roman"/>
        </w:rPr>
        <w:t>. Francúzsky prezident Emmanuel Macron a novozélandská premiérka Jacinda Ardernová pozvali vedúcich predstaviteľov a online platformy 15. mája 2019 do Paríža, aby túto iniciatívu začali.</w:t>
      </w:r>
    </w:p>
  </w:footnote>
  <w:footnote w:id="6">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https://www.elysee.fr/en/g7/2019/04/06/g7-interior-ministers-meeting-what-are-the-outcomes</w:t>
        </w:r>
      </w:hyperlink>
    </w:p>
  </w:footnote>
  <w:footnote w:id="7">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r>
        <w:rPr>
          <w:rFonts w:ascii="Times New Roman" w:hAnsi="Times New Roman"/>
          <w:spacing w:val="-8"/>
        </w:rPr>
        <w:t>Na samite G20 v Osake 28. a 29. júna 2019 vedúci predstavitelia opätovne potvrdili svoj záväzok konať s cieľom chrániť ľudí pred teroristickým a násilným extrémizmom, ktorý napomáha terorizmus využívajúci internet</w:t>
      </w:r>
      <w:r>
        <w:rPr>
          <w:rFonts w:ascii="Times New Roman" w:hAnsi="Times New Roman"/>
        </w:rPr>
        <w:t xml:space="preserve"> (</w:t>
      </w:r>
      <w:hyperlink r:id="rId5" w:history="1">
        <w:r>
          <w:rPr>
            <w:rStyle w:val="Hyperlink"/>
            <w:rFonts w:ascii="Times New Roman" w:hAnsi="Times New Roman"/>
          </w:rPr>
          <w:t>https://g20.org/pdf/documents/en/FINAL_G20_Statement_on_Preventing_Terrorist_and_VECT.pdf</w:t>
        </w:r>
      </w:hyperlink>
      <w:r>
        <w:rPr>
          <w:rFonts w:ascii="Times New Roman" w:hAnsi="Times New Roman"/>
        </w:rPr>
        <w:t>).</w:t>
      </w:r>
    </w:p>
  </w:footnote>
  <w:footnote w:id="8">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640 final (12.9.2018).</w:t>
      </w:r>
    </w:p>
  </w:footnote>
  <w:footnote w:id="9">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Od roku 2015 </w:t>
      </w:r>
      <w:r>
        <w:rPr>
          <w:rFonts w:ascii="Times New Roman" w:hAnsi="Times New Roman"/>
          <w:b/>
        </w:rPr>
        <w:t>internetové fórum EÚ</w:t>
      </w:r>
      <w:r>
        <w:rPr>
          <w:rFonts w:ascii="Times New Roman" w:hAnsi="Times New Roman"/>
        </w:rPr>
        <w:t xml:space="preserve"> združuje ministrov vnútra EÚ, internetové odvetvie a ďalšie zainteresované strany, aby na základe dobrovoľného partnerstva spoločne pracovali na riešení problému zneužívania internetu teroristickými skupinami a na zaisťovaní ochrany občanov.</w:t>
      </w:r>
    </w:p>
  </w:footnote>
  <w:footnote w:id="10">
    <w:p>
      <w:pPr>
        <w:pStyle w:val="FootnoteText"/>
        <w:ind w:left="720" w:hanging="720"/>
        <w:jc w:val="both"/>
        <w:rPr>
          <w:rFonts w:ascii="Times New Roman" w:hAnsi="Times New Roman" w:cs="Times New Roman"/>
          <w:spacing w:val="-8"/>
        </w:rPr>
      </w:pPr>
      <w:r>
        <w:rPr>
          <w:rStyle w:val="FootnoteReference"/>
        </w:rPr>
        <w:footnoteRef/>
      </w:r>
      <w:r>
        <w:rPr>
          <w:rFonts w:ascii="Times New Roman" w:hAnsi="Times New Roman"/>
        </w:rPr>
        <w:t xml:space="preserve"> </w:t>
      </w:r>
      <w:r>
        <w:rPr>
          <w:rFonts w:ascii="Times New Roman" w:hAnsi="Times New Roman"/>
        </w:rPr>
        <w:tab/>
        <w:t xml:space="preserve">Komisia zriadila </w:t>
      </w:r>
      <w:r>
        <w:rPr>
          <w:rFonts w:ascii="Times New Roman" w:hAnsi="Times New Roman"/>
          <w:b/>
        </w:rPr>
        <w:t>sieť na zvyšovanie povedomia o radikalizácii</w:t>
      </w:r>
      <w:r>
        <w:rPr>
          <w:rFonts w:ascii="Times New Roman" w:hAnsi="Times New Roman"/>
        </w:rPr>
        <w:t xml:space="preserve"> v roku 2011 s cieľom združovať </w:t>
      </w:r>
      <w:r>
        <w:rPr>
          <w:rFonts w:ascii="Times New Roman" w:hAnsi="Times New Roman"/>
          <w:spacing w:val="-8"/>
        </w:rPr>
        <w:t xml:space="preserve">odborníkov pôsobiacich v prvej línii a na miestnej úrovni. V roku 2015 Komisia posilnila sieť tým, že zriadila centrum excelentnosti siete na zvyšovanie povedomia o radikalizácii s cieľom rozvíjať cielenejšie usmernenia, podporu a poradenské služby pre zainteresované strany v členských štátoch a zvýšiť odborné znalosti a zručnosti rôznych aktérov. Ďalšie informácie o činnostiach siete na zvyšovanie povedomia o radikalizácii sú k dispozícii na adrese: </w:t>
      </w:r>
      <w:hyperlink r:id="rId6" w:history="1">
        <w:r>
          <w:rPr>
            <w:rStyle w:val="Hyperlink"/>
            <w:rFonts w:ascii="Times New Roman" w:hAnsi="Times New Roman"/>
            <w:spacing w:val="-8"/>
          </w:rPr>
          <w:t>https://ec.europa.eu/home-affairs/what-we-do/networks/radicalisation_awareness_network_en</w:t>
        </w:r>
      </w:hyperlink>
      <w:r>
        <w:rPr>
          <w:rFonts w:ascii="Times New Roman" w:hAnsi="Times New Roman"/>
          <w:spacing w:val="-8"/>
        </w:rPr>
        <w:t>.</w:t>
      </w:r>
    </w:p>
  </w:footnote>
  <w:footnote w:id="11">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Viac informácií nájdete v brožúre „Budovanie silnej kybernetickej bezpečnosti v Európskej únii: odolnosť, odrádzanie a obrana“: </w:t>
      </w:r>
      <w:hyperlink r:id="rId7" w:history="1">
        <w:r>
          <w:rPr>
            <w:rStyle w:val="Hyperlink"/>
            <w:rFonts w:ascii="Times New Roman" w:hAnsi="Times New Roman"/>
          </w:rPr>
          <w:t>https://ec.europa.eu/digital-single-market/en/news/building-strong-cybersecurity-european-union-resilience-deterence-defence</w:t>
        </w:r>
      </w:hyperlink>
      <w:r>
        <w:rPr>
          <w:rFonts w:ascii="Times New Roman" w:hAnsi="Times New Roman"/>
        </w:rPr>
        <w:t>.</w:t>
      </w:r>
    </w:p>
  </w:footnote>
  <w:footnote w:id="12">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JOIN(2017) 450 final (13.9.2017).</w:t>
      </w:r>
    </w:p>
  </w:footnote>
  <w:footnote w:id="13">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V akte EÚ o kybernetickej bezpečnosti [nariadenie (EÚ) 2019/881 zo 17. apríla 2019] sa prvýkrát zavádzajú pravidlá pre certifikáciu kybernetickej bezpečnosti produktov, procesov a služieb platné v celej EÚ. Okrem toho sa v akte o kybernetickej bezpečnosti stanovuje nový trvalý mandát Agentúry EÚ pre kybernetickú bezpečnosť, ako aj zvýšenie objemu zdrojov pridelených tejto agentúre na účely plnenia jej cieľov. Ďalšie informácie o výzve na predkladanie návrhov sú k dispozícii na adrese: </w:t>
      </w:r>
      <w:hyperlink r:id="rId8" w:tgtFrame="_blank" w:history="1">
        <w:r>
          <w:rPr>
            <w:rStyle w:val="Hyperlink"/>
            <w:rFonts w:ascii="Times New Roman" w:hAnsi="Times New Roman"/>
          </w:rPr>
          <w:t>https://ec.europa.eu/digital-single-market/en/news/eu10-million-eu-funding-available-projects-stepping-eus-cybersecurity-capabilities-and-cross</w:t>
        </w:r>
      </w:hyperlink>
      <w:r>
        <w:rPr>
          <w:rStyle w:val="Hyperlink"/>
          <w:rFonts w:ascii="Times New Roman" w:hAnsi="Times New Roman"/>
        </w:rPr>
        <w:t>.</w:t>
      </w:r>
    </w:p>
  </w:footnote>
  <w:footnote w:id="14">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2400 final (3.4.2019) a SWD(2019) 1240 final (3.4.2019).</w:t>
      </w:r>
    </w:p>
  </w:footnote>
  <w:footnote w:id="15">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630 final (12.9.2018).</w:t>
      </w:r>
    </w:p>
  </w:footnote>
  <w:footnote w:id="16">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9" w:tgtFrame="_blank" w:history="1">
        <w:r>
          <w:rPr>
            <w:rStyle w:val="Hyperlink"/>
            <w:rFonts w:ascii="Times New Roman" w:hAnsi="Times New Roman"/>
          </w:rPr>
          <w:t>https://ec.europa.eu/programmes/horizon2020/en/h2020-section/cross-cutting-activities-focus-areas</w:t>
        </w:r>
      </w:hyperlink>
    </w:p>
  </w:footnote>
  <w:footnote w:id="17">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Smernica (EÚ) 2016/1148 (6.7.2016).</w:t>
      </w:r>
    </w:p>
  </w:footnote>
  <w:footnote w:id="18">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0" w:history="1">
        <w:r>
          <w:rPr>
            <w:rStyle w:val="Hyperlink"/>
            <w:rFonts w:ascii="Times New Roman" w:hAnsi="Times New Roman"/>
          </w:rPr>
          <w:t>http://data.consilium.europa.eu/doc/document/ST-9916-2017-INIT/sk/pdf</w:t>
        </w:r>
      </w:hyperlink>
    </w:p>
  </w:footnote>
  <w:footnote w:id="19">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Patria sem kybernetické útoky, ako aj pokusy o kybernetické útoky s potenciálne závažným vplyvom, ktoré zahŕňajú napr. prístup do informačných systémov alebo zachytávanie údajov pomocou digitálnej infraštruktúry, ako sú siete 5G (pozri aj oddiel III o posilnení bezpečnosti digitálnych infraštruktúr).</w:t>
      </w:r>
    </w:p>
  </w:footnote>
  <w:footnote w:id="20">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Pozri správu o vykonávaní spoločného rámca pre boj proti hybridným hrozbám z roku 2016 a spoločné oznámenie o zvyšovaní odolnosti a posilňovaní spôsobilostí riešiť hybridné hrozby z roku 2018 [SWD(2019) 200 final, 28.5.2019]. Pozri takisto legislatívny návrh nariadenia zo septembra 2016, ktorým sa stanovuje režim Únie na kontrolu vývozov, transferu, sprostredkovania, technickej pomoci a tranzitu položiek s dvojakým použitím (prepracované znenie) [COM(2016) 616 final, 28.9.2016].</w:t>
      </w:r>
    </w:p>
  </w:footnote>
  <w:footnote w:id="21">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1" w:history="1">
        <w:r>
          <w:rPr>
            <w:rStyle w:val="Hyperlink"/>
            <w:rFonts w:ascii="Times New Roman" w:hAnsi="Times New Roman"/>
          </w:rPr>
          <w:t>https://www.consilium.europa.eu/media/39922/20-21-euco-final-conclusions-en.pdf</w:t>
        </w:r>
      </w:hyperlink>
    </w:p>
  </w:footnote>
  <w:footnote w:id="22">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Nariadenie (EÚ) 2019/1148 (20.6.2019) o uvádzaní prekurzorov výbušnín na trh a ich používaní.</w:t>
      </w:r>
    </w:p>
  </w:footnote>
  <w:footnote w:id="23">
    <w:p>
      <w:pPr>
        <w:pStyle w:val="FootnoteText"/>
        <w:ind w:left="720" w:hanging="720"/>
        <w:jc w:val="both"/>
        <w:rPr>
          <w:rFonts w:ascii="Times New Roman" w:hAnsi="Times New Roman" w:cs="Times New Roman"/>
          <w:spacing w:val="-4"/>
        </w:rPr>
      </w:pPr>
      <w:r>
        <w:rPr>
          <w:rStyle w:val="FootnoteReference"/>
        </w:rPr>
        <w:footnoteRef/>
      </w:r>
      <w:r>
        <w:rPr>
          <w:rFonts w:ascii="Times New Roman" w:hAnsi="Times New Roman"/>
        </w:rPr>
        <w:t xml:space="preserve"> </w:t>
      </w:r>
      <w:r>
        <w:rPr>
          <w:rFonts w:ascii="Times New Roman" w:hAnsi="Times New Roman"/>
        </w:rPr>
        <w:tab/>
      </w:r>
      <w:r>
        <w:rPr>
          <w:rFonts w:ascii="Times New Roman" w:hAnsi="Times New Roman"/>
          <w:spacing w:val="-4"/>
        </w:rPr>
        <w:t>Smernica (EÚ) 2019/1153 (11.7.2019), ktorou sa stanovujú pravidlá uľahčovania využívania finančných a iných informácií na predchádzanie určitým trestným činom, ich odhaľovanie, vyšetrovanie alebo stíhanie.</w:t>
      </w:r>
    </w:p>
  </w:footnote>
  <w:footnote w:id="24">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Nariadenie (EÚ) 2019/1157 (20.6.2019) o posilnení zabezpečenia preukazov totožnosti občanov Únie a dokladov o pobyte vydávaných občanom Únie a ich rodinným príslušníkom vykonávajúcim svoje právo na voľný pohyb.</w:t>
      </w:r>
    </w:p>
  </w:footnote>
  <w:footnote w:id="25">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Elektronické dôkazy sú potrebné zhruba pri 85 % vyšetrovaní trestných činov, pričom v dvoch tretinách týchto vyšetrovaní treba dôkazy vyžiadať od poskytovateľov online služieb, ktorí majú sídlo v inej jurisdikcii. Pozri posúdenie vplyvu, ktoré je sprievodným dokumentom k legislatívnemu návrhu [SWD(2018) 118 final (17.4.2018)].</w:t>
      </w:r>
    </w:p>
  </w:footnote>
  <w:footnote w:id="26">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225 final (17.4.2018). Rada prijala svoj mandát na rokovanie o návrhu nariadenia na zasadnutí Rady pre spravodlivosť a vnútorné veci 7. decembra 2018.</w:t>
      </w:r>
    </w:p>
  </w:footnote>
  <w:footnote w:id="27">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226 final (17.4.2018). Rada prijala svoju rokovaciu pozíciu k návrhu smernice na zasadnutí Rady pre spravodlivosť a vnútorné veci 8. marca 2019.</w:t>
      </w:r>
    </w:p>
  </w:footnote>
  <w:footnote w:id="28">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2" w:history="1">
        <w:r>
          <w:rPr>
            <w:rStyle w:val="Hyperlink"/>
            <w:rFonts w:ascii="Times New Roman" w:hAnsi="Times New Roman"/>
          </w:rPr>
          <w:t>https://www.consilium.europa.eu/sk/press/press-releases/2019/06/06/council-gives-mandate-to-commission-to-negotiate-international-agreements-on-e-evidence-in-criminal-matters/</w:t>
        </w:r>
      </w:hyperlink>
    </w:p>
  </w:footnote>
  <w:footnote w:id="29">
    <w:p>
      <w:pPr>
        <w:pStyle w:val="FootnoteText"/>
        <w:ind w:left="720" w:hanging="720"/>
        <w:jc w:val="both"/>
      </w:pPr>
      <w:r>
        <w:rPr>
          <w:rStyle w:val="FootnoteReference"/>
        </w:rPr>
        <w:footnoteRef/>
      </w:r>
      <w:r>
        <w:rPr>
          <w:rFonts w:ascii="Times New Roman" w:hAnsi="Times New Roman"/>
        </w:rPr>
        <w:t xml:space="preserve"> </w:t>
      </w:r>
      <w:r>
        <w:rPr>
          <w:rFonts w:ascii="Times New Roman" w:hAnsi="Times New Roman"/>
        </w:rPr>
        <w:tab/>
        <w:t>Nariadenie (EÚ) 2019/817 (20.5.2019) a nariadenie (EÚ) 2019/818 (20. 5. 2019).</w:t>
      </w:r>
    </w:p>
  </w:footnote>
  <w:footnote w:id="30">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Nariadenie (EÚ) 2017/2226 (30.11.2017).</w:t>
      </w:r>
    </w:p>
  </w:footnote>
  <w:footnote w:id="31">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Nariadenie (EÚ) 2018/1240 (12.9.2018) a nariadenie (EÚ) 2018/1241 (12.9.2018).</w:t>
      </w:r>
    </w:p>
  </w:footnote>
  <w:footnote w:id="32">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Nariadenie (EÚ) 2018/1860 (28.11.2018), nariadenie (EÚ) 2018/1861 (28.11.2018), nariadenie (EÚ) 2018/1862 (28.11.2018).</w:t>
      </w:r>
    </w:p>
  </w:footnote>
  <w:footnote w:id="33">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Nariadenie (EÚ) 2019/816 (17.4.2019). </w:t>
      </w:r>
    </w:p>
  </w:footnote>
  <w:footnote w:id="34">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ab/>
        <w:t>COM(2019) 3 final a COM(2019) 4 final (7.1.2019).</w:t>
      </w:r>
    </w:p>
  </w:footnote>
  <w:footnote w:id="35">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COM(2018) 302 final (16.5.2018). </w:t>
      </w:r>
    </w:p>
  </w:footnote>
  <w:footnote w:id="36">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COM(2016) 272 final (4.5.2016).</w:t>
      </w:r>
    </w:p>
  </w:footnote>
  <w:footnote w:id="37">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3" w:history="1">
        <w:r>
          <w:rPr>
            <w:rStyle w:val="Hyperlink"/>
            <w:rFonts w:ascii="Times New Roman" w:hAnsi="Times New Roman"/>
          </w:rPr>
          <w:t>https://www.consilium.europa.eu/sk/press/press-releases/2018/12/14/european-council-conclusions-13-14-december-2018/</w:t>
        </w:r>
      </w:hyperlink>
    </w:p>
  </w:footnote>
  <w:footnote w:id="38">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126 final (6.3.2019).</w:t>
      </w:r>
    </w:p>
  </w:footnote>
  <w:footnote w:id="39">
    <w:p>
      <w:pPr>
        <w:pStyle w:val="FootnoteText"/>
        <w:ind w:left="720" w:hanging="720"/>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r>
      <w:hyperlink r:id="rId14" w:history="1">
        <w:r>
          <w:rPr>
            <w:rStyle w:val="Hyperlink"/>
            <w:rFonts w:ascii="Times New Roman" w:hAnsi="Times New Roman"/>
          </w:rPr>
          <w:t>https://data.consilium.europa.eu/doc/document/ST-1-2019-INIT/sk/pdf</w:t>
        </w:r>
      </w:hyperlink>
    </w:p>
  </w:footnote>
  <w:footnote w:id="40">
    <w:p>
      <w:pPr>
        <w:pStyle w:val="FootnoteText"/>
        <w:ind w:left="720" w:hanging="720"/>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C(2019) 2335 final (26.3.2019).</w:t>
      </w:r>
    </w:p>
  </w:footnote>
  <w:footnote w:id="41">
    <w:p>
      <w:pPr>
        <w:pStyle w:val="FootnoteText"/>
        <w:ind w:left="720" w:hanging="720"/>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Skupina pre spoluprácu v oblasti bezpečnosti sietí a informačných systémov je zriadená podľa smernice (EÚ) 2016/1148 (6.7.2016) o bezpečnosti sietí a informačných systémov. Ako sa stanovilo v odporúčaní, v rámci skupiny pre spoluprácu v oblasti bezpečnosti sietí a informačných systémov bol zriadený osobitný pracovný okruh, ktorý vedie viacero členských štátov. Skupina sa stretla už trikrát – v apríli, máji a júni 2019 – s cieľom vymieňať si informácie o vnútroštátnych prístupoch a diskutovať o spôsobe, ako uľahčiť prípravu koordinovaného posúdenia rizík na úrovni EÚ.</w:t>
      </w:r>
    </w:p>
  </w:footnote>
  <w:footnote w:id="42">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Nariadenie (EÚ) 2019/452 (19.3.2019), ktorým sa ustanovuje rámec na preverovanie priamych zahraničných investícií do Únie. Novým rámcom sa vytvára mechanizmus spolupráce, ktorý členským štátom a Komisii umožní vymieňať si informácie a vyjadriť sa, ak majú obavy v súvislosti s konkrétnymi investíciami. Takisto umožní Komisii vydávať stanoviská v prípade, že investícia ohrozuje bezpečnosť alebo verejný poriadok viac ako jedného členského štátu alebo ak by investícia mohla ohroziť projekt alebo program, ktorý je v záujme celej EÚ. Členský štát, v ktorom sa investícia uskutočňuje, má posledné slovo v otázke, aký postoj sa má k investícii zaujať.</w:t>
      </w:r>
    </w:p>
  </w:footnote>
  <w:footnote w:id="43">
    <w:p>
      <w:pPr>
        <w:pStyle w:val="FootnoteText"/>
        <w:ind w:left="720" w:hanging="720"/>
        <w:jc w:val="both"/>
        <w:rPr>
          <w:rFonts w:ascii="Times New Roman" w:hAnsi="Times New Roman" w:cs="Times New Roman"/>
          <w:spacing w:val="-4"/>
        </w:rPr>
      </w:pPr>
      <w:r>
        <w:rPr>
          <w:rStyle w:val="FootnoteReference"/>
        </w:rPr>
        <w:footnoteRef/>
      </w:r>
      <w:r>
        <w:rPr>
          <w:rFonts w:ascii="Times New Roman" w:hAnsi="Times New Roman"/>
        </w:rPr>
        <w:t xml:space="preserve"> </w:t>
      </w:r>
      <w:r>
        <w:rPr>
          <w:rFonts w:ascii="Times New Roman" w:hAnsi="Times New Roman"/>
        </w:rPr>
        <w:tab/>
      </w:r>
      <w:r>
        <w:rPr>
          <w:rFonts w:ascii="Times New Roman" w:hAnsi="Times New Roman"/>
          <w:spacing w:val="-4"/>
        </w:rPr>
        <w:t>Správa o posudzovaní rizík spojených s praním špinavých peňazí a financovaním terorizmu, ktoré majú vplyv na vnútorný trh a súvisia s cezhraničnou činnosťou [COM(2019) 370 final, 24.7.2019], správa o prepojení vnútroštátnych centralizovaných automatizovaných mechanizmov (centrálnych registrov alebo centrálnych elektronických systémov vyhľadávania údajov) členských štátov týkajúcich sa bankových účtov [COM(2019) 372 final, 24.7.2019], správa o posúdení nedávnych prípadov údajného prania špinavých peňazí týkajúcich sa úverových inštitúcií EÚ [COM(2019) 373 final, 24.7.2019], Správa o posúdení rámca spolupráce medzi finančnými spravodajskými jednotkami [COM(2019) 371 final, 24.7.2019].</w:t>
      </w:r>
    </w:p>
  </w:footnote>
  <w:footnote w:id="44">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Smernica (EÚ) 2015/849 (20.5.2015).</w:t>
      </w:r>
    </w:p>
  </w:footnote>
  <w:footnote w:id="45">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Smernica (EÚ) 2019/1153 (20.6.2019).</w:t>
      </w:r>
    </w:p>
  </w:footnote>
  <w:footnote w:id="46">
    <w:p>
      <w:pPr>
        <w:pStyle w:val="FootnoteText"/>
        <w:ind w:left="720" w:hanging="720"/>
        <w:jc w:val="both"/>
      </w:pPr>
      <w:r>
        <w:rPr>
          <w:rStyle w:val="FootnoteReference"/>
        </w:rPr>
        <w:footnoteRef/>
      </w:r>
      <w:r>
        <w:rPr>
          <w:rFonts w:ascii="Times New Roman" w:hAnsi="Times New Roman"/>
        </w:rPr>
        <w:t xml:space="preserve"> </w:t>
      </w:r>
      <w:r>
        <w:rPr>
          <w:rFonts w:ascii="Times New Roman" w:hAnsi="Times New Roman"/>
        </w:rPr>
        <w:tab/>
        <w:t>Toto posúdenie sa vyžaduje podľa článku 65 ods. 2 piatej smernice o boji proti praniu špinavých peňazí (EÚ) 2018/843 (30.5.2018).</w:t>
      </w:r>
    </w:p>
  </w:footnote>
  <w:footnote w:id="47">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Osobitný výbor Európskeho parlamentu pre terorizmus vyzval vo svojej záverečnej správe prijatej v decembri 2018 na zriadenie systému Európskej únie na sledovanie financovania terorizmu, ktorý by bol zameraný na transakcie osôb s väzbami na terorizmus a ich financovanie v rámci jednotnej oblasti platieb v eurách.</w:t>
      </w:r>
    </w:p>
  </w:footnote>
  <w:footnote w:id="48">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Pozri osemnástu správu o pokroku dosiahnutom pri budovaní účinnej a skutočnej bezpečnostnej únie [COM(2019) 145 final, 20.3.2019].</w:t>
      </w:r>
    </w:p>
  </w:footnote>
  <w:footnote w:id="49">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Smernica (EÚ) 2016/681 (27.4.2016).</w:t>
      </w:r>
    </w:p>
  </w:footnote>
  <w:footnote w:id="50">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Údaje o oznámení úplnej transpozície vychádzajú z vyhlásení členských štátov a nemajú vplyv na kontrolu transpozície zo strany útvarov Komisie.</w:t>
      </w:r>
    </w:p>
  </w:footnote>
  <w:footnote w:id="51">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Slovinsko oznámilo čiastočnú transpozíciu. Španielsko transpozíciu neoznámilo (stav k 24. júlu 2019). </w:t>
      </w:r>
    </w:p>
  </w:footnote>
  <w:footnote w:id="52">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Smernica (EÚ) 2017/541 (15.3.2017).</w:t>
      </w:r>
    </w:p>
  </w:footnote>
  <w:footnote w:id="53">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ab/>
        <w:t>Poľsko oznámilo čiastočnú transpozíciu. Grécko a Luxembursko transpozíciu neoznámili (stav k 24. júlu 2019).</w:t>
      </w:r>
      <w:r>
        <w:rPr>
          <w:rFonts w:ascii="Times New Roman" w:hAnsi="Times New Roman"/>
          <w:sz w:val="22"/>
          <w:szCs w:val="22"/>
        </w:rPr>
        <w:t xml:space="preserve"> </w:t>
      </w:r>
    </w:p>
  </w:footnote>
  <w:footnote w:id="54">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Smernica (EÚ) 2017/853 (17.5.2017).</w:t>
      </w:r>
    </w:p>
  </w:footnote>
  <w:footnote w:id="55">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Belgicko, Česko, Estónsko, Litva, Poľsko, Portugalsko, Švédsko a Spojené kráľovstvo oznámili čiastočnú transpozíciu. Nemecko, Írsko, Grécko, Španielsko, Cyprus, Luxembursko, Maďarsko, Holandsko, Rumunsko, Slovinsko, Slovensko a Fínsko transpozíciu neoznámili (stav k 24. júlu 2019).</w:t>
      </w:r>
    </w:p>
  </w:footnote>
  <w:footnote w:id="56">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Smernica (EÚ) 2016/680 (27.4.2016).</w:t>
      </w:r>
    </w:p>
  </w:footnote>
  <w:footnote w:id="57">
    <w:p>
      <w:pPr>
        <w:pStyle w:val="FootnoteText"/>
        <w:ind w:left="720" w:hanging="720"/>
        <w:jc w:val="both"/>
      </w:pPr>
      <w:r>
        <w:rPr>
          <w:rStyle w:val="FootnoteReference"/>
        </w:rPr>
        <w:footnoteRef/>
      </w:r>
      <w:r>
        <w:rPr>
          <w:rFonts w:ascii="Times New Roman" w:hAnsi="Times New Roman"/>
        </w:rPr>
        <w:tab/>
        <w:t>Transpozíciu dokončilo 20 členských štátov (stav k 24. júlu 2019).</w:t>
      </w:r>
    </w:p>
  </w:footnote>
  <w:footnote w:id="58">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Lotyšsko, Portugalsko, Slovinsko a Fínsko oznámili čiastočnú transpozíciu. Grécko a Španielsko transpozíciu neoznámili. Hoci Nemecko oznámilo dokončenie transpozície, Komisia považuje túto transpozíciu za neukončenú (stav k 24. júlu 2019).</w:t>
      </w:r>
    </w:p>
  </w:footnote>
  <w:footnote w:id="59">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ab/>
        <w:t>Smernica (EÚ) 2016/1148 (27.4.2016).</w:t>
      </w:r>
    </w:p>
  </w:footnote>
  <w:footnote w:id="60">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ab/>
        <w:t xml:space="preserve">Belgicko a Maďarsko smernicu transponovali čiastočne (stav k 24. júlu 2019). </w:t>
      </w:r>
    </w:p>
  </w:footnote>
  <w:footnote w:id="61">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ab/>
        <w:t>Smernica (EÚ) 2015/849 (20.5.2015).</w:t>
      </w:r>
    </w:p>
  </w:footnote>
  <w:footnote w:id="62">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 xml:space="preserve">Belgicko, Bulharsko, Česko, Dánsko, Nemecko, Estónsko, Írsko, Španielsko, Francúzsko, Taliansko, Cyprus, Lotyšsko, Litva, Maďarsko, Holandsko, Rakúsko, Poľsko, Portugalsko, Rumunsko, Slovinsko, Slovensko, Fínsko, Švédsko a Spojené kráľovstvo (stav k 24. júlu 2019). </w:t>
      </w:r>
    </w:p>
  </w:footnote>
  <w:footnote w:id="63">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Slovinsko oznámilo čiastočnú transpozíciu. Španielsko transpozíciu neoznámilo (stav k 24. júlu 2019).</w:t>
      </w:r>
    </w:p>
  </w:footnote>
  <w:footnote w:id="64">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Poľsko oznámilo čiastočnú transpozíciu. Grécko a Luxembursko transpozíciu neoznámili (stav k 24. júlu 2019).</w:t>
      </w:r>
    </w:p>
  </w:footnote>
  <w:footnote w:id="65">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Belgicko, Česko, Estónsko, Litva, Poľsko, Portugalsko, Švédsko a Spojené kráľovstvo oznámili čiastočnú transpozíciu. Nemecko, Írsko, Grécko, Španielsko, Cyprus, Luxembursko, Maďarsko, Holandsko, Rumunsko, Slovinsko, Slovensko a Fínsko transpozíciu neoznámili (stav k 24. júlu 2019).</w:t>
      </w:r>
    </w:p>
  </w:footnote>
  <w:footnote w:id="66">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Lotyšsko, Portugalsko, Slovinsko a Fínsko oznámili čiastočnú transpozíciu. Grécko a Španielsko transpozíciu neoznámili. Hoci Nemecko oznámilo dokončenie transpozície, Komisia považuje túto transpozíciu za neukončenú (stav k 24. júlu 2019).</w:t>
      </w:r>
    </w:p>
  </w:footnote>
  <w:footnote w:id="67">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Belgicko a Maďarsko smernicu transponovali čiastočne (stav k 24. júlu 2019).</w:t>
      </w:r>
    </w:p>
  </w:footnote>
  <w:footnote w:id="68">
    <w:p>
      <w:pPr>
        <w:pStyle w:val="FootnoteText"/>
        <w:ind w:left="720" w:hanging="720"/>
        <w:jc w:val="both"/>
        <w:rPr>
          <w:rFonts w:ascii="Times New Roman" w:hAnsi="Times New Roman" w:cs="Times New Roman"/>
          <w:color w:val="000000" w:themeColor="text1"/>
        </w:rPr>
      </w:pPr>
      <w:r>
        <w:rPr>
          <w:rStyle w:val="FootnoteReference"/>
        </w:rPr>
        <w:footnoteRef/>
      </w:r>
      <w:r>
        <w:rPr>
          <w:rFonts w:ascii="Times New Roman" w:hAnsi="Times New Roman"/>
        </w:rPr>
        <w:tab/>
        <w:t>Belgicko, Bulharsko, Česko, Dánsko, Nemecko, Estónsko, Írsko, Španielsko, Francúzsko, Taliansko, Cyprus, Lotyšsko, Litva, Maďarsko, Holandsko, Rakúsko, Poľsko, Portugalsko, Rumunsko, Slovinsko, Slovensko, Fínsko, Švédsko a Spojené kráľovstvo (stav k 24. júlu 2019)</w:t>
      </w:r>
    </w:p>
  </w:footnote>
  <w:footnote w:id="69">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Pozri akčný plán proti dezinformáciám [JOIN(2018) 36 final z 5.12.2018].</w:t>
      </w:r>
    </w:p>
  </w:footnote>
  <w:footnote w:id="70">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 (2019) 12 final (14.6.2019).</w:t>
      </w:r>
    </w:p>
  </w:footnote>
  <w:footnote w:id="71">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5" w:history="1">
        <w:r>
          <w:rPr>
            <w:rStyle w:val="Hyperlink"/>
            <w:rFonts w:ascii="Times New Roman" w:hAnsi="Times New Roman"/>
          </w:rPr>
          <w:t>https://www.consilium.europa.eu/media/39922/20-21-euco-final-conclusions-en.pdf</w:t>
        </w:r>
      </w:hyperlink>
      <w:r>
        <w:rPr>
          <w:rFonts w:ascii="Times New Roman" w:hAnsi="Times New Roman"/>
        </w:rPr>
        <w:t>. Výzva Európskej rady vychádza zo vstupných informácií od rumunského predsedníctva v Rade, ako aj od Komisie a vysokej predstaviteľky pre zahraničné veci a bezpečnostnú politiku o získaných poznatkoch v súvislosti s dezinformáciami a so zaistením slobodných a spravodlivých volieb vrátane spoločného oznámenia o vykonávaní akčného plánu proti dezinformáciám.</w:t>
      </w:r>
    </w:p>
  </w:footnote>
  <w:footnote w:id="72">
    <w:p>
      <w:pPr>
        <w:pStyle w:val="FootnoteText"/>
        <w:ind w:left="720" w:hanging="720"/>
        <w:jc w:val="both"/>
        <w:rPr>
          <w:rFonts w:ascii="Times New Roman" w:hAnsi="Times New Roman" w:cs="Times New Roman"/>
          <w:spacing w:val="-6"/>
        </w:rPr>
      </w:pPr>
      <w:r>
        <w:rPr>
          <w:rStyle w:val="FootnoteReference"/>
        </w:rPr>
        <w:footnoteRef/>
      </w:r>
      <w:r>
        <w:rPr>
          <w:rFonts w:ascii="Times New Roman" w:hAnsi="Times New Roman"/>
        </w:rPr>
        <w:t xml:space="preserve"> </w:t>
      </w:r>
      <w:r>
        <w:rPr>
          <w:rFonts w:ascii="Times New Roman" w:hAnsi="Times New Roman"/>
        </w:rPr>
        <w:tab/>
      </w:r>
      <w:r>
        <w:rPr>
          <w:rFonts w:ascii="Times New Roman" w:hAnsi="Times New Roman"/>
          <w:spacing w:val="-6"/>
        </w:rPr>
        <w:t>V októbri 2018 kódex podpísali online platformy Facebook, Google a Twitter, Mozilla, ako aj inzerenti a predstavitelia reklamného priemyslu a stanovujú sa v ňom normy samoregulácie na boj proti dezinformáciám. Cieľom Kódexu je dosiahnuť ciele stanovené v oznámení Komisie z apríla 2018 o boji proti dezinformáciám na internete (COM/2018/236 final, z 26.4.2018) stanovením širokej škály záväzkov od transparentnosti politickej reklamy cez zrušenie falošných účtov až po zníženie príjmov pôvodcov dezinformácií.</w:t>
      </w:r>
    </w:p>
  </w:footnote>
  <w:footnote w:id="73">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Európska sieť spolupráce v oblasti volieb združuje kontaktné miesta vnútroštátnych sietí volebnej spolupráce orgánov s právomocami v oblasti volebných záležitostí a orgánov zodpovedných za monitorovanie a presadzovanie pravidiel súvisiacich s činnosťami na internete, ktoré sú relevantné z hľadiska volieb. Európska sieť spolupráce v oblasti volieb slúži na varovanie pred hrozbami, výmenu najlepších postupov medzi vnútroštátnymi sieťami, diskusiu o spoločných riešeniach identifikovaných výziev a podporu spoločných projektov a akcií vnútroštátnych sietí.</w:t>
      </w:r>
    </w:p>
  </w:footnote>
  <w:footnote w:id="74">
    <w:p>
      <w:pPr>
        <w:pStyle w:val="FootnoteText"/>
        <w:ind w:left="720" w:hanging="720"/>
        <w:jc w:val="both"/>
        <w:rPr>
          <w:rFonts w:ascii="Times New Roman" w:hAnsi="Times New Roman"/>
          <w:spacing w:val="-6"/>
        </w:rPr>
      </w:pPr>
      <w:r>
        <w:rPr>
          <w:rStyle w:val="FootnoteReference"/>
        </w:rPr>
        <w:footnoteRef/>
      </w:r>
      <w:r>
        <w:t xml:space="preserve"> </w:t>
      </w:r>
      <w:r>
        <w:tab/>
      </w:r>
      <w:r>
        <w:rPr>
          <w:rFonts w:ascii="Times New Roman" w:hAnsi="Times New Roman"/>
          <w:spacing w:val="-6"/>
        </w:rPr>
        <w:t>Skupina európskych regulačných orgánov pre audiovizuálne mediálne služby združuje predsedov alebo vysokých predstaviteľov nezávislých vnútroštátnych regulačných orgánov v oblasti audiovizuálnych služieb, aby radili Komisii v otázkach vykonávania smernice EÚ o audiovizuálnych mediálnych službách (smernica 2010/13/EÚ z 10.3.2010). Na svojom poslednom stretnutí 20. a 21. júna 2019 v Bratislave skupina predstavila výsledky doteraz vykonanej práce v oblasti dezinformácií, pričom sa zamerala na voľby do Európskeho parlamentu v roku 2019 a súvisiace oblasti politickej reklamy a reklamy zameranej na aktuálne problémy.</w:t>
      </w:r>
    </w:p>
  </w:footnote>
  <w:footnote w:id="75">
    <w:p>
      <w:pPr>
        <w:pStyle w:val="FootnoteText"/>
        <w:ind w:left="720" w:hanging="720"/>
        <w:jc w:val="both"/>
        <w:rPr>
          <w:rFonts w:ascii="Times New Roman" w:hAnsi="Times New Roman" w:cs="Times New Roman"/>
          <w:spacing w:val="-6"/>
        </w:rPr>
      </w:pPr>
      <w:r>
        <w:rPr>
          <w:rStyle w:val="FootnoteReference"/>
        </w:rPr>
        <w:footnoteRef/>
      </w:r>
      <w:r>
        <w:rPr>
          <w:rFonts w:ascii="Times New Roman" w:hAnsi="Times New Roman"/>
        </w:rPr>
        <w:t xml:space="preserve"> </w:t>
      </w:r>
      <w:r>
        <w:rPr>
          <w:rFonts w:ascii="Times New Roman" w:hAnsi="Times New Roman"/>
        </w:rPr>
        <w:tab/>
      </w:r>
      <w:r>
        <w:rPr>
          <w:rFonts w:ascii="Times New Roman" w:hAnsi="Times New Roman"/>
          <w:spacing w:val="-6"/>
        </w:rPr>
        <w:t>Pozri dokument „Osvedčené postupy pre subjekty verejného sektora a súkromných prevádzkovateľov na posilnenie bezpečnosti verejných priestorov“, ako sa stanovuje v osemnástej správe o pokroku dosiahnutom pri budovaní účinnej a skutočnej bezpečnostnej únie [COM(2019) 145 final z 20.3.2019]. Ten vychádza z Akčného plánu na podporu ochrany verejných priestorov z októbra 2017 [COM(2017) 612 final z 18.10.2017]. Dňa 5. júna 2019 sa konalo tretie stretnutie fóra prevádzkovateľov v rámci fóra EÚ o ochrane verejných priestorov. Stretli sa na ňom predstavitelia členských štátov EÚ a súkromní prevádzkovatelia verejných priestorov, ktorých zastupovalo 14 európskych asociácií zahŕňajúcich sektor poskytovania ubytovania a stravovania, živé vystúpenia, hudbu a zábavu, zábavné parky a atrakcie, leteckú dopravu, železničnú dopravu, nákupné centrá, telekomunikácie, ako aj súkromné bezpečnostné služby a výrobcov zariadení bezpečnostnej ochrany.</w:t>
      </w:r>
    </w:p>
  </w:footnote>
  <w:footnote w:id="76">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Najmä vykonávaním Akčného plánu na zlepšenie pripravenosti na chemické, biologické, rádiologické a jadrové bezpečnostné riziká z októbra 2017 [COM(2017) 610 final z 18.10.2017].</w:t>
      </w:r>
    </w:p>
  </w:footnote>
  <w:footnote w:id="77">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Pozri článok 12 ods. 2 rozhodnutia č. 1313/2013/EÚ o mechanizme Únie v oblasti civilnej ochrany (17.12.2013) zmeneného rozhodnutím (EÚ) 2019/420 (13.3.2019).</w:t>
      </w:r>
    </w:p>
  </w:footnote>
  <w:footnote w:id="78">
    <w:p>
      <w:pPr>
        <w:pStyle w:val="Footnote10"/>
        <w:spacing w:line="240" w:lineRule="auto"/>
        <w:ind w:left="720" w:hanging="720"/>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ab/>
        <w:t>Pozri posilnené opatrenia proti chemickým hrozbám, ako sa uvádza v pätnástej správe o pokroku dosiahnutom pri budovaní účinnej a skutočnej bezpečnostnej únie, [COM(2018) 470 final, 13.6.2018].</w:t>
      </w:r>
    </w:p>
  </w:footnote>
  <w:footnote w:id="79">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Ú. v. EÚ L 152, 11.6.2019 – vykonávacie nariadenie Komisie (EÚ) 2019/947 z 24. mája 2019 o pravidlách a postupoch prevádzky bezpilotných lietadiel. </w:t>
      </w:r>
    </w:p>
  </w:footnote>
  <w:footnote w:id="80">
    <w:p>
      <w:pPr>
        <w:pStyle w:val="FootnoteText"/>
        <w:ind w:left="720" w:hanging="720"/>
        <w:jc w:val="both"/>
        <w:rPr>
          <w:rFonts w:ascii="Times New Roman" w:hAnsi="Times New Roman" w:cs="Times New Roman"/>
          <w:spacing w:val="-8"/>
        </w:rPr>
      </w:pPr>
      <w:r>
        <w:rPr>
          <w:rStyle w:val="FootnoteReference"/>
        </w:rPr>
        <w:footnoteRef/>
      </w:r>
      <w:r>
        <w:rPr>
          <w:rFonts w:ascii="Times New Roman" w:hAnsi="Times New Roman"/>
        </w:rPr>
        <w:t xml:space="preserve"> </w:t>
      </w:r>
      <w:r>
        <w:rPr>
          <w:rFonts w:ascii="Times New Roman" w:hAnsi="Times New Roman"/>
        </w:rPr>
        <w:tab/>
      </w:r>
      <w:r>
        <w:rPr>
          <w:rFonts w:ascii="Times New Roman" w:hAnsi="Times New Roman"/>
          <w:spacing w:val="-8"/>
        </w:rPr>
        <w:t>V komplexnom posúdení bezpečnostnej politiky EÚ z roku 2017 [SWD(2017) 278 final, 26.7.2017] sa poukázalo na potrebu uplatniť pri hodnotení politiky EÚ v oblasti ochrany kritických infraštruktúr široké hľadisko.</w:t>
      </w:r>
    </w:p>
  </w:footnote>
  <w:footnote w:id="81">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Smernica Rady 2008/114/ES z 8. decembra 2008 o identifikácii a označení európskych kritických infraštruktúr a zhodnotení potreby zlepšiť ich ochranu má za cieľ posilniť ochranu kritických infraštruktúr v Európskej únii.</w:t>
      </w:r>
    </w:p>
  </w:footnote>
  <w:footnote w:id="82">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Najmä nariadenie (EÚ) 2017/1938 (25.10.2017) o opatreniach na zaistenie bezpečnosti dodávok plynu a nariadenie (EÚ) 2019/941 (5.6.2019) o pripravenosti na riziká v sektore elektrickej energie.</w:t>
      </w:r>
    </w:p>
  </w:footnote>
  <w:footnote w:id="83">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6" w:history="1">
        <w:r>
          <w:rPr>
            <w:rStyle w:val="Hyperlink"/>
            <w:rFonts w:ascii="Times New Roman" w:hAnsi="Times New Roman"/>
          </w:rPr>
          <w:t>https://eeas.europa.eu/sites/eeas/files/2019042019_un-eu_framework_on_counter-terrorism.pdf</w:t>
        </w:r>
      </w:hyperlink>
    </w:p>
  </w:footnote>
  <w:footnote w:id="84">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65 final (6.2.2018).</w:t>
      </w:r>
    </w:p>
  </w:footnote>
  <w:footnote w:id="85">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7" w:history="1">
        <w:r>
          <w:rPr>
            <w:rStyle w:val="Hyperlink"/>
            <w:rFonts w:ascii="Times New Roman" w:hAnsi="Times New Roman"/>
          </w:rPr>
          <w:t>https://ec.europa.eu/home-affairs/sites/homeaffairs/files/what-we-do/policies/european-agenda-security/20190627_com-2019-293-commission-report_sk.pdf</w:t>
        </w:r>
      </w:hyperlink>
    </w:p>
  </w:footnote>
  <w:footnote w:id="86">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Ú. v. EÚ L 215, 11.8.2012, s. 5.</w:t>
      </w:r>
    </w:p>
  </w:footnote>
  <w:footnote w:id="87">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Ú. v. EÚ L 195, 27.7. 2010, s. 5.</w:t>
      </w:r>
    </w:p>
  </w:footnote>
  <w:footnote w:id="88">
    <w:p>
      <w:pPr>
        <w:pStyle w:val="FootnoteText"/>
        <w:ind w:left="720" w:hanging="720"/>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342 final (22.7.2019).</w:t>
      </w:r>
    </w:p>
  </w:footnote>
  <w:footnote w:id="89">
    <w:p>
      <w:pPr>
        <w:pStyle w:val="FootnoteText"/>
        <w:ind w:left="720" w:hanging="720"/>
        <w:jc w:val="both"/>
      </w:pPr>
      <w:r>
        <w:rPr>
          <w:rStyle w:val="FootnoteReference"/>
        </w:rPr>
        <w:footnoteRef/>
      </w:r>
      <w:r>
        <w:rPr>
          <w:rFonts w:ascii="Times New Roman" w:hAnsi="Times New Roman"/>
        </w:rPr>
        <w:t xml:space="preserve"> </w:t>
      </w:r>
      <w:r>
        <w:rPr>
          <w:rFonts w:ascii="Times New Roman" w:hAnsi="Times New Roman"/>
        </w:rPr>
        <w:tab/>
        <w:t>Ú. v. EÚ L 186, 14.7.2012, s.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4CF1"/>
    <w:multiLevelType w:val="hybridMultilevel"/>
    <w:tmpl w:val="E69A4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8F686F"/>
    <w:multiLevelType w:val="hybridMultilevel"/>
    <w:tmpl w:val="71BCB600"/>
    <w:lvl w:ilvl="0" w:tplc="912485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6A5515C"/>
    <w:multiLevelType w:val="multilevel"/>
    <w:tmpl w:val="EFFA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D4DB2"/>
    <w:multiLevelType w:val="hybridMultilevel"/>
    <w:tmpl w:val="2D3E159C"/>
    <w:lvl w:ilvl="0" w:tplc="7554B212">
      <w:start w:val="1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938C6"/>
    <w:multiLevelType w:val="hybridMultilevel"/>
    <w:tmpl w:val="ADF40502"/>
    <w:lvl w:ilvl="0" w:tplc="833E69A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0C44A9"/>
    <w:multiLevelType w:val="hybridMultilevel"/>
    <w:tmpl w:val="65CA8E72"/>
    <w:lvl w:ilvl="0" w:tplc="70D28B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CC5BB5"/>
    <w:multiLevelType w:val="hybridMultilevel"/>
    <w:tmpl w:val="C736F902"/>
    <w:lvl w:ilvl="0" w:tplc="60E6C22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C790A24"/>
    <w:multiLevelType w:val="hybridMultilevel"/>
    <w:tmpl w:val="559A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3E37D2A"/>
    <w:multiLevelType w:val="hybridMultilevel"/>
    <w:tmpl w:val="D792BC4A"/>
    <w:lvl w:ilvl="0" w:tplc="03A055B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9BF39C0"/>
    <w:multiLevelType w:val="multilevel"/>
    <w:tmpl w:val="900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10C0A"/>
    <w:multiLevelType w:val="hybridMultilevel"/>
    <w:tmpl w:val="6C9C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E4719"/>
    <w:multiLevelType w:val="hybridMultilevel"/>
    <w:tmpl w:val="A584401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6">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FD0C73"/>
    <w:multiLevelType w:val="hybridMultilevel"/>
    <w:tmpl w:val="A09C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9">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3406A8"/>
    <w:multiLevelType w:val="hybridMultilevel"/>
    <w:tmpl w:val="A4F855B0"/>
    <w:lvl w:ilvl="0" w:tplc="C5D4F71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20"/>
  </w:num>
  <w:num w:numId="3">
    <w:abstractNumId w:val="5"/>
  </w:num>
  <w:num w:numId="4">
    <w:abstractNumId w:val="12"/>
  </w:num>
  <w:num w:numId="5">
    <w:abstractNumId w:val="3"/>
  </w:num>
  <w:num w:numId="6">
    <w:abstractNumId w:val="10"/>
  </w:num>
  <w:num w:numId="7">
    <w:abstractNumId w:val="23"/>
  </w:num>
  <w:num w:numId="8">
    <w:abstractNumId w:val="8"/>
  </w:num>
  <w:num w:numId="9">
    <w:abstractNumId w:val="26"/>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0"/>
  </w:num>
  <w:num w:numId="14">
    <w:abstractNumId w:val="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2"/>
  </w:num>
  <w:num w:numId="21">
    <w:abstractNumId w:val="13"/>
  </w:num>
  <w:num w:numId="22">
    <w:abstractNumId w:val="17"/>
  </w:num>
  <w:num w:numId="23">
    <w:abstractNumId w:val="19"/>
  </w:num>
  <w:num w:numId="24">
    <w:abstractNumId w:val="4"/>
  </w:num>
  <w:num w:numId="25">
    <w:abstractNumId w:val="21"/>
  </w:num>
  <w:num w:numId="26">
    <w:abstractNumId w:val="27"/>
  </w:num>
  <w:num w:numId="27">
    <w:abstractNumId w:val="18"/>
  </w:num>
  <w:num w:numId="28">
    <w:abstractNumId w:val="24"/>
  </w:num>
  <w:num w:numId="29">
    <w:abstractNumId w:val="14"/>
  </w:num>
  <w:num w:numId="30">
    <w:abstractNumId w:val="30"/>
  </w:num>
  <w:num w:numId="31">
    <w:abstractNumId w:val="7"/>
  </w:num>
  <w:num w:numId="32">
    <w:abstractNumId w:val="9"/>
  </w:num>
  <w:num w:numId="33">
    <w:abstractNumId w:val="11"/>
  </w:num>
  <w:num w:numId="34">
    <w:abstractNumId w:val="16"/>
  </w:num>
  <w:num w:numId="35">
    <w:abstractNumId w:val="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D0999AE-9361-46C3-9E66-1F31F45D2C7B"/>
    <w:docVar w:name="LW_COVERPAGE_TYPE" w:val="1"/>
    <w:docVar w:name="LW_CROSSREFERENCE" w:val="&lt;UNUSED&gt;"/>
    <w:docVar w:name="LW_DocType" w:val="NORMAL"/>
    <w:docVar w:name="LW_EMISSION" w:val="24. 7. 2019"/>
    <w:docVar w:name="LW_EMISSION_ISODATE" w:val="2019-07-24"/>
    <w:docVar w:name="LW_EMISSION_LOCATION" w:val="BRX"/>
    <w:docVar w:name="LW_EMISSION_PREFIX" w:val="V Bruseli"/>
    <w:docVar w:name="LW_EMISSION_SUFFIX" w:val=" "/>
    <w:docVar w:name="LW_ID_DOCTYPE_NONLW" w:val="CP-035"/>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evätnásta správa o pokroku dosiahnutom pri budovaní ú\u269?innej a skuto\u269?nej bezpe\u269?nostnej únie"/>
    <w:docVar w:name="LW_TYPE.DOC.CP" w:val="OZNÁMENIE KOMISIE EURÓPSKEMU PARLAMENTU, EURÓPSKEJ RADE A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sk-SK"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sk-SK"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89">
      <w:bodyDiv w:val="1"/>
      <w:marLeft w:val="0"/>
      <w:marRight w:val="0"/>
      <w:marTop w:val="0"/>
      <w:marBottom w:val="0"/>
      <w:divBdr>
        <w:top w:val="none" w:sz="0" w:space="0" w:color="auto"/>
        <w:left w:val="none" w:sz="0" w:space="0" w:color="auto"/>
        <w:bottom w:val="none" w:sz="0" w:space="0" w:color="auto"/>
        <w:right w:val="none" w:sz="0" w:space="0" w:color="auto"/>
      </w:divBdr>
    </w:div>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97410077">
      <w:bodyDiv w:val="1"/>
      <w:marLeft w:val="0"/>
      <w:marRight w:val="0"/>
      <w:marTop w:val="0"/>
      <w:marBottom w:val="0"/>
      <w:divBdr>
        <w:top w:val="none" w:sz="0" w:space="0" w:color="auto"/>
        <w:left w:val="none" w:sz="0" w:space="0" w:color="auto"/>
        <w:bottom w:val="none" w:sz="0" w:space="0" w:color="auto"/>
        <w:right w:val="none" w:sz="0" w:space="0" w:color="auto"/>
      </w:divBdr>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31848075">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0774864">
      <w:bodyDiv w:val="1"/>
      <w:marLeft w:val="0"/>
      <w:marRight w:val="0"/>
      <w:marTop w:val="0"/>
      <w:marBottom w:val="0"/>
      <w:divBdr>
        <w:top w:val="none" w:sz="0" w:space="0" w:color="auto"/>
        <w:left w:val="none" w:sz="0" w:space="0" w:color="auto"/>
        <w:bottom w:val="none" w:sz="0" w:space="0" w:color="auto"/>
        <w:right w:val="none" w:sz="0" w:space="0" w:color="auto"/>
      </w:divBdr>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640815063">
      <w:bodyDiv w:val="1"/>
      <w:marLeft w:val="0"/>
      <w:marRight w:val="0"/>
      <w:marTop w:val="0"/>
      <w:marBottom w:val="0"/>
      <w:divBdr>
        <w:top w:val="none" w:sz="0" w:space="0" w:color="auto"/>
        <w:left w:val="none" w:sz="0" w:space="0" w:color="auto"/>
        <w:bottom w:val="none" w:sz="0" w:space="0" w:color="auto"/>
        <w:right w:val="none" w:sz="0" w:space="0" w:color="auto"/>
      </w:divBdr>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793250097">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0114363">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689019385">
      <w:bodyDiv w:val="1"/>
      <w:marLeft w:val="0"/>
      <w:marRight w:val="0"/>
      <w:marTop w:val="0"/>
      <w:marBottom w:val="0"/>
      <w:divBdr>
        <w:top w:val="none" w:sz="0" w:space="0" w:color="auto"/>
        <w:left w:val="none" w:sz="0" w:space="0" w:color="auto"/>
        <w:bottom w:val="none" w:sz="0" w:space="0" w:color="auto"/>
        <w:right w:val="none" w:sz="0" w:space="0" w:color="auto"/>
      </w:divBdr>
    </w:div>
    <w:div w:id="1789884564">
      <w:bodyDiv w:val="1"/>
      <w:marLeft w:val="0"/>
      <w:marRight w:val="0"/>
      <w:marTop w:val="0"/>
      <w:marBottom w:val="0"/>
      <w:divBdr>
        <w:top w:val="none" w:sz="0" w:space="0" w:color="auto"/>
        <w:left w:val="none" w:sz="0" w:space="0" w:color="auto"/>
        <w:bottom w:val="none" w:sz="0" w:space="0" w:color="auto"/>
        <w:right w:val="none" w:sz="0" w:space="0" w:color="auto"/>
      </w:divBdr>
      <w:divsChild>
        <w:div w:id="1923643036">
          <w:marLeft w:val="0"/>
          <w:marRight w:val="0"/>
          <w:marTop w:val="0"/>
          <w:marBottom w:val="0"/>
          <w:divBdr>
            <w:top w:val="none" w:sz="0" w:space="0" w:color="auto"/>
            <w:left w:val="none" w:sz="0" w:space="0" w:color="auto"/>
            <w:bottom w:val="none" w:sz="0" w:space="0" w:color="auto"/>
            <w:right w:val="none" w:sz="0" w:space="0" w:color="auto"/>
          </w:divBdr>
        </w:div>
        <w:div w:id="1547790993">
          <w:marLeft w:val="0"/>
          <w:marRight w:val="0"/>
          <w:marTop w:val="0"/>
          <w:marBottom w:val="0"/>
          <w:divBdr>
            <w:top w:val="none" w:sz="0" w:space="0" w:color="auto"/>
            <w:left w:val="none" w:sz="0" w:space="0" w:color="auto"/>
            <w:bottom w:val="none" w:sz="0" w:space="0" w:color="auto"/>
            <w:right w:val="none" w:sz="0" w:space="0" w:color="auto"/>
          </w:divBdr>
        </w:div>
        <w:div w:id="1608807805">
          <w:marLeft w:val="0"/>
          <w:marRight w:val="0"/>
          <w:marTop w:val="0"/>
          <w:marBottom w:val="0"/>
          <w:divBdr>
            <w:top w:val="none" w:sz="0" w:space="0" w:color="auto"/>
            <w:left w:val="none" w:sz="0" w:space="0" w:color="auto"/>
            <w:bottom w:val="none" w:sz="0" w:space="0" w:color="auto"/>
            <w:right w:val="none" w:sz="0" w:space="0" w:color="auto"/>
          </w:divBdr>
        </w:div>
        <w:div w:id="1564220127">
          <w:marLeft w:val="0"/>
          <w:marRight w:val="0"/>
          <w:marTop w:val="0"/>
          <w:marBottom w:val="0"/>
          <w:divBdr>
            <w:top w:val="none" w:sz="0" w:space="0" w:color="auto"/>
            <w:left w:val="none" w:sz="0" w:space="0" w:color="auto"/>
            <w:bottom w:val="none" w:sz="0" w:space="0" w:color="auto"/>
            <w:right w:val="none" w:sz="0" w:space="0" w:color="auto"/>
          </w:divBdr>
        </w:div>
      </w:divsChild>
    </w:div>
    <w:div w:id="1825731861">
      <w:bodyDiv w:val="1"/>
      <w:marLeft w:val="0"/>
      <w:marRight w:val="0"/>
      <w:marTop w:val="0"/>
      <w:marBottom w:val="0"/>
      <w:divBdr>
        <w:top w:val="none" w:sz="0" w:space="0" w:color="auto"/>
        <w:left w:val="none" w:sz="0" w:space="0" w:color="auto"/>
        <w:bottom w:val="none" w:sz="0" w:space="0" w:color="auto"/>
        <w:right w:val="none" w:sz="0" w:space="0" w:color="auto"/>
      </w:divBdr>
    </w:div>
    <w:div w:id="1828355933">
      <w:bodyDiv w:val="1"/>
      <w:marLeft w:val="0"/>
      <w:marRight w:val="0"/>
      <w:marTop w:val="0"/>
      <w:marBottom w:val="0"/>
      <w:divBdr>
        <w:top w:val="none" w:sz="0" w:space="0" w:color="auto"/>
        <w:left w:val="none" w:sz="0" w:space="0" w:color="auto"/>
        <w:bottom w:val="none" w:sz="0" w:space="0" w:color="auto"/>
        <w:right w:val="none" w:sz="0" w:space="0" w:color="auto"/>
      </w:divBdr>
    </w:div>
    <w:div w:id="1853258915">
      <w:bodyDiv w:val="1"/>
      <w:marLeft w:val="0"/>
      <w:marRight w:val="0"/>
      <w:marTop w:val="0"/>
      <w:marBottom w:val="0"/>
      <w:divBdr>
        <w:top w:val="none" w:sz="0" w:space="0" w:color="auto"/>
        <w:left w:val="none" w:sz="0" w:space="0" w:color="auto"/>
        <w:bottom w:val="none" w:sz="0" w:space="0" w:color="auto"/>
        <w:right w:val="none" w:sz="0" w:space="0" w:color="auto"/>
      </w:divBdr>
    </w:div>
    <w:div w:id="1863857146">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10-million-eu-funding-available-projects-stepping-eus-cybersecurity-capabilities-and-cross" TargetMode="External"/><Relationship Id="rId13" Type="http://schemas.openxmlformats.org/officeDocument/2006/relationships/hyperlink" Target="https://www.consilium.europa.eu/sk/press/press-releases/2018/12/14/european-council-conclusions-13-14-december-2018/." TargetMode="External"/><Relationship Id="rId3" Type="http://schemas.openxmlformats.org/officeDocument/2006/relationships/hyperlink" Target="https://www.elysee.fr/emmanuel-macron/2019/05/15/the-christchurch-call-to-action-to-eliminate-terrorist-and-violent-extremist-content-online.en" TargetMode="External"/><Relationship Id="rId7" Type="http://schemas.openxmlformats.org/officeDocument/2006/relationships/hyperlink" Target="https://ec.europa.eu/digital-single-market/en/news/building-strong-cybersecurity-european-union-resilience-deterence-defence" TargetMode="External"/><Relationship Id="rId12" Type="http://schemas.openxmlformats.org/officeDocument/2006/relationships/hyperlink" Target="https://www.consilium.europa.eu/sk/press/press-releases/2019/06/06/council-gives-mandate-to-commission-to-negotiate-international-agreements-on-e-evidence-in-criminal-matters/." TargetMode="External"/><Relationship Id="rId17" Type="http://schemas.openxmlformats.org/officeDocument/2006/relationships/hyperlink" Target="https://ec.europa.eu/home-affairs/sites/homeaffairs/files/what-we-do/policies/european-agenda-security/20190627_com-2019-293-commission-report_sk.pdf" TargetMode="External"/><Relationship Id="rId2" Type="http://schemas.openxmlformats.org/officeDocument/2006/relationships/hyperlink" Target="https://ec.europa.eu/commission/sites/beta-political/files/euco-sibiu-security-union_sk.pdf" TargetMode="External"/><Relationship Id="rId16" Type="http://schemas.openxmlformats.org/officeDocument/2006/relationships/hyperlink" Target="https://eeas.europa.eu/sites/eeas/files/2019042019_un-eu_framework_on_counter-terrorism.pdf" TargetMode="External"/><Relationship Id="rId1" Type="http://schemas.openxmlformats.org/officeDocument/2006/relationships/hyperlink" Target="https://www.consilium.europa.eu/media/39914/a-new-strategic-agenda-2019-2024.pdf" TargetMode="External"/><Relationship Id="rId6" Type="http://schemas.openxmlformats.org/officeDocument/2006/relationships/hyperlink" Target="https://ec.europa.eu/home-affairs/what-we-do/networks/radicalisation_awareness_network_en" TargetMode="External"/><Relationship Id="rId11" Type="http://schemas.openxmlformats.org/officeDocument/2006/relationships/hyperlink" Target="https://www.consilium.europa.eu/media/39922/20-21-euco-final-conclusions-en.pdf" TargetMode="External"/><Relationship Id="rId5" Type="http://schemas.openxmlformats.org/officeDocument/2006/relationships/hyperlink" Target="https://g20.org/pdf/documents/en/FINAL_G20_Statement_on_Preventing_Terrorist_and_VECT.pdf" TargetMode="External"/><Relationship Id="rId15" Type="http://schemas.openxmlformats.org/officeDocument/2006/relationships/hyperlink" Target="https://www.consilium.europa.eu/media/39922/20-21-euco-final-conclusions-en.pdf" TargetMode="External"/><Relationship Id="rId10" Type="http://schemas.openxmlformats.org/officeDocument/2006/relationships/hyperlink" Target="http://data.consilium.europa.eu/doc/document/ST-9916-2017-INIT/sk/pdf." TargetMode="External"/><Relationship Id="rId4" Type="http://schemas.openxmlformats.org/officeDocument/2006/relationships/hyperlink" Target="https://www.elysee.fr/en/g7/2019/04/06/g7-interior-ministers-meeting-what-are-the-outcomes" TargetMode="External"/><Relationship Id="rId9" Type="http://schemas.openxmlformats.org/officeDocument/2006/relationships/hyperlink" Target="https://ec.europa.eu/programmes/horizon2020/en/h2020-section/cross-cutting-activities-focus-areas" TargetMode="External"/><Relationship Id="rId14" Type="http://schemas.openxmlformats.org/officeDocument/2006/relationships/hyperlink" Target="https://data.consilium.europa.eu/doc/document/ST-1-2019-INIT/s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2F4D-B654-4E64-8E41-ABF1A2B6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7376</Words>
  <Characters>45885</Characters>
  <Application>Microsoft Office Word</Application>
  <DocSecurity>0</DocSecurity>
  <Lines>655</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22</cp:revision>
  <cp:lastPrinted>2019-07-15T12:49:00Z</cp:lastPrinted>
  <dcterms:created xsi:type="dcterms:W3CDTF">2019-07-22T09:29:00Z</dcterms:created>
  <dcterms:modified xsi:type="dcterms:W3CDTF">2019-09-11T13:42:00Z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CP-035</vt:lpwstr>
  </property>
</Properties>
</file>