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77" w:rsidRDefault="00600272">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0D155C3-E13F-43C8-B8C2-021F1E478076" style="width:450.6pt;height:294.2pt">
            <v:imagedata r:id="rId8" o:title=""/>
          </v:shape>
        </w:pict>
      </w:r>
    </w:p>
    <w:bookmarkEnd w:id="0"/>
    <w:p w:rsidR="00530477" w:rsidRDefault="00530477">
      <w:pPr>
        <w:rPr>
          <w:noProof/>
        </w:rPr>
        <w:sectPr w:rsidR="00530477">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530477" w:rsidRDefault="00600272">
      <w:pPr>
        <w:widowControl w:val="0"/>
        <w:spacing w:after="240" w:line="240" w:lineRule="auto"/>
        <w:jc w:val="both"/>
        <w:rPr>
          <w:rFonts w:ascii="Times New Roman" w:hAnsi="Times New Roman" w:cs="Times New Roman"/>
          <w:b/>
          <w:noProof/>
          <w:sz w:val="24"/>
          <w:szCs w:val="24"/>
        </w:rPr>
      </w:pPr>
      <w:r>
        <w:rPr>
          <w:rFonts w:ascii="Times New Roman" w:hAnsi="Times New Roman"/>
          <w:b/>
          <w:noProof/>
        </w:rPr>
        <w:lastRenderedPageBreak/>
        <w:t xml:space="preserve">I. ÚVOD </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Tato devatenáctá zpráva o pokroku na cestě k vytvoření účinné a skutečné bezpečnostní unie zachycuje vývoj ve dvou hlavních pilířích: </w:t>
      </w:r>
      <w:r>
        <w:rPr>
          <w:rFonts w:ascii="Times New Roman" w:hAnsi="Times New Roman"/>
          <w:noProof/>
        </w:rPr>
        <w:t>prvním je boj proti terorismu a organizované trestné činnosti, jakož i proti prostředkům, které je podporují, a druhým pak posílení naší obrany a budování odolnosti vůči uvedeným hrozbám.</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Evropané po právu očekávají, že je Evropská unie ochrání a zajistí j</w:t>
      </w:r>
      <w:r>
        <w:rPr>
          <w:rFonts w:ascii="Times New Roman" w:hAnsi="Times New Roman"/>
          <w:noProof/>
        </w:rPr>
        <w:t>im bezpečí. Junckerova Komise považuje bezpečnost za svoji nejvyšší prioritu již od prvního dne svého působení. V „nové strategické agendě 2019-2024“ Evropské rady patří ochrana občanů a ochrana svobod mezi čtyři hlavní priority Unie</w:t>
      </w:r>
      <w:r>
        <w:rPr>
          <w:rStyle w:val="FootnoteReference"/>
          <w:noProof/>
        </w:rPr>
        <w:footnoteReference w:id="2"/>
      </w:r>
      <w:r>
        <w:rPr>
          <w:noProof/>
        </w:rPr>
        <w:t>.</w:t>
      </w:r>
      <w:r>
        <w:rPr>
          <w:rFonts w:ascii="Times New Roman" w:hAnsi="Times New Roman"/>
          <w:noProof/>
        </w:rPr>
        <w:t xml:space="preserve"> Evropská rada rovněž</w:t>
      </w:r>
      <w:r>
        <w:rPr>
          <w:rFonts w:ascii="Times New Roman" w:hAnsi="Times New Roman"/>
          <w:noProof/>
        </w:rPr>
        <w:t xml:space="preserve"> oznámila, že bude dále vynakládat a zintenzivňovat úsilí Unie v rámci boje proti terorismu a přeshraniční trestné činnosti, přičemž bude mimo jiné zlepšovat spolupráci a sdílení informací a dále rozvíjet společné nástroje.</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Díky úzké spolupráci Evropského </w:t>
      </w:r>
      <w:r>
        <w:rPr>
          <w:rFonts w:ascii="Times New Roman" w:hAnsi="Times New Roman"/>
          <w:noProof/>
        </w:rPr>
        <w:t xml:space="preserve">parlamentu, Rady a Komise se Unii podařilo výrazně pokročit při společném úsilí o vytvoření účinné a skutečné bezpečnostní Unie a zavést řadu prioritních legislativních iniciativ a provést také množství nelegislativních opatření na podporu svých členských </w:t>
      </w:r>
      <w:r>
        <w:rPr>
          <w:rFonts w:ascii="Times New Roman" w:hAnsi="Times New Roman"/>
          <w:noProof/>
        </w:rPr>
        <w:t>států a zvýšení bezpečnosti občanů</w:t>
      </w:r>
      <w:r>
        <w:rPr>
          <w:rStyle w:val="FootnoteReference"/>
          <w:noProof/>
        </w:rPr>
        <w:footnoteReference w:id="3"/>
      </w:r>
      <w:r>
        <w:rPr>
          <w:noProof/>
        </w:rPr>
        <w:t>.</w:t>
      </w:r>
      <w:r>
        <w:rPr>
          <w:rFonts w:ascii="Times New Roman" w:hAnsi="Times New Roman"/>
          <w:noProof/>
        </w:rPr>
        <w:t xml:space="preserve"> Unie podnikla rozhodné kroky, které mají minimalizovat manévrovací prostor teroristů a dalších pachatelů trestné činnosti a jež spočívají v odstřižení teroristů od prostředků k jejich útokům prostřednictvím zákazu nabýv</w:t>
      </w:r>
      <w:r>
        <w:rPr>
          <w:rFonts w:ascii="Times New Roman" w:hAnsi="Times New Roman"/>
          <w:noProof/>
        </w:rPr>
        <w:t>ání a používání určitých palných zbraní a výbušnin a omezení přístupu k finančním prostředkům. EU rovněž zintenzivnila sdílení informací mezi členskými státy a odstranila příslušné nedostatky a mezery. Zároveň bojuje proti radikalizaci, chrání Evropany onl</w:t>
      </w:r>
      <w:r>
        <w:rPr>
          <w:rFonts w:ascii="Times New Roman" w:hAnsi="Times New Roman"/>
          <w:noProof/>
        </w:rPr>
        <w:t>ine, potírá kybernetické hrozby, posiluje správu vnějších hranic Unie a prohlubuje mezinárodní spolupráci v oblasti bezpečnosti.</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Zároveň řadu prioritních iniciativ v rámci bezpečnostní unie stále neschválili spolunormotvůrci. Tato zpráva v návaznosti na us</w:t>
      </w:r>
      <w:r>
        <w:rPr>
          <w:rFonts w:ascii="Times New Roman" w:hAnsi="Times New Roman"/>
          <w:noProof/>
        </w:rPr>
        <w:t>tavení 9. volebního období Evropského parlamentu dne 2. července 2019:</w:t>
      </w:r>
    </w:p>
    <w:p w:rsidR="00530477" w:rsidRDefault="00600272">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stanoví, ve kterých případech by měli spolunormotvůrci přijmout opatření s cílem reagovat na bezprostřední hrozby. Naléhavě nutná jsou zejména opatření k </w:t>
      </w:r>
      <w:r>
        <w:rPr>
          <w:rFonts w:ascii="Times New Roman" w:hAnsi="Times New Roman"/>
          <w:b/>
          <w:noProof/>
        </w:rPr>
        <w:t>boji proti teroristické propaga</w:t>
      </w:r>
      <w:r>
        <w:rPr>
          <w:rFonts w:ascii="Times New Roman" w:hAnsi="Times New Roman"/>
          <w:b/>
          <w:noProof/>
        </w:rPr>
        <w:t>ndě a radikalizaci online</w:t>
      </w:r>
      <w:r>
        <w:rPr>
          <w:rFonts w:ascii="Times New Roman" w:hAnsi="Times New Roman"/>
          <w:noProof/>
        </w:rPr>
        <w:t>,</w:t>
      </w:r>
    </w:p>
    <w:p w:rsidR="00530477" w:rsidRDefault="00600272">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stanoví prioritní iniciativy projednávané v rámci bezpečnostní unie, které vyžadují další opatření ze strany spolunormotvůrců s cílem zvýšit </w:t>
      </w:r>
      <w:r>
        <w:rPr>
          <w:rFonts w:ascii="Times New Roman" w:hAnsi="Times New Roman"/>
          <w:b/>
          <w:noProof/>
        </w:rPr>
        <w:t>kybernetickou bezpečnost</w:t>
      </w:r>
      <w:r>
        <w:rPr>
          <w:rFonts w:ascii="Times New Roman" w:hAnsi="Times New Roman"/>
          <w:noProof/>
        </w:rPr>
        <w:t>, usnadnit přístup k </w:t>
      </w:r>
      <w:r>
        <w:rPr>
          <w:rFonts w:ascii="Times New Roman" w:hAnsi="Times New Roman"/>
          <w:b/>
          <w:noProof/>
        </w:rPr>
        <w:t>elektronickým důkazům</w:t>
      </w:r>
      <w:r>
        <w:rPr>
          <w:rFonts w:ascii="Times New Roman" w:hAnsi="Times New Roman"/>
          <w:noProof/>
        </w:rPr>
        <w:t xml:space="preserve"> a dokončit práci na s</w:t>
      </w:r>
      <w:r>
        <w:rPr>
          <w:rFonts w:ascii="Times New Roman" w:hAnsi="Times New Roman"/>
          <w:noProof/>
        </w:rPr>
        <w:t>ilnějších a inteligentnějších informačních systémech pro bezpečnost, správu hranic a řízení migrace,</w:t>
      </w:r>
    </w:p>
    <w:p w:rsidR="00530477" w:rsidRDefault="00600272">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poskytuje aktuální informace o naléhavé spolupráci zahájené v březnu 2019 s cílem posoudit a posílit </w:t>
      </w:r>
      <w:r>
        <w:rPr>
          <w:rFonts w:ascii="Times New Roman" w:hAnsi="Times New Roman"/>
          <w:b/>
          <w:noProof/>
        </w:rPr>
        <w:t>bezpečnost sítí 5G</w:t>
      </w:r>
      <w:r>
        <w:rPr>
          <w:rFonts w:ascii="Times New Roman" w:hAnsi="Times New Roman"/>
          <w:noProof/>
        </w:rPr>
        <w:t xml:space="preserve"> na základě vnitrostátních posouzení</w:t>
      </w:r>
      <w:r>
        <w:rPr>
          <w:rFonts w:ascii="Times New Roman" w:hAnsi="Times New Roman"/>
          <w:noProof/>
        </w:rPr>
        <w:t xml:space="preserve"> rizik, která měly členské státy předložit do 15. července 2019,</w:t>
      </w:r>
    </w:p>
    <w:p w:rsidR="00530477" w:rsidRDefault="00600272">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reaguje na balíček čtyř zpráv týkajících se </w:t>
      </w:r>
      <w:r>
        <w:rPr>
          <w:rFonts w:ascii="Times New Roman" w:hAnsi="Times New Roman"/>
          <w:b/>
          <w:noProof/>
        </w:rPr>
        <w:t>boje proti praní peněz</w:t>
      </w:r>
      <w:r>
        <w:rPr>
          <w:rFonts w:ascii="Times New Roman" w:hAnsi="Times New Roman"/>
          <w:noProof/>
        </w:rPr>
        <w:t xml:space="preserve">, které Komise přijala dne 24. července 2019 a jež analyzují současná rizika a problematické aspekty praní peněz a posuzují, </w:t>
      </w:r>
      <w:r>
        <w:rPr>
          <w:rFonts w:ascii="Times New Roman" w:hAnsi="Times New Roman"/>
          <w:noProof/>
        </w:rPr>
        <w:t>jak je příslušný regulační rámec EU uplatňován v soukromém a veřejném sektoru,</w:t>
      </w:r>
    </w:p>
    <w:p w:rsidR="00530477" w:rsidRDefault="00600272">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poskytuje aktuální informace o pokroku dosaženém od března 2019</w:t>
      </w:r>
      <w:r>
        <w:rPr>
          <w:rStyle w:val="FootnoteReference"/>
          <w:noProof/>
        </w:rPr>
        <w:footnoteReference w:id="4"/>
      </w:r>
      <w:r>
        <w:rPr>
          <w:noProof/>
        </w:rPr>
        <w:t xml:space="preserve"> </w:t>
      </w:r>
      <w:r>
        <w:rPr>
          <w:rFonts w:ascii="Times New Roman" w:hAnsi="Times New Roman"/>
          <w:noProof/>
        </w:rPr>
        <w:t>při provádění legislativních opatření v rámci bezpečnostní unie, přičemž jednou z hlavních priorit, kterou by mě</w:t>
      </w:r>
      <w:r>
        <w:rPr>
          <w:rFonts w:ascii="Times New Roman" w:hAnsi="Times New Roman"/>
          <w:noProof/>
        </w:rPr>
        <w:t>ly členské státy urychleně a v úplnosti provést, je interoperabilita informačních systémů,</w:t>
      </w:r>
    </w:p>
    <w:p w:rsidR="00530477" w:rsidRDefault="00600272">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hodnotí jednak probíhající činnost zaměřenou na boj proti dezinformacím a na ochranu voleb </w:t>
      </w:r>
      <w:r>
        <w:rPr>
          <w:rFonts w:ascii="Times New Roman" w:hAnsi="Times New Roman"/>
          <w:noProof/>
        </w:rPr>
        <w:lastRenderedPageBreak/>
        <w:t xml:space="preserve">před kybernetickými hrozbami, jednak úsilí o lepší připravenost a ochranu </w:t>
      </w:r>
      <w:r>
        <w:rPr>
          <w:rFonts w:ascii="Times New Roman" w:hAnsi="Times New Roman"/>
          <w:noProof/>
        </w:rPr>
        <w:t xml:space="preserve">před bezpečnostními hrozbami, jakož i spolupráci s mezinárodními partnery v bezpečnostních otázkách.  </w:t>
      </w:r>
    </w:p>
    <w:p w:rsidR="00530477" w:rsidRDefault="00600272">
      <w:pPr>
        <w:widowControl w:val="0"/>
        <w:spacing w:after="240" w:line="240" w:lineRule="auto"/>
        <w:jc w:val="both"/>
        <w:rPr>
          <w:rFonts w:ascii="Times New Roman" w:hAnsi="Times New Roman" w:cs="Times New Roman"/>
          <w:b/>
          <w:noProof/>
          <w:sz w:val="24"/>
          <w:szCs w:val="24"/>
        </w:rPr>
      </w:pPr>
      <w:r>
        <w:rPr>
          <w:rFonts w:ascii="Times New Roman" w:hAnsi="Times New Roman"/>
          <w:b/>
          <w:noProof/>
        </w:rPr>
        <w:t xml:space="preserve">II. PLNĚNÍ LEGISLATIVNÍCH PRIORIT  </w:t>
      </w:r>
    </w:p>
    <w:p w:rsidR="00530477" w:rsidRDefault="00600272">
      <w:pPr>
        <w:spacing w:after="240" w:line="240" w:lineRule="auto"/>
        <w:jc w:val="both"/>
        <w:rPr>
          <w:rFonts w:ascii="Times New Roman" w:eastAsia="Calibri" w:hAnsi="Times New Roman" w:cs="Times New Roman"/>
          <w:i/>
          <w:iCs/>
          <w:noProof/>
          <w:sz w:val="24"/>
          <w:szCs w:val="24"/>
        </w:rPr>
      </w:pPr>
      <w:r>
        <w:rPr>
          <w:rFonts w:ascii="Times New Roman" w:hAnsi="Times New Roman"/>
          <w:i/>
          <w:iCs/>
          <w:noProof/>
        </w:rPr>
        <w:t>1. Předcházení radikalizaci v online prostředí a v komunitách</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Předcházení radikalizaci je ústředním prvkem reakce EU na terorismus, a to jak v online prostředí, tak v našich komunitách. </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Otřesný útok v novozélandském Christchurchi dne 15. března 2019 hrozivým způsobem připomněl, jak lze internet zneužít k teroristick</w:t>
      </w:r>
      <w:r>
        <w:rPr>
          <w:rFonts w:ascii="Times New Roman" w:hAnsi="Times New Roman"/>
          <w:noProof/>
        </w:rPr>
        <w:t>ým účelům, ať už za nimi stojí džihádismus, krajně pravicový extremismus, nebo jiná extremistická ideologie. Rychlost a rozsah, v jakém bylo video z útoku v Christchurchi živě přenášeno na různých internetových platformách, zdůraznily, že je naprosto nezby</w:t>
      </w:r>
      <w:r>
        <w:rPr>
          <w:rFonts w:ascii="Times New Roman" w:hAnsi="Times New Roman"/>
          <w:noProof/>
        </w:rPr>
        <w:t>tné, aby internetové platformy měly k dispozici vhodná opatření k zastavení rychlého šíření takového obsahu.</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V reakci na to hlavy států nebo předsedové vlád některých členských států a třetích zemí, předseda Komise Juncker a internetové platformy podpořili</w:t>
      </w:r>
      <w:r>
        <w:rPr>
          <w:rFonts w:ascii="Times New Roman" w:hAnsi="Times New Roman"/>
          <w:noProof/>
        </w:rPr>
        <w:t xml:space="preserve"> dne 15. května 2019 </w:t>
      </w:r>
      <w:r>
        <w:rPr>
          <w:rFonts w:ascii="Times New Roman" w:hAnsi="Times New Roman"/>
          <w:b/>
          <w:noProof/>
        </w:rPr>
        <w:t>„christchurchskou výzvu k přijetí opatření“</w:t>
      </w:r>
      <w:r>
        <w:rPr>
          <w:rStyle w:val="FootnoteReference"/>
          <w:noProof/>
        </w:rPr>
        <w:footnoteReference w:id="5"/>
      </w:r>
      <w:r>
        <w:rPr>
          <w:rFonts w:ascii="Times New Roman" w:hAnsi="Times New Roman"/>
          <w:noProof/>
        </w:rPr>
        <w:t>, jež stanoví společný postup zaměřený na odstranění teroristického a násilného extremistického obsahu online. Další závazky v tomto ohledu přijaly skupiny zemí G7</w:t>
      </w:r>
      <w:r>
        <w:rPr>
          <w:rStyle w:val="FootnoteReference"/>
          <w:noProof/>
        </w:rPr>
        <w:footnoteReference w:id="6"/>
      </w:r>
      <w:r>
        <w:rPr>
          <w:rFonts w:ascii="Times New Roman" w:hAnsi="Times New Roman"/>
          <w:noProof/>
        </w:rPr>
        <w:t xml:space="preserve"> a G20</w:t>
      </w:r>
      <w:r>
        <w:rPr>
          <w:rStyle w:val="FootnoteReference"/>
          <w:noProof/>
        </w:rPr>
        <w:footnoteReference w:id="7"/>
      </w:r>
      <w:r>
        <w:rPr>
          <w:rFonts w:ascii="Times New Roman" w:hAnsi="Times New Roman"/>
          <w:noProof/>
        </w:rPr>
        <w:t xml:space="preserve">. </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Komise již reagov</w:t>
      </w:r>
      <w:r>
        <w:rPr>
          <w:rFonts w:ascii="Times New Roman" w:hAnsi="Times New Roman"/>
          <w:noProof/>
        </w:rPr>
        <w:t xml:space="preserve">ala na zřetelné a aktuální nebezpečí spojené s teroristickým obsahem online </w:t>
      </w:r>
      <w:r>
        <w:rPr>
          <w:rFonts w:ascii="Times New Roman" w:hAnsi="Times New Roman"/>
          <w:b/>
          <w:noProof/>
        </w:rPr>
        <w:t>legislativním návrhem</w:t>
      </w:r>
      <w:r>
        <w:rPr>
          <w:rFonts w:ascii="Times New Roman" w:hAnsi="Times New Roman"/>
          <w:noProof/>
        </w:rPr>
        <w:t>, který předseda Juncker oznámil ve svém projevu o stavu Unie v roce 2018 a který přináší jasný a harmonizovaný právní rámec pro prevenci zneužívání hostingový</w:t>
      </w:r>
      <w:r>
        <w:rPr>
          <w:rFonts w:ascii="Times New Roman" w:hAnsi="Times New Roman"/>
          <w:noProof/>
        </w:rPr>
        <w:t>ch služeb k šíření teroristického obsahu online</w:t>
      </w:r>
      <w:r>
        <w:rPr>
          <w:rStyle w:val="FootnoteReference"/>
          <w:noProof/>
        </w:rPr>
        <w:footnoteReference w:id="8"/>
      </w:r>
      <w:r>
        <w:rPr>
          <w:noProof/>
        </w:rPr>
        <w:t>.</w:t>
      </w:r>
      <w:r>
        <w:rPr>
          <w:rFonts w:ascii="Times New Roman" w:hAnsi="Times New Roman"/>
          <w:noProof/>
        </w:rPr>
        <w:t xml:space="preserve"> Podle navrhovaných opatření by internetové platformy musely odstranit teroristický obsah do jedné hodiny od přijetí příkazu k odstranění vydaného příslušným orgánem v kterémkoli členském státě. Kromě toho b</w:t>
      </w:r>
      <w:r>
        <w:rPr>
          <w:rFonts w:ascii="Times New Roman" w:hAnsi="Times New Roman"/>
          <w:noProof/>
        </w:rPr>
        <w:t>y platformy zneužité k šíření teroristického obsahu měly povinnost přijmout proaktivní opatření, jež by podle jasných pravidel a s jasnými zárukami tento obsah odhalovala a zabraňovala jeho opětovnému zobrazení. Orgány členských států by musely zajistit zv</w:t>
      </w:r>
      <w:r>
        <w:rPr>
          <w:rFonts w:ascii="Times New Roman" w:hAnsi="Times New Roman"/>
          <w:noProof/>
        </w:rPr>
        <w:t>láštní kapacitu k prosazování práva a zdroje k účinnému odhalování teroristického obsahu a vydávání příkazů k jeho odstranění.</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Tímto způsobem bude možné zajistit rychlý a účinný celounijní systém a zavést spolehlivé záruky včetně účinných mechanismů pro po</w:t>
      </w:r>
      <w:r>
        <w:rPr>
          <w:rFonts w:ascii="Times New Roman" w:hAnsi="Times New Roman"/>
          <w:noProof/>
        </w:rPr>
        <w:t xml:space="preserve">dávání a vyřizování stížností a zajištění soudního přezkumu. </w:t>
      </w:r>
      <w:r>
        <w:rPr>
          <w:rFonts w:ascii="Times New Roman" w:hAnsi="Times New Roman"/>
          <w:noProof/>
        </w:rPr>
        <w:br/>
        <w:t>Navrhovaná opatření pomohou zaručit hladké fungování jednotného digitálního trhu a současně zvýšit bezpečnost a důvěru online a posílit záruky svobody projevu a informací.</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V Radě se ministři spr</w:t>
      </w:r>
      <w:r>
        <w:rPr>
          <w:rFonts w:ascii="Times New Roman" w:hAnsi="Times New Roman"/>
          <w:noProof/>
        </w:rPr>
        <w:t>avedlnosti a vnitřních věcí dohodli na obecném přístupu k návrhu v prosinci 2018. Evropský parlament přijal svůj postoj v prvním čtení v dubnu 2019.</w:t>
      </w:r>
      <w:r>
        <w:rPr>
          <w:rFonts w:ascii="Times New Roman" w:hAnsi="Times New Roman"/>
          <w:b/>
          <w:noProof/>
        </w:rPr>
        <w:t xml:space="preserve"> Komise vyzývá oba spolunormotvůrce, aby co nejdříve zahájili interinstitucionální jednání o této prioritní </w:t>
      </w:r>
      <w:r>
        <w:rPr>
          <w:rFonts w:ascii="Times New Roman" w:hAnsi="Times New Roman"/>
          <w:b/>
          <w:noProof/>
        </w:rPr>
        <w:t>iniciativě k odstranění teroristického obsahu online</w:t>
      </w:r>
      <w:r>
        <w:rPr>
          <w:rFonts w:ascii="Times New Roman" w:hAnsi="Times New Roman"/>
          <w:noProof/>
        </w:rPr>
        <w:t xml:space="preserve"> s cílem dosáhnout rychlé dohody o regulačním rámci EU s jasnými pravidly a zárukami.</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rPr>
        <w:lastRenderedPageBreak/>
        <w:t xml:space="preserve">Komise souběžně pokračuje ve spolupráci s online platformami v rámci </w:t>
      </w:r>
      <w:r>
        <w:rPr>
          <w:rFonts w:ascii="Times New Roman" w:hAnsi="Times New Roman"/>
          <w:b/>
          <w:noProof/>
        </w:rPr>
        <w:t>internetového fóra EU</w:t>
      </w:r>
      <w:r>
        <w:rPr>
          <w:rStyle w:val="FootnoteReference"/>
          <w:b/>
          <w:noProof/>
        </w:rPr>
        <w:footnoteReference w:id="9"/>
      </w:r>
      <w:r>
        <w:rPr>
          <w:rFonts w:ascii="Times New Roman" w:hAnsi="Times New Roman"/>
          <w:noProof/>
        </w:rPr>
        <w:t>. Jak oznámil předseda Junc</w:t>
      </w:r>
      <w:r>
        <w:rPr>
          <w:rFonts w:ascii="Times New Roman" w:hAnsi="Times New Roman"/>
          <w:noProof/>
        </w:rPr>
        <w:t xml:space="preserve">ker na pařížském zasedání dne 15. května 2019 k „christchurchské výzvě k přijetí opatření“, Komise spolu s Europolem začala pracovat na </w:t>
      </w:r>
      <w:r>
        <w:rPr>
          <w:rFonts w:ascii="Times New Roman" w:hAnsi="Times New Roman"/>
          <w:b/>
          <w:noProof/>
        </w:rPr>
        <w:t>krizovém protokolu EU</w:t>
      </w:r>
      <w:r>
        <w:rPr>
          <w:rFonts w:ascii="Times New Roman" w:hAnsi="Times New Roman"/>
          <w:noProof/>
        </w:rPr>
        <w:t>, jenž umožní vládám a internetovým platformám rychle a koordinovaně reagovat na šíření teroristick</w:t>
      </w:r>
      <w:r>
        <w:rPr>
          <w:rFonts w:ascii="Times New Roman" w:hAnsi="Times New Roman"/>
          <w:noProof/>
        </w:rPr>
        <w:t xml:space="preserve">ého obsahu online, například bezprostředně po teroristickém útoku. Jde o součást mezinárodního úsilí o provádění uvedené </w:t>
      </w:r>
      <w:r>
        <w:rPr>
          <w:rFonts w:ascii="Times New Roman" w:hAnsi="Times New Roman"/>
          <w:bCs/>
          <w:noProof/>
        </w:rPr>
        <w:t>výzvy</w:t>
      </w:r>
      <w:r>
        <w:rPr>
          <w:rFonts w:ascii="Times New Roman" w:hAnsi="Times New Roman"/>
          <w:noProof/>
        </w:rPr>
        <w:t>. Kromě dalších diskusí s členskými státy a příslušným odvětvím a cvičení na simulaci nouzové situace plánovaného na září 2019 svo</w:t>
      </w:r>
      <w:r>
        <w:rPr>
          <w:rFonts w:ascii="Times New Roman" w:hAnsi="Times New Roman"/>
          <w:noProof/>
        </w:rPr>
        <w:t>lá Komise dne 7. října 2019 v rámci internetového fóra EU ministerskou schůzku, na níž by měl být krizový protokol EU schválen.</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Komise se rovněž nadále snaží </w:t>
      </w:r>
      <w:r>
        <w:rPr>
          <w:rFonts w:ascii="Times New Roman" w:hAnsi="Times New Roman"/>
          <w:b/>
          <w:noProof/>
        </w:rPr>
        <w:t>podporovat členské státy a místní subjekty v předcházení radikalizaci a boji proti ní</w:t>
      </w:r>
      <w:r>
        <w:rPr>
          <w:rFonts w:ascii="Times New Roman" w:hAnsi="Times New Roman"/>
          <w:noProof/>
        </w:rPr>
        <w:t xml:space="preserve"> přímo v míst</w:t>
      </w:r>
      <w:r>
        <w:rPr>
          <w:rFonts w:ascii="Times New Roman" w:hAnsi="Times New Roman"/>
          <w:noProof/>
        </w:rPr>
        <w:t xml:space="preserve">ních komunitách po celé Evropě. K tomu je zapotřebí dlouhodobé udržitelné úsilí, na němž se podílejí všichni příslušní aktéři na místní, vnitrostátní i unijní úrovni. </w:t>
      </w:r>
      <w:r>
        <w:rPr>
          <w:rFonts w:ascii="Times New Roman" w:hAnsi="Times New Roman"/>
          <w:b/>
          <w:bCs/>
          <w:noProof/>
        </w:rPr>
        <w:t>Řídící výbor pro činnosti Unie v oblasti předcházení radikalizaci a boje proti ní</w:t>
      </w:r>
      <w:r>
        <w:rPr>
          <w:rFonts w:ascii="Times New Roman" w:hAnsi="Times New Roman"/>
          <w:bCs/>
          <w:noProof/>
        </w:rPr>
        <w:t>, jenž b</w:t>
      </w:r>
      <w:r>
        <w:rPr>
          <w:rFonts w:ascii="Times New Roman" w:hAnsi="Times New Roman"/>
          <w:bCs/>
          <w:noProof/>
        </w:rPr>
        <w:t>yl zřízen v srpnu 2018 s cílem poskytovat Komisi poradenství ohledně možností posilování politické reakce EU v této oblasti, zkoumal na svém druhém zasedání</w:t>
      </w:r>
      <w:r>
        <w:rPr>
          <w:rFonts w:ascii="Times New Roman" w:hAnsi="Times New Roman"/>
          <w:noProof/>
        </w:rPr>
        <w:t xml:space="preserve"> dne 17. června 2019 další opatření v prioritních oblastech, jako je radikalizace ve věznicích a boj</w:t>
      </w:r>
      <w:r>
        <w:rPr>
          <w:rFonts w:ascii="Times New Roman" w:hAnsi="Times New Roman"/>
          <w:noProof/>
        </w:rPr>
        <w:t xml:space="preserve"> proti extremistickým ideologiím. </w:t>
      </w:r>
      <w:r>
        <w:rPr>
          <w:rFonts w:ascii="Times New Roman" w:hAnsi="Times New Roman"/>
          <w:b/>
          <w:noProof/>
        </w:rPr>
        <w:t>Síť pro zvyšování povědomí o radikalizaci</w:t>
      </w:r>
      <w:r>
        <w:rPr>
          <w:rStyle w:val="FootnoteReference"/>
          <w:noProof/>
        </w:rPr>
        <w:footnoteReference w:id="10"/>
      </w:r>
      <w:r>
        <w:rPr>
          <w:rFonts w:ascii="Times New Roman" w:hAnsi="Times New Roman"/>
          <w:noProof/>
        </w:rPr>
        <w:t xml:space="preserve"> financovaná EU, jež propojuje přibližně 5 000 odborníků z řad občanské společnosti, škol a policie, jakož i národní koordinátory a politické činitele, nadále podporuje pracovníky v první linii a odborníky z praxe, jelikož tito lidé mají často nejlepší pře</w:t>
      </w:r>
      <w:r>
        <w:rPr>
          <w:rFonts w:ascii="Times New Roman" w:hAnsi="Times New Roman"/>
          <w:noProof/>
        </w:rPr>
        <w:t xml:space="preserve">dpoklady k včasnému rozpoznání varovných signálů radikalizace a nalezení způsobů, jak je řešit. </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rPr>
        <w:t>Nedávná spolupráce odborníků z praxe přispěla k hlubšímu porozumění problematiky krajně pravicového extremismu. V tomto roce zveřejní síť pro zvyšování povědom</w:t>
      </w:r>
      <w:r>
        <w:rPr>
          <w:rFonts w:ascii="Times New Roman" w:hAnsi="Times New Roman"/>
          <w:noProof/>
        </w:rPr>
        <w:t xml:space="preserve">í o radikalizaci </w:t>
      </w:r>
      <w:r>
        <w:rPr>
          <w:rFonts w:ascii="Times New Roman" w:hAnsi="Times New Roman"/>
          <w:bCs/>
          <w:noProof/>
        </w:rPr>
        <w:t>informační přehledy, jež by měly tvůrcům politik a odborníkům v praxi pomoci identifikovat hlavní formy a projevy krajně pravicového a islámského extremismu</w:t>
      </w:r>
      <w:r>
        <w:rPr>
          <w:rFonts w:ascii="Times New Roman" w:hAnsi="Times New Roman"/>
          <w:noProof/>
        </w:rPr>
        <w:t>, jako jsou hlavní argumenty, jazyk, formy, symboly, typologie a strategie. Vzhlede</w:t>
      </w:r>
      <w:r>
        <w:rPr>
          <w:rFonts w:ascii="Times New Roman" w:hAnsi="Times New Roman"/>
          <w:noProof/>
        </w:rPr>
        <w:t xml:space="preserve">m k tomu, že přední místo v rámci předcházení radikalizaci a boje proti ní zaujímají místní subjekty a </w:t>
      </w:r>
      <w:r>
        <w:rPr>
          <w:rFonts w:ascii="Times New Roman" w:hAnsi="Times New Roman"/>
          <w:b/>
          <w:noProof/>
        </w:rPr>
        <w:t>města</w:t>
      </w:r>
      <w:r>
        <w:rPr>
          <w:rFonts w:ascii="Times New Roman" w:hAnsi="Times New Roman"/>
          <w:noProof/>
        </w:rPr>
        <w:t xml:space="preserve">, Komise v neposlední řadě podporuje i městské iniciativy zaměřené na boj proti radikalizaci. </w:t>
      </w:r>
      <w:r>
        <w:rPr>
          <w:rFonts w:ascii="Times New Roman" w:hAnsi="Times New Roman"/>
          <w:iCs/>
          <w:noProof/>
        </w:rPr>
        <w:t>V návaznosti na konferenci „Města EU proti radikalizac</w:t>
      </w:r>
      <w:r>
        <w:rPr>
          <w:rFonts w:ascii="Times New Roman" w:hAnsi="Times New Roman"/>
          <w:iCs/>
          <w:noProof/>
        </w:rPr>
        <w:t>i“ konanou dne 26. února 2019 uspořádal dne 8. července 2019 primátor Štrasburku první schůzku pilotní skupiny přibližně 20 měst, jejímž cílem bylo posílit výměnu osvědčených postupů a zintenzivnit úsilí měst v této oblasti.</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Souběžně pokračuje podpora part</w:t>
      </w:r>
      <w:r>
        <w:rPr>
          <w:rFonts w:ascii="Times New Roman" w:hAnsi="Times New Roman"/>
          <w:iCs/>
          <w:noProof/>
        </w:rPr>
        <w:t>nerských zemí při řešení radikalizace, jež může vést k terorismu, mimo jiné ve věznicích.</w:t>
      </w:r>
    </w:p>
    <w:p w:rsidR="00530477" w:rsidRDefault="00600272">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Za účelem boje proti hrozbě, kterou představuje teroristický obsah online, vyzývá Komise Evropský parlament a Radu: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rsidR="00530477">
        <w:tc>
          <w:tcPr>
            <w:tcW w:w="9288" w:type="dxa"/>
            <w:shd w:val="clear" w:color="auto" w:fill="DBE5F1" w:themeFill="accent1" w:themeFillTint="33"/>
          </w:tcPr>
          <w:p w:rsidR="00530477" w:rsidRDefault="00600272">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aby zahájily jednání o legislativním návrhu o prevenci šíření </w:t>
            </w:r>
            <w:r>
              <w:rPr>
                <w:rFonts w:ascii="Times New Roman" w:hAnsi="Times New Roman"/>
                <w:b/>
                <w:noProof/>
              </w:rPr>
              <w:t>teroristického obsahu online</w:t>
            </w:r>
            <w:r>
              <w:rPr>
                <w:rFonts w:ascii="Times New Roman" w:hAnsi="Times New Roman"/>
                <w:noProof/>
              </w:rPr>
              <w:t xml:space="preserve"> s cílem dosáhnout rychlé dohody o regulačním rámci EU s jasnými pravidly a zárukami.</w:t>
            </w:r>
          </w:p>
        </w:tc>
      </w:tr>
    </w:tbl>
    <w:p w:rsidR="00530477" w:rsidRDefault="00600272" w:rsidP="00600272">
      <w:pPr>
        <w:keepNext/>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rPr>
        <w:t xml:space="preserve">2.      Zvýšení kybernetické bezpečnosti </w:t>
      </w:r>
    </w:p>
    <w:p w:rsidR="00530477" w:rsidRDefault="00600272">
      <w:pPr>
        <w:spacing w:line="240" w:lineRule="auto"/>
        <w:jc w:val="both"/>
        <w:rPr>
          <w:rFonts w:ascii="Times New Roman" w:eastAsia="Calibri" w:hAnsi="Times New Roman" w:cs="Times New Roman"/>
          <w:noProof/>
          <w:sz w:val="24"/>
          <w:szCs w:val="24"/>
        </w:rPr>
      </w:pPr>
      <w:r>
        <w:rPr>
          <w:rFonts w:ascii="Times New Roman" w:hAnsi="Times New Roman"/>
          <w:noProof/>
        </w:rPr>
        <w:lastRenderedPageBreak/>
        <w:t>Kybernetická bezpečnost patří i nadál</w:t>
      </w:r>
      <w:r>
        <w:rPr>
          <w:rFonts w:ascii="Times New Roman" w:hAnsi="Times New Roman"/>
          <w:noProof/>
        </w:rPr>
        <w:t>e mezi klíčové bezpečnostní výzvy. EU dosáhla výrazného pokroku</w:t>
      </w:r>
      <w:r>
        <w:rPr>
          <w:rStyle w:val="FootnoteReference"/>
          <w:noProof/>
        </w:rPr>
        <w:footnoteReference w:id="11"/>
      </w:r>
      <w:r>
        <w:rPr>
          <w:rFonts w:ascii="Times New Roman" w:hAnsi="Times New Roman"/>
          <w:noProof/>
        </w:rPr>
        <w:t xml:space="preserve"> v boji proti klasickým kybernetickým hrozbám cílícím na systémy a údaje díky realizaci opatření stanovených ve společném sdělení ze září 2017</w:t>
      </w:r>
      <w:r>
        <w:rPr>
          <w:rFonts w:ascii="Times New Roman" w:hAnsi="Times New Roman" w:cs="Times New Roman"/>
          <w:noProof/>
          <w:vertAlign w:val="superscript"/>
        </w:rPr>
        <w:footnoteReference w:id="12"/>
      </w:r>
      <w:r>
        <w:rPr>
          <w:rFonts w:ascii="Times New Roman" w:hAnsi="Times New Roman"/>
          <w:noProof/>
        </w:rPr>
        <w:t xml:space="preserve"> nazvaném „Odolnost, odrazování a obrana: budován</w:t>
      </w:r>
      <w:r>
        <w:rPr>
          <w:rFonts w:ascii="Times New Roman" w:hAnsi="Times New Roman"/>
          <w:noProof/>
        </w:rPr>
        <w:t>í silné kybernetické bezpečnosti pro EU“. Patří mezi ně akt EU o kybernetické bezpečnosti</w:t>
      </w:r>
      <w:r>
        <w:rPr>
          <w:rStyle w:val="FootnoteReference"/>
          <w:noProof/>
        </w:rPr>
        <w:footnoteReference w:id="13"/>
      </w:r>
      <w:r>
        <w:rPr>
          <w:rFonts w:ascii="Times New Roman" w:hAnsi="Times New Roman"/>
          <w:noProof/>
        </w:rPr>
        <w:t>, který uděluje trvalý mandát Agentuře Evropské unie pro kybernetickou bezpečnost, posiluje její roli a vytváří rámec EU pro certifikaci kybernetické bezpečnosti. Kom</w:t>
      </w:r>
      <w:r>
        <w:rPr>
          <w:rFonts w:ascii="Times New Roman" w:hAnsi="Times New Roman"/>
          <w:noProof/>
        </w:rPr>
        <w:t>ise se rovněž zabývala odvětvovými požadavky, například ve svém doporučení o kybernetické bezpečnosti v odvětví energetiky, které bylo přijato dne 3. dubna 2019</w:t>
      </w:r>
      <w:r>
        <w:rPr>
          <w:rStyle w:val="FootnoteReference"/>
          <w:noProof/>
        </w:rPr>
        <w:footnoteReference w:id="14"/>
      </w:r>
      <w:r>
        <w:rPr>
          <w:noProof/>
        </w:rPr>
        <w:t>.</w:t>
      </w:r>
      <w:r>
        <w:rPr>
          <w:rFonts w:ascii="Times New Roman" w:hAnsi="Times New Roman"/>
          <w:noProof/>
        </w:rPr>
        <w:t xml:space="preserve"> Vzhledem k pokračujícímu nárůstu aktivit subjektů s nekalými úmysly zaměřujících se na různé </w:t>
      </w:r>
      <w:r>
        <w:rPr>
          <w:rFonts w:ascii="Times New Roman" w:hAnsi="Times New Roman"/>
          <w:noProof/>
        </w:rPr>
        <w:t xml:space="preserve">cíle a různé oběti jsou boj proti kyberkriminalitě a snahy o zvýšení kybernetické bezpečnosti i nadále prioritou činnosti EU. </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Evropský parlament a Rada by ještě měly dosáhnout dohody o prioritní iniciativě </w:t>
      </w:r>
      <w:r>
        <w:rPr>
          <w:rFonts w:ascii="Times New Roman" w:hAnsi="Times New Roman"/>
          <w:bCs/>
          <w:noProof/>
        </w:rPr>
        <w:t xml:space="preserve">Komise týkající se </w:t>
      </w:r>
      <w:r>
        <w:rPr>
          <w:rFonts w:ascii="Times New Roman" w:hAnsi="Times New Roman"/>
          <w:b/>
          <w:bCs/>
          <w:noProof/>
        </w:rPr>
        <w:t xml:space="preserve">Evropského průmyslového, </w:t>
      </w:r>
      <w:r>
        <w:rPr>
          <w:rFonts w:ascii="Times New Roman" w:hAnsi="Times New Roman"/>
          <w:b/>
          <w:bCs/>
          <w:noProof/>
        </w:rPr>
        <w:t>technologického a výzkumného centra kompetencí pro kybernetickou bezpečnost a sítě národních koordinačních center</w:t>
      </w:r>
      <w:r>
        <w:rPr>
          <w:rStyle w:val="FootnoteReference"/>
          <w:bCs/>
          <w:noProof/>
        </w:rPr>
        <w:footnoteReference w:id="15"/>
      </w:r>
      <w:r>
        <w:rPr>
          <w:noProof/>
        </w:rPr>
        <w:t>.</w:t>
      </w:r>
      <w:r>
        <w:rPr>
          <w:rFonts w:ascii="Times New Roman" w:hAnsi="Times New Roman"/>
          <w:bCs/>
          <w:noProof/>
        </w:rPr>
        <w:t xml:space="preserve"> </w:t>
      </w:r>
      <w:r>
        <w:rPr>
          <w:rFonts w:ascii="Times New Roman" w:hAnsi="Times New Roman"/>
          <w:noProof/>
        </w:rPr>
        <w:t>Cílem tohoto návrhu je podpořit technologické a průmyslové kapacity pro kybernetickou bezpečnost a zvýšit konkurenceschopnost evropského odv</w:t>
      </w:r>
      <w:r>
        <w:rPr>
          <w:rFonts w:ascii="Times New Roman" w:hAnsi="Times New Roman"/>
          <w:noProof/>
        </w:rPr>
        <w:t>ětví kybernetické bezpečnosti. Oba spolunormotvůrci přijali svůj mandát k vyjednávání v březnu 2019. Evropský parlament formálně přijal svůj postoj v prvním čtení, neboť nebylo možné uzavřít interinstitucionální jednání před koncem jeho předchozího funkční</w:t>
      </w:r>
      <w:r>
        <w:rPr>
          <w:rFonts w:ascii="Times New Roman" w:hAnsi="Times New Roman"/>
          <w:noProof/>
        </w:rPr>
        <w:t>ho období. Mezitím pokračují jednání mezi členskými státy v Radě, jež se obzvláště zaměřují na interakci mezi navrhovaným nařízením o zřízení centra kompetencí pro kybernetickou bezpečnost a sítě národních koordinačních center na jedné straně a programy Ho</w:t>
      </w:r>
      <w:r>
        <w:rPr>
          <w:rFonts w:ascii="Times New Roman" w:hAnsi="Times New Roman"/>
          <w:noProof/>
        </w:rPr>
        <w:t xml:space="preserve">rizont Evropa a Digitální Evropa na straně druhé. </w:t>
      </w:r>
      <w:r>
        <w:rPr>
          <w:rFonts w:ascii="Times New Roman" w:hAnsi="Times New Roman"/>
          <w:b/>
          <w:noProof/>
        </w:rPr>
        <w:t>Komise vyzývá oba spolunormotvůrce, aby v zájmu zvýšení kybernetické bezpečnosti obnovili a urychleně uzavřeli interinstitucionální jednání o této prioritní iniciativě.</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Komise mezitím nadále </w:t>
      </w:r>
      <w:r>
        <w:rPr>
          <w:rFonts w:ascii="Times New Roman" w:hAnsi="Times New Roman"/>
          <w:b/>
          <w:noProof/>
        </w:rPr>
        <w:t>podporuje výzku</w:t>
      </w:r>
      <w:r>
        <w:rPr>
          <w:rFonts w:ascii="Times New Roman" w:hAnsi="Times New Roman"/>
          <w:b/>
          <w:noProof/>
        </w:rPr>
        <w:t>m a inovace</w:t>
      </w:r>
      <w:r>
        <w:rPr>
          <w:rFonts w:ascii="Times New Roman" w:hAnsi="Times New Roman"/>
          <w:noProof/>
        </w:rPr>
        <w:t xml:space="preserve"> související s kybernetickou bezpečností, přičemž ve stávajícím víceletém finančním rámci uvolnila 135 milionů EUR na projekty v oblastech, jako je kybernetická bezpečnost v kritických infrastrukturách, inteligentní řízení bezpečnosti a správa s</w:t>
      </w:r>
      <w:r>
        <w:rPr>
          <w:rFonts w:ascii="Times New Roman" w:hAnsi="Times New Roman"/>
          <w:noProof/>
        </w:rPr>
        <w:t>oukromí a nástroje specificky vyvinuté pro občany a malé a střední podniky</w:t>
      </w:r>
      <w:r>
        <w:rPr>
          <w:rStyle w:val="FootnoteReference"/>
          <w:noProof/>
        </w:rPr>
        <w:footnoteReference w:id="16"/>
      </w:r>
      <w:r>
        <w:rPr>
          <w:noProof/>
        </w:rPr>
        <w:t>.</w:t>
      </w:r>
      <w:r>
        <w:rPr>
          <w:rFonts w:ascii="Times New Roman" w:hAnsi="Times New Roman"/>
          <w:noProof/>
        </w:rPr>
        <w:t xml:space="preserve"> V červenci 2019 vyhlásila Komise novou výzvu k podávání návrhů v rámci Nástroje pro propojení Evropy a vyčlenila 10 milionů EUR coby financování EU pro klíčové subjekty určené </w:t>
      </w:r>
      <w:r>
        <w:rPr>
          <w:rFonts w:ascii="Times New Roman" w:hAnsi="Times New Roman"/>
          <w:bCs/>
          <w:noProof/>
        </w:rPr>
        <w:t>smě</w:t>
      </w:r>
      <w:r>
        <w:rPr>
          <w:rFonts w:ascii="Times New Roman" w:hAnsi="Times New Roman"/>
          <w:bCs/>
          <w:noProof/>
        </w:rPr>
        <w:t>rnicí o bezpečnosti sítí a informačních systémů</w:t>
      </w:r>
      <w:r>
        <w:rPr>
          <w:rStyle w:val="FootnoteReference"/>
          <w:noProof/>
        </w:rPr>
        <w:footnoteReference w:id="17"/>
      </w:r>
      <w:r>
        <w:rPr>
          <w:rFonts w:ascii="Times New Roman" w:hAnsi="Times New Roman"/>
          <w:noProof/>
        </w:rPr>
        <w:t>, jako jsou evropské bezpečnostní týmy typu CSIRT, provozovatelé základních služeb (např. banky, nemocnice, poskytovatelé veřejných služeb, železnice, letecké společnosti, poskytovatelé doménových jmen) a růz</w:t>
      </w:r>
      <w:r>
        <w:rPr>
          <w:rFonts w:ascii="Times New Roman" w:hAnsi="Times New Roman"/>
          <w:noProof/>
        </w:rPr>
        <w:t xml:space="preserve">né veřejné orgány. Poprvé jsou pro tento program způsobilé rovněž orgány evropské certifikace kybernetické bezpečnosti, které tak budou moci provádět akt EU o kybernetické bezpečnosti. </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Dne 17. května 2019 Rada přijala </w:t>
      </w:r>
      <w:r>
        <w:rPr>
          <w:rFonts w:ascii="Times New Roman" w:hAnsi="Times New Roman"/>
          <w:b/>
          <w:bCs/>
          <w:noProof/>
        </w:rPr>
        <w:t>režim sankcí</w:t>
      </w:r>
      <w:r>
        <w:rPr>
          <w:rFonts w:ascii="Times New Roman" w:hAnsi="Times New Roman"/>
          <w:noProof/>
        </w:rPr>
        <w:t>, který EU umožňuje uklád</w:t>
      </w:r>
      <w:r>
        <w:rPr>
          <w:rFonts w:ascii="Times New Roman" w:hAnsi="Times New Roman"/>
          <w:noProof/>
        </w:rPr>
        <w:t xml:space="preserve">at cílená omezující opatření pro odrazování od kybernetických útoků, které představují vnější hrozbu pro EU nebo její členské státy, a pro reakci na tyto útoky. Nový režim sankcí je součástí </w:t>
      </w:r>
      <w:r>
        <w:rPr>
          <w:rFonts w:ascii="Times New Roman" w:hAnsi="Times New Roman"/>
          <w:b/>
          <w:bCs/>
          <w:noProof/>
        </w:rPr>
        <w:t xml:space="preserve">souboru nástrojů EU pro diplomacii </w:t>
      </w:r>
      <w:r>
        <w:rPr>
          <w:rFonts w:ascii="Times New Roman" w:hAnsi="Times New Roman"/>
          <w:b/>
          <w:bCs/>
          <w:noProof/>
        </w:rPr>
        <w:lastRenderedPageBreak/>
        <w:t>v oblasti kybernetiky</w:t>
      </w:r>
      <w:r>
        <w:rPr>
          <w:rStyle w:val="FootnoteReference"/>
          <w:bCs/>
          <w:noProof/>
        </w:rPr>
        <w:footnoteReference w:id="18"/>
      </w:r>
      <w:r>
        <w:rPr>
          <w:rFonts w:ascii="Times New Roman" w:hAnsi="Times New Roman"/>
          <w:noProof/>
        </w:rPr>
        <w:t>, tedy r</w:t>
      </w:r>
      <w:r>
        <w:rPr>
          <w:rFonts w:ascii="Times New Roman" w:hAnsi="Times New Roman"/>
          <w:noProof/>
        </w:rPr>
        <w:t>ámce pro společnou diplomatickou reakci EU na nepřátelské činnosti v kyberprostoru</w:t>
      </w:r>
      <w:r>
        <w:rPr>
          <w:rStyle w:val="FootnoteReference"/>
          <w:noProof/>
        </w:rPr>
        <w:footnoteReference w:id="19"/>
      </w:r>
      <w:r>
        <w:rPr>
          <w:rFonts w:ascii="Times New Roman" w:hAnsi="Times New Roman"/>
          <w:noProof/>
        </w:rPr>
        <w:t xml:space="preserve">, který Unii umožňuje při odrazování od těchto činností a reakci na ně plně využít opatření společné zahraniční a bezpečnostní politiky. </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Kromě kybernetických hrozeb zaměřen</w:t>
      </w:r>
      <w:r>
        <w:rPr>
          <w:rFonts w:ascii="Times New Roman" w:hAnsi="Times New Roman"/>
          <w:noProof/>
        </w:rPr>
        <w:t xml:space="preserve">ých na systémy a údaje podniká EU rovněž kroky reagující na komplexní a mnohotvárné výzvy, jež představují </w:t>
      </w:r>
      <w:r>
        <w:rPr>
          <w:rFonts w:ascii="Times New Roman" w:hAnsi="Times New Roman"/>
          <w:b/>
          <w:noProof/>
        </w:rPr>
        <w:t>hybridní hrozby</w:t>
      </w:r>
      <w:r>
        <w:rPr>
          <w:rStyle w:val="FootnoteReference"/>
          <w:noProof/>
        </w:rPr>
        <w:footnoteReference w:id="20"/>
      </w:r>
      <w:r>
        <w:rPr>
          <w:noProof/>
        </w:rPr>
        <w:t>.</w:t>
      </w:r>
      <w:r>
        <w:rPr>
          <w:rFonts w:ascii="Times New Roman" w:hAnsi="Times New Roman"/>
          <w:noProof/>
        </w:rPr>
        <w:t xml:space="preserve"> Evropská rada ve svých závěrech ze dne 21. června 2019</w:t>
      </w:r>
      <w:r>
        <w:rPr>
          <w:rStyle w:val="FootnoteReference"/>
          <w:noProof/>
        </w:rPr>
        <w:footnoteReference w:id="21"/>
      </w:r>
      <w:r>
        <w:rPr>
          <w:rFonts w:ascii="Times New Roman" w:hAnsi="Times New Roman"/>
          <w:noProof/>
        </w:rPr>
        <w:t xml:space="preserve"> zdůraznila, že </w:t>
      </w:r>
      <w:r>
        <w:rPr>
          <w:rFonts w:ascii="Times New Roman" w:hAnsi="Times New Roman"/>
          <w:i/>
          <w:noProof/>
        </w:rPr>
        <w:t>„EU musí zajistit koordinovanou reakci na hybridní a kyberne</w:t>
      </w:r>
      <w:r>
        <w:rPr>
          <w:rFonts w:ascii="Times New Roman" w:hAnsi="Times New Roman"/>
          <w:i/>
          <w:noProof/>
        </w:rPr>
        <w:t>tické hrozby a posílit svou spolupráci s příslušnými mezinárodními aktéry“.</w:t>
      </w:r>
      <w:r>
        <w:rPr>
          <w:rFonts w:ascii="Times New Roman" w:hAnsi="Times New Roman"/>
          <w:noProof/>
        </w:rPr>
        <w:t xml:space="preserve"> Komise vítá, že boj proti hybridním hrozbám je rovněž prioritou finského předsednictví Rady a že na neformálním zasedání ministrů spravedlnosti a vnitřních věcí v Helsinkách ve dne</w:t>
      </w:r>
      <w:r>
        <w:rPr>
          <w:rFonts w:ascii="Times New Roman" w:hAnsi="Times New Roman"/>
          <w:noProof/>
        </w:rPr>
        <w:t>ch 18.–19. července 2019 proběhla politická rozprava o hybridních hrozbách na základě scénářů. Podobné diskuse o hybridních hrozbách vedli ředitelé pro oblast obranné politiky EU ve dnech 7.–8. července 2019 a političtí ředitelé EU ve dnech 9.–10. července</w:t>
      </w:r>
      <w:r>
        <w:rPr>
          <w:rFonts w:ascii="Times New Roman" w:hAnsi="Times New Roman"/>
          <w:noProof/>
        </w:rPr>
        <w:t xml:space="preserve"> 2019. Jejich závěry budou oznámeny ministrům zahraničních věcí a obrany na společném neformálním zasedání ve dnech 29.–30. srpna 2019.</w:t>
      </w:r>
    </w:p>
    <w:p w:rsidR="00530477" w:rsidRDefault="00600272">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V zájmu zvýšení kybernetické bezpečnosti Komise vyzývá Evropský parlament a Radu:</w:t>
      </w:r>
    </w:p>
    <w:tbl>
      <w:tblPr>
        <w:tblStyle w:val="TableGrid"/>
        <w:tblW w:w="0" w:type="auto"/>
        <w:tblLook w:val="04A0" w:firstRow="1" w:lastRow="0" w:firstColumn="1" w:lastColumn="0" w:noHBand="0" w:noVBand="1"/>
      </w:tblPr>
      <w:tblGrid>
        <w:gridCol w:w="9288"/>
      </w:tblGrid>
      <w:tr w:rsidR="00530477">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0477" w:rsidRDefault="00600272">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aby urychleně dosáhly dohody, pokud jde o legislativní návrh týkající se </w:t>
            </w:r>
            <w:r>
              <w:rPr>
                <w:rFonts w:ascii="Times New Roman" w:hAnsi="Times New Roman"/>
                <w:b/>
                <w:bCs/>
                <w:noProof/>
              </w:rPr>
              <w:t>Evropského průmyslového, technologického a výzkumného centra kompetencí pro kybernetickou bezpečnost a sítě národních koordinačních center</w:t>
            </w:r>
            <w:r>
              <w:rPr>
                <w:rFonts w:ascii="Times New Roman" w:hAnsi="Times New Roman"/>
                <w:bCs/>
                <w:noProof/>
              </w:rPr>
              <w:t>.</w:t>
            </w:r>
          </w:p>
        </w:tc>
      </w:tr>
    </w:tbl>
    <w:p w:rsidR="00530477" w:rsidRDefault="00600272">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noProof/>
        </w:rPr>
        <w:t>3.</w:t>
      </w:r>
      <w:r>
        <w:rPr>
          <w:rFonts w:ascii="Times New Roman" w:hAnsi="Times New Roman"/>
          <w:noProof/>
        </w:rPr>
        <w:t xml:space="preserve">      </w:t>
      </w:r>
      <w:r>
        <w:rPr>
          <w:rFonts w:ascii="Times New Roman" w:hAnsi="Times New Roman"/>
          <w:i/>
          <w:iCs/>
          <w:noProof/>
        </w:rPr>
        <w:t xml:space="preserve">Zlepšování přístupu k elektronickým důkazům pro účely vymáhání práva </w:t>
      </w:r>
    </w:p>
    <w:p w:rsidR="00530477" w:rsidRDefault="00600272">
      <w:pPr>
        <w:spacing w:after="240" w:line="240" w:lineRule="auto"/>
        <w:jc w:val="both"/>
        <w:rPr>
          <w:rFonts w:ascii="Times New Roman" w:hAnsi="Times New Roman" w:cs="Times New Roman"/>
          <w:noProof/>
          <w:sz w:val="24"/>
          <w:szCs w:val="24"/>
        </w:rPr>
      </w:pPr>
      <w:r>
        <w:rPr>
          <w:rFonts w:ascii="Times New Roman" w:hAnsi="Times New Roman"/>
          <w:noProof/>
        </w:rPr>
        <w:t>EU přijala další opatření, která mají teroristy a další pachatele trestné činnosti odstřihnout od prostředků k jejich činům, a ztížit jim tak přístup k prekurzorům výbušnin</w:t>
      </w:r>
      <w:r>
        <w:rPr>
          <w:rStyle w:val="FootnoteReference"/>
          <w:noProof/>
        </w:rPr>
        <w:footnoteReference w:id="22"/>
      </w:r>
      <w:r>
        <w:rPr>
          <w:rFonts w:ascii="Times New Roman" w:hAnsi="Times New Roman"/>
          <w:noProof/>
        </w:rPr>
        <w:t>, financování</w:t>
      </w:r>
      <w:r>
        <w:rPr>
          <w:rFonts w:ascii="Times New Roman" w:hAnsi="Times New Roman"/>
          <w:noProof/>
        </w:rPr>
        <w:t xml:space="preserve"> jejich aktivit</w:t>
      </w:r>
      <w:r>
        <w:rPr>
          <w:rStyle w:val="FootnoteReference"/>
          <w:noProof/>
        </w:rPr>
        <w:footnoteReference w:id="23"/>
      </w:r>
      <w:r>
        <w:rPr>
          <w:rFonts w:ascii="Times New Roman" w:hAnsi="Times New Roman"/>
          <w:noProof/>
        </w:rPr>
        <w:t xml:space="preserve"> a možnost cestovat bez odhalení</w:t>
      </w:r>
      <w:r>
        <w:rPr>
          <w:rStyle w:val="FootnoteReference"/>
          <w:noProof/>
        </w:rPr>
        <w:footnoteReference w:id="24"/>
      </w:r>
      <w:r>
        <w:rPr>
          <w:rFonts w:ascii="Times New Roman" w:hAnsi="Times New Roman"/>
          <w:noProof/>
        </w:rPr>
        <w:t>.</w:t>
      </w:r>
    </w:p>
    <w:p w:rsidR="00530477" w:rsidRDefault="00600272">
      <w:pPr>
        <w:spacing w:after="240" w:line="240" w:lineRule="auto"/>
        <w:jc w:val="both"/>
        <w:rPr>
          <w:rFonts w:ascii="Times New Roman" w:hAnsi="Times New Roman" w:cs="Times New Roman"/>
          <w:noProof/>
          <w:sz w:val="24"/>
          <w:szCs w:val="24"/>
        </w:rPr>
      </w:pPr>
      <w:r>
        <w:rPr>
          <w:rFonts w:ascii="Times New Roman" w:hAnsi="Times New Roman"/>
          <w:noProof/>
        </w:rPr>
        <w:t xml:space="preserve">Jednání o návrzích Komise z dubna 2018, jejichž cílem je zlepšit </w:t>
      </w:r>
      <w:r>
        <w:rPr>
          <w:rFonts w:ascii="Times New Roman" w:hAnsi="Times New Roman"/>
          <w:b/>
          <w:noProof/>
        </w:rPr>
        <w:t>přístup</w:t>
      </w:r>
      <w:r>
        <w:rPr>
          <w:rFonts w:ascii="Times New Roman" w:hAnsi="Times New Roman"/>
          <w:noProof/>
        </w:rPr>
        <w:t xml:space="preserve"> donucovacích orgánů </w:t>
      </w:r>
      <w:r>
        <w:rPr>
          <w:rFonts w:ascii="Times New Roman" w:hAnsi="Times New Roman"/>
          <w:b/>
          <w:noProof/>
        </w:rPr>
        <w:t>k elektronickým důkazům</w:t>
      </w:r>
      <w:r>
        <w:rPr>
          <w:rFonts w:ascii="Times New Roman" w:hAnsi="Times New Roman"/>
          <w:noProof/>
        </w:rPr>
        <w:t xml:space="preserve">, by měla být dokončena co nejdříve, neboť více než polovina všech vyšetřování trestných </w:t>
      </w:r>
      <w:r>
        <w:rPr>
          <w:rFonts w:ascii="Times New Roman" w:hAnsi="Times New Roman"/>
          <w:noProof/>
        </w:rPr>
        <w:t>činů dnes zahrnuje přeshraniční žádost o přístup k elektronickým důkazům</w:t>
      </w:r>
      <w:r>
        <w:rPr>
          <w:rStyle w:val="FootnoteReference"/>
          <w:noProof/>
        </w:rPr>
        <w:footnoteReference w:id="25"/>
      </w:r>
      <w:r>
        <w:rPr>
          <w:noProof/>
        </w:rPr>
        <w:t>.</w:t>
      </w:r>
      <w:r>
        <w:rPr>
          <w:rFonts w:ascii="Times New Roman" w:hAnsi="Times New Roman"/>
          <w:noProof/>
        </w:rPr>
        <w:t xml:space="preserve"> Rada přijala vyjednávací postoj k návrhu nařízení</w:t>
      </w:r>
      <w:r>
        <w:rPr>
          <w:rStyle w:val="FootnoteReference"/>
          <w:noProof/>
        </w:rPr>
        <w:footnoteReference w:id="26"/>
      </w:r>
      <w:r>
        <w:rPr>
          <w:rFonts w:ascii="Times New Roman" w:hAnsi="Times New Roman"/>
          <w:noProof/>
        </w:rPr>
        <w:t>, které zlepší přeshraniční přístup k elektronickým důkazům při vyšetřování trestných činů, a k návrhu směrnice</w:t>
      </w:r>
      <w:r>
        <w:rPr>
          <w:rStyle w:val="FootnoteReference"/>
          <w:noProof/>
        </w:rPr>
        <w:footnoteReference w:id="27"/>
      </w:r>
      <w:r>
        <w:rPr>
          <w:rFonts w:ascii="Times New Roman" w:hAnsi="Times New Roman"/>
          <w:noProof/>
        </w:rPr>
        <w:t>, kterou se stanoví</w:t>
      </w:r>
      <w:r>
        <w:rPr>
          <w:rFonts w:ascii="Times New Roman" w:hAnsi="Times New Roman"/>
          <w:noProof/>
        </w:rPr>
        <w:t xml:space="preserve"> harmonizovaná pravidla pro jmenování právních zástupců za účelem shromažďování důkazů v trestním řízení. Vzhledem k tomu, že účinný přístup k elektronickým důkazům za účelem vyšetřování a stíhání přeshraničních trestných činů, jako je terorismus nebo kybe</w:t>
      </w:r>
      <w:r>
        <w:rPr>
          <w:rFonts w:ascii="Times New Roman" w:hAnsi="Times New Roman"/>
          <w:noProof/>
        </w:rPr>
        <w:t>rkriminalita, má zásadní význam, vyzývá Komise Evropský parlament, aby svou práci na tomto návrhu urychlil, aby mohli spolunormotvůrci pracovat na rychlém přijetí návrhu.</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Komise souběžně pracuje na zdokonalení a zajištění nezbytných záruk při </w:t>
      </w:r>
      <w:r>
        <w:rPr>
          <w:rFonts w:ascii="Times New Roman" w:hAnsi="Times New Roman"/>
          <w:b/>
          <w:iCs/>
          <w:noProof/>
        </w:rPr>
        <w:t>mezinárodní v</w:t>
      </w:r>
      <w:r>
        <w:rPr>
          <w:rFonts w:ascii="Times New Roman" w:hAnsi="Times New Roman"/>
          <w:b/>
          <w:iCs/>
          <w:noProof/>
        </w:rPr>
        <w:t>ýměně elektronických důkazů</w:t>
      </w:r>
      <w:r>
        <w:rPr>
          <w:rFonts w:ascii="Times New Roman" w:hAnsi="Times New Roman"/>
          <w:iCs/>
          <w:noProof/>
        </w:rPr>
        <w:t>, a to jak v rámci probíhajících jednání o druhém dodatkovém protokolu k Budapešťské úmluvě Rady Evropy o kyberkriminalitě, tak v rámci jednání se Spojenými státy, přičemž vychází z mandátů k vyjednávání, které jí Rada udělila na</w:t>
      </w:r>
      <w:r>
        <w:rPr>
          <w:rFonts w:ascii="Times New Roman" w:hAnsi="Times New Roman"/>
          <w:iCs/>
          <w:noProof/>
        </w:rPr>
        <w:t> zasedání Rady pro spravedlnost a vnitřní věci ve dnech 6.–7. června 2019</w:t>
      </w:r>
      <w:r>
        <w:rPr>
          <w:rStyle w:val="FootnoteReference"/>
          <w:iCs/>
          <w:noProof/>
        </w:rPr>
        <w:footnoteReference w:id="28"/>
      </w:r>
      <w:r>
        <w:rPr>
          <w:noProof/>
        </w:rPr>
        <w:t>.</w:t>
      </w:r>
      <w:r>
        <w:rPr>
          <w:rFonts w:ascii="Times New Roman" w:hAnsi="Times New Roman"/>
          <w:iCs/>
          <w:noProof/>
        </w:rPr>
        <w:t xml:space="preserve"> Komise se zúčastnila posledního kola jednání o druhém dodatkovém protokolu k Budapešťské úmluvě Rady Evropy o kyberkriminalitě ve dnech 9.–11. července 2019. Komise a orgány Spojen</w:t>
      </w:r>
      <w:r>
        <w:rPr>
          <w:rFonts w:ascii="Times New Roman" w:hAnsi="Times New Roman"/>
          <w:iCs/>
          <w:noProof/>
        </w:rPr>
        <w:t>ých států se v současné době technicky připravují na formální zahájení jednání o dohodě mezi EU a USA o přeshraničním přístupu k elektronickým důkazům.</w:t>
      </w:r>
    </w:p>
    <w:p w:rsidR="00530477" w:rsidRDefault="00600272">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S cílem zlepšit přístup k elektronickým důkazům pro účely vymáhání práva vyzývá Komise Evropský parlamen</w:t>
      </w:r>
      <w:r>
        <w:rPr>
          <w:rFonts w:ascii="Times New Roman" w:hAnsi="Times New Roman"/>
          <w:b/>
          <w:noProof/>
        </w:rPr>
        <w:t>t:</w:t>
      </w:r>
    </w:p>
    <w:tbl>
      <w:tblPr>
        <w:tblStyle w:val="TableGrid"/>
        <w:tblW w:w="0" w:type="auto"/>
        <w:tblLook w:val="04A0" w:firstRow="1" w:lastRow="0" w:firstColumn="1" w:lastColumn="0" w:noHBand="0" w:noVBand="1"/>
      </w:tblPr>
      <w:tblGrid>
        <w:gridCol w:w="9288"/>
      </w:tblGrid>
      <w:tr w:rsidR="00530477">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0477" w:rsidRDefault="00600272">
            <w:pPr>
              <w:pStyle w:val="ListParagraph"/>
              <w:keepNext/>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aby přijal mandát k vyjednávání o legislativních návrzích ohledně </w:t>
            </w:r>
            <w:r>
              <w:rPr>
                <w:rFonts w:ascii="Times New Roman" w:hAnsi="Times New Roman"/>
                <w:b/>
                <w:noProof/>
              </w:rPr>
              <w:t>elektronických důkazů</w:t>
            </w:r>
            <w:r>
              <w:rPr>
                <w:rFonts w:ascii="Times New Roman" w:hAnsi="Times New Roman"/>
                <w:noProof/>
              </w:rPr>
              <w:t xml:space="preserve">, aby bylo možné urychleně zahájit třístranná jednání s Radou </w:t>
            </w:r>
            <w:r>
              <w:rPr>
                <w:rFonts w:ascii="Times New Roman" w:hAnsi="Times New Roman"/>
                <w:i/>
                <w:noProof/>
              </w:rPr>
              <w:t>(priorita společného prohlášení).</w:t>
            </w:r>
          </w:p>
        </w:tc>
      </w:tr>
    </w:tbl>
    <w:p w:rsidR="00530477" w:rsidRDefault="00600272">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rPr>
        <w:t xml:space="preserve">4. Silnější a inteligentnější informační systémy pro bezpečnost, </w:t>
      </w:r>
      <w:r>
        <w:rPr>
          <w:rFonts w:ascii="Times New Roman" w:hAnsi="Times New Roman"/>
          <w:i/>
          <w:iCs/>
          <w:noProof/>
        </w:rPr>
        <w:t>správu hranic a řízení migrace</w:t>
      </w:r>
    </w:p>
    <w:p w:rsidR="00530477" w:rsidRDefault="00600272">
      <w:pPr>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V návaznosti na přijetí pravidel týkajících se </w:t>
      </w:r>
      <w:r>
        <w:rPr>
          <w:rFonts w:ascii="Times New Roman" w:hAnsi="Times New Roman"/>
          <w:b/>
          <w:iCs/>
          <w:noProof/>
        </w:rPr>
        <w:t>interoperability informačních systémů</w:t>
      </w:r>
      <w:r>
        <w:rPr>
          <w:rStyle w:val="FootnoteReference"/>
          <w:iCs/>
          <w:noProof/>
        </w:rPr>
        <w:footnoteReference w:id="29"/>
      </w:r>
      <w:r>
        <w:rPr>
          <w:rFonts w:ascii="Times New Roman" w:hAnsi="Times New Roman"/>
          <w:iCs/>
          <w:noProof/>
        </w:rPr>
        <w:t>, jež odstraní informační nedostatky a slabé stránky díky tomu, že pomůže odhalovat případy vícenásobné identity a potírat podvodné zneužívá</w:t>
      </w:r>
      <w:r>
        <w:rPr>
          <w:rFonts w:ascii="Times New Roman" w:hAnsi="Times New Roman"/>
          <w:iCs/>
          <w:noProof/>
        </w:rPr>
        <w:t xml:space="preserve">ní totožnosti, Komise urychleně zahájila řadu iniciativ na podporu členských států při provádění těchto pravidel, včetně případného financování či seminářů k usnadnění výměny odborných znalostí a osvědčených postupů. </w:t>
      </w:r>
      <w:r>
        <w:rPr>
          <w:rFonts w:ascii="Times New Roman" w:hAnsi="Times New Roman"/>
          <w:noProof/>
        </w:rPr>
        <w:t>Při plnění ambiciózního cíle, kterým je</w:t>
      </w:r>
      <w:r>
        <w:rPr>
          <w:rFonts w:ascii="Times New Roman" w:hAnsi="Times New Roman"/>
          <w:noProof/>
        </w:rPr>
        <w:t xml:space="preserve"> dosažení plné interoperability informačních systémů EU pro bezpečnost, správu hranic a řízení migrace do roku 2020, bude mít zásadní význam úzká spolupráce mezi agenturami EU, všemi členskými státy a zeměmi přidruženými k Schengenu.</w:t>
      </w:r>
      <w:r>
        <w:rPr>
          <w:rFonts w:ascii="Times New Roman" w:hAnsi="Times New Roman"/>
          <w:iCs/>
          <w:noProof/>
        </w:rPr>
        <w:t xml:space="preserve"> </w:t>
      </w:r>
    </w:p>
    <w:p w:rsidR="00530477" w:rsidRDefault="00600272">
      <w:pPr>
        <w:spacing w:after="240" w:line="240" w:lineRule="auto"/>
        <w:jc w:val="both"/>
        <w:rPr>
          <w:rFonts w:ascii="Times New Roman" w:hAnsi="Times New Roman" w:cs="Times New Roman"/>
          <w:noProof/>
          <w:sz w:val="24"/>
          <w:szCs w:val="24"/>
        </w:rPr>
      </w:pPr>
      <w:r>
        <w:rPr>
          <w:rFonts w:ascii="Times New Roman" w:hAnsi="Times New Roman"/>
          <w:iCs/>
          <w:noProof/>
        </w:rPr>
        <w:t>Plnění tohoto cíle ro</w:t>
      </w:r>
      <w:r>
        <w:rPr>
          <w:rFonts w:ascii="Times New Roman" w:hAnsi="Times New Roman"/>
          <w:iCs/>
          <w:noProof/>
        </w:rPr>
        <w:t>vněž vyžaduje rychlé a úplné provedení nedávno schválených právních předpisů, jimiž se zřizují nové informační systémy (Systém vstupu/výstupu EU</w:t>
      </w:r>
      <w:r>
        <w:rPr>
          <w:rStyle w:val="FootnoteReference"/>
          <w:noProof/>
        </w:rPr>
        <w:footnoteReference w:id="30"/>
      </w:r>
      <w:r>
        <w:rPr>
          <w:rFonts w:ascii="Times New Roman" w:hAnsi="Times New Roman"/>
          <w:iCs/>
          <w:noProof/>
        </w:rPr>
        <w:t xml:space="preserve"> a Evropský systém pro cestovní informace a povolení</w:t>
      </w:r>
      <w:r>
        <w:rPr>
          <w:rStyle w:val="FootnoteReference"/>
          <w:noProof/>
        </w:rPr>
        <w:footnoteReference w:id="31"/>
      </w:r>
      <w:r>
        <w:rPr>
          <w:rFonts w:ascii="Times New Roman" w:hAnsi="Times New Roman"/>
          <w:iCs/>
          <w:noProof/>
        </w:rPr>
        <w:t>), posiluje Schengenský informační systém</w:t>
      </w:r>
      <w:r>
        <w:rPr>
          <w:rStyle w:val="FootnoteReference"/>
          <w:noProof/>
        </w:rPr>
        <w:footnoteReference w:id="32"/>
      </w:r>
      <w:r>
        <w:rPr>
          <w:rFonts w:ascii="Times New Roman" w:hAnsi="Times New Roman"/>
          <w:iCs/>
          <w:noProof/>
        </w:rPr>
        <w:t xml:space="preserve"> a která rozšiřu</w:t>
      </w:r>
      <w:r>
        <w:rPr>
          <w:rFonts w:ascii="Times New Roman" w:hAnsi="Times New Roman"/>
          <w:iCs/>
          <w:noProof/>
        </w:rPr>
        <w:t>jí Evropský informační systém rejstříků trestů na státní příslušníky třetích zemí</w:t>
      </w:r>
      <w:r>
        <w:rPr>
          <w:rStyle w:val="FootnoteReference"/>
          <w:noProof/>
        </w:rPr>
        <w:footnoteReference w:id="33"/>
      </w:r>
      <w:r>
        <w:rPr>
          <w:rFonts w:ascii="Times New Roman" w:hAnsi="Times New Roman"/>
          <w:iCs/>
          <w:noProof/>
        </w:rPr>
        <w:t>.</w:t>
      </w:r>
      <w:r>
        <w:rPr>
          <w:rFonts w:ascii="Times New Roman" w:hAnsi="Times New Roman"/>
          <w:noProof/>
        </w:rPr>
        <w:t xml:space="preserve"> Nová architektura pro silnější a inteligentnější informační systémy pro bezpečnost, správu hranic a řízení migrace přinese změny v praxi pouze tehdy, pokud Unie a všechny č</w:t>
      </w:r>
      <w:r>
        <w:rPr>
          <w:rFonts w:ascii="Times New Roman" w:hAnsi="Times New Roman"/>
          <w:noProof/>
        </w:rPr>
        <w:t>lenské státy plně provedou v souladu s dohodnutým harmonogramem všechny složky.</w:t>
      </w:r>
    </w:p>
    <w:p w:rsidR="00530477" w:rsidRDefault="00600272">
      <w:pPr>
        <w:spacing w:after="240" w:line="240" w:lineRule="auto"/>
        <w:jc w:val="both"/>
        <w:rPr>
          <w:rFonts w:ascii="Times New Roman" w:eastAsia="Calibri" w:hAnsi="Times New Roman" w:cs="Times New Roman"/>
          <w:iCs/>
          <w:noProof/>
          <w:sz w:val="24"/>
          <w:szCs w:val="24"/>
        </w:rPr>
      </w:pPr>
      <w:r>
        <w:rPr>
          <w:rFonts w:ascii="Times New Roman" w:hAnsi="Times New Roman"/>
          <w:iCs/>
          <w:noProof/>
        </w:rPr>
        <w:t>Současně je třeba, aby k  dokončení práce na silnějších a inteligentnějších informačních systémech pro bezpečnost, správu hranic a řízení migrace podnikli spolunormotvůrci dalš</w:t>
      </w:r>
      <w:r>
        <w:rPr>
          <w:rFonts w:ascii="Times New Roman" w:hAnsi="Times New Roman"/>
          <w:iCs/>
          <w:noProof/>
        </w:rPr>
        <w:t xml:space="preserve">í kroky. </w:t>
      </w:r>
      <w:r>
        <w:rPr>
          <w:rFonts w:ascii="Times New Roman" w:hAnsi="Times New Roman"/>
          <w:iCs/>
          <w:noProof/>
        </w:rPr>
        <w:br/>
      </w:r>
      <w:r>
        <w:rPr>
          <w:rFonts w:ascii="Times New Roman" w:hAnsi="Times New Roman"/>
          <w:noProof/>
        </w:rPr>
        <w:t xml:space="preserve">V rámci technického provádění </w:t>
      </w:r>
      <w:r>
        <w:rPr>
          <w:rFonts w:ascii="Times New Roman" w:hAnsi="Times New Roman"/>
          <w:b/>
          <w:noProof/>
        </w:rPr>
        <w:t>Evropského systému pro cestovní informace a povolení</w:t>
      </w:r>
      <w:r>
        <w:rPr>
          <w:rFonts w:ascii="Times New Roman" w:hAnsi="Times New Roman"/>
          <w:noProof/>
        </w:rPr>
        <w:t xml:space="preserve"> předložila Komise dne 7. ledna 2019 dva návrhy technických změn souvisejícího nařízení</w:t>
      </w:r>
      <w:r>
        <w:rPr>
          <w:rStyle w:val="FootnoteReference"/>
          <w:noProof/>
        </w:rPr>
        <w:footnoteReference w:id="34"/>
      </w:r>
      <w:r>
        <w:rPr>
          <w:rFonts w:ascii="Times New Roman" w:hAnsi="Times New Roman"/>
          <w:noProof/>
        </w:rPr>
        <w:t>, jež jsou nezbytné pro úplné zavedení systému. Komise vyzývá spolunormotvůr</w:t>
      </w:r>
      <w:r>
        <w:rPr>
          <w:rFonts w:ascii="Times New Roman" w:hAnsi="Times New Roman"/>
          <w:noProof/>
        </w:rPr>
        <w:t>ce, aby pokročili v práci na těchto technických změnách s cílem dosáhnout co nejdříve dohody, a umožnili tím rychlé a včasné zavedení Evropského systému pro cestovní informace a povolení, který by měl být zprovozněn počátkem roku 2021.</w:t>
      </w:r>
    </w:p>
    <w:p w:rsidR="00530477" w:rsidRDefault="00600272">
      <w:pPr>
        <w:spacing w:after="240" w:line="240" w:lineRule="auto"/>
        <w:jc w:val="both"/>
        <w:rPr>
          <w:rFonts w:ascii="Times New Roman" w:eastAsia="Times New Roman" w:hAnsi="Times New Roman" w:cs="Times New Roman"/>
          <w:noProof/>
          <w:sz w:val="24"/>
          <w:szCs w:val="24"/>
        </w:rPr>
      </w:pPr>
      <w:r>
        <w:rPr>
          <w:rFonts w:ascii="Times New Roman" w:hAnsi="Times New Roman"/>
          <w:noProof/>
        </w:rPr>
        <w:t xml:space="preserve">V květnu 2018 Komise předložila návrh na </w:t>
      </w:r>
      <w:r>
        <w:rPr>
          <w:rFonts w:ascii="Times New Roman" w:hAnsi="Times New Roman"/>
          <w:b/>
          <w:noProof/>
        </w:rPr>
        <w:t>posílení stávajícího Vízového informačního systému</w:t>
      </w:r>
      <w:r>
        <w:rPr>
          <w:rStyle w:val="FootnoteReference"/>
          <w:noProof/>
        </w:rPr>
        <w:footnoteReference w:id="35"/>
      </w:r>
      <w:r>
        <w:rPr>
          <w:rFonts w:ascii="Times New Roman" w:hAnsi="Times New Roman"/>
          <w:noProof/>
        </w:rPr>
        <w:t xml:space="preserve">, který zajišťuje důkladnější kontroly žadatelů o víza a odstraňuje informační nedostatky prostřednictvím lepší výměny informací mezi členskými státy. </w:t>
      </w:r>
      <w:r>
        <w:rPr>
          <w:rFonts w:ascii="Times New Roman" w:hAnsi="Times New Roman"/>
          <w:noProof/>
        </w:rPr>
        <w:br/>
        <w:t>Rada přijala</w:t>
      </w:r>
      <w:r>
        <w:rPr>
          <w:rFonts w:ascii="Times New Roman" w:hAnsi="Times New Roman"/>
          <w:noProof/>
        </w:rPr>
        <w:t xml:space="preserve"> mandát k vyjednávání dne 19. prosince 2018 a dne 13. března 2019 hlasoval o své zprávě k návrhu na plenárním zasedání Evropský parlament, čímž dokončil jeho první čtení. Komise vyzývá spolunormotvůrce, aby v rámci nově ustaveného Evropského parlamentu ury</w:t>
      </w:r>
      <w:r>
        <w:rPr>
          <w:rFonts w:ascii="Times New Roman" w:hAnsi="Times New Roman"/>
          <w:noProof/>
        </w:rPr>
        <w:t>chleně zahájili jednání.</w:t>
      </w:r>
    </w:p>
    <w:p w:rsidR="00530477" w:rsidRDefault="00600272">
      <w:pPr>
        <w:spacing w:after="240" w:line="240" w:lineRule="auto"/>
        <w:jc w:val="both"/>
        <w:rPr>
          <w:rFonts w:ascii="Times New Roman" w:hAnsi="Times New Roman" w:cs="Times New Roman"/>
          <w:noProof/>
          <w:sz w:val="24"/>
          <w:szCs w:val="24"/>
        </w:rPr>
      </w:pPr>
      <w:r>
        <w:rPr>
          <w:rFonts w:ascii="Times New Roman" w:hAnsi="Times New Roman"/>
          <w:noProof/>
        </w:rPr>
        <w:t xml:space="preserve">V květnu 2016 Komise navrhla rozšířit oblast působnosti systému </w:t>
      </w:r>
      <w:r>
        <w:rPr>
          <w:rFonts w:ascii="Times New Roman" w:hAnsi="Times New Roman"/>
          <w:b/>
          <w:noProof/>
        </w:rPr>
        <w:t>Eurodac</w:t>
      </w:r>
      <w:r>
        <w:rPr>
          <w:rStyle w:val="FootnoteReference"/>
          <w:noProof/>
        </w:rPr>
        <w:footnoteReference w:id="36"/>
      </w:r>
      <w:r>
        <w:rPr>
          <w:rFonts w:ascii="Times New Roman" w:hAnsi="Times New Roman"/>
          <w:noProof/>
        </w:rPr>
        <w:t xml:space="preserve"> tak, aby zahrnovala nejen identifikaci žadatelů o azyl, ale rovněž identifikaci neoprávněně pobývajících státních příslušníků třetích zemí a osob, které do EU</w:t>
      </w:r>
      <w:r>
        <w:rPr>
          <w:rFonts w:ascii="Times New Roman" w:hAnsi="Times New Roman"/>
          <w:noProof/>
        </w:rPr>
        <w:t xml:space="preserve"> vstupují nelegálně. Komise v souladu se závěry Evropské rady z prosince 2018</w:t>
      </w:r>
      <w:r>
        <w:rPr>
          <w:rStyle w:val="FootnoteReference"/>
          <w:noProof/>
        </w:rPr>
        <w:footnoteReference w:id="37"/>
      </w:r>
      <w:r>
        <w:rPr>
          <w:rFonts w:ascii="Times New Roman" w:hAnsi="Times New Roman"/>
          <w:noProof/>
        </w:rPr>
        <w:t xml:space="preserve"> a sdělením Komise ze dne 6. března 2019 o pokroku při provádění evropského programu pro migraci</w:t>
      </w:r>
      <w:r>
        <w:rPr>
          <w:rStyle w:val="FootnoteReference"/>
          <w:noProof/>
        </w:rPr>
        <w:footnoteReference w:id="38"/>
      </w:r>
      <w:r>
        <w:rPr>
          <w:rFonts w:ascii="Times New Roman" w:hAnsi="Times New Roman"/>
          <w:noProof/>
        </w:rPr>
        <w:t xml:space="preserve"> vyzývá spolunormotvůrce k přijetí návrhu. Tento legislativní návrh je třeba přij</w:t>
      </w:r>
      <w:r>
        <w:rPr>
          <w:rFonts w:ascii="Times New Roman" w:hAnsi="Times New Roman"/>
          <w:noProof/>
        </w:rPr>
        <w:t>mout, aby se systém Eurodac mohl stát součástí budoucí architektury interoperabilních informačních systémů EU, a obsahoval tak klíčové údaje o neoprávněně pobývajících státních příslušnících třetích zemí a osobách, které do EU vstoupily nelegálně.</w:t>
      </w:r>
    </w:p>
    <w:p w:rsidR="00530477" w:rsidRDefault="00600272">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rPr>
        <w:t xml:space="preserve">V zájmu </w:t>
      </w:r>
      <w:r>
        <w:rPr>
          <w:rFonts w:ascii="Times New Roman" w:hAnsi="Times New Roman"/>
          <w:b/>
          <w:noProof/>
        </w:rPr>
        <w:t>posílení informačních systémů EU pro bezpečnost, správu hranic a řízení migrace vyzývá Komise Evropský parlament a Radu:</w:t>
      </w:r>
    </w:p>
    <w:tbl>
      <w:tblPr>
        <w:tblStyle w:val="TableGrid"/>
        <w:tblW w:w="0" w:type="auto"/>
        <w:shd w:val="clear" w:color="auto" w:fill="DBE5F1" w:themeFill="accent1" w:themeFillTint="33"/>
        <w:tblLook w:val="04A0" w:firstRow="1" w:lastRow="0" w:firstColumn="1" w:lastColumn="0" w:noHBand="0" w:noVBand="1"/>
      </w:tblPr>
      <w:tblGrid>
        <w:gridCol w:w="9288"/>
      </w:tblGrid>
      <w:tr w:rsidR="00530477">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0477" w:rsidRDefault="00600272">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aby přijaly legislativní návrh týkající se systému </w:t>
            </w:r>
            <w:r>
              <w:rPr>
                <w:rFonts w:ascii="Times New Roman" w:hAnsi="Times New Roman"/>
                <w:b/>
                <w:noProof/>
              </w:rPr>
              <w:t>Eurodac</w:t>
            </w:r>
            <w:r>
              <w:rPr>
                <w:rFonts w:ascii="Times New Roman" w:hAnsi="Times New Roman"/>
                <w:noProof/>
              </w:rPr>
              <w:t xml:space="preserve"> </w:t>
            </w:r>
            <w:r>
              <w:rPr>
                <w:rFonts w:ascii="Times New Roman" w:hAnsi="Times New Roman"/>
                <w:i/>
                <w:noProof/>
              </w:rPr>
              <w:t>(priorita společného prohlášení)</w:t>
            </w:r>
            <w:r>
              <w:rPr>
                <w:rFonts w:ascii="Times New Roman" w:hAnsi="Times New Roman"/>
                <w:noProof/>
              </w:rPr>
              <w:t>,</w:t>
            </w:r>
          </w:p>
          <w:p w:rsidR="00530477" w:rsidRDefault="00600272">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aby pokročily v práci na dosažení rychlé d</w:t>
            </w:r>
            <w:r>
              <w:rPr>
                <w:rFonts w:ascii="Times New Roman" w:hAnsi="Times New Roman"/>
                <w:noProof/>
              </w:rPr>
              <w:t xml:space="preserve">ohody o navrhovaných technických změnách, které jsou nezbytné pro zřízení </w:t>
            </w:r>
            <w:r>
              <w:rPr>
                <w:rFonts w:ascii="Times New Roman" w:hAnsi="Times New Roman"/>
                <w:b/>
                <w:noProof/>
              </w:rPr>
              <w:t>Evropského systému pro cestovní informace a povolení</w:t>
            </w:r>
            <w:r>
              <w:rPr>
                <w:rFonts w:ascii="Times New Roman" w:hAnsi="Times New Roman"/>
                <w:noProof/>
              </w:rPr>
              <w:t>.</w:t>
            </w:r>
          </w:p>
        </w:tc>
      </w:tr>
    </w:tbl>
    <w:p w:rsidR="00530477" w:rsidRDefault="00600272">
      <w:pPr>
        <w:widowControl w:val="0"/>
        <w:spacing w:before="240" w:after="240" w:line="240" w:lineRule="auto"/>
        <w:jc w:val="both"/>
        <w:rPr>
          <w:rFonts w:ascii="Times New Roman" w:hAnsi="Times New Roman" w:cs="Times New Roman"/>
          <w:b/>
          <w:bCs/>
          <w:noProof/>
          <w:sz w:val="24"/>
          <w:szCs w:val="24"/>
        </w:rPr>
      </w:pPr>
      <w:r>
        <w:rPr>
          <w:rFonts w:ascii="Times New Roman" w:hAnsi="Times New Roman"/>
          <w:b/>
          <w:bCs/>
          <w:noProof/>
        </w:rPr>
        <w:t xml:space="preserve">III. </w:t>
      </w:r>
      <w:r>
        <w:rPr>
          <w:rFonts w:ascii="Times New Roman" w:hAnsi="Times New Roman"/>
          <w:b/>
          <w:bCs/>
          <w:noProof/>
        </w:rPr>
        <w:tab/>
        <w:t>ZVÝŠENÍ BEZPEČNOSTI DIGITÁLNÍCH INFRASTRUKTUR</w:t>
      </w:r>
    </w:p>
    <w:p w:rsidR="00530477" w:rsidRDefault="00600272">
      <w:pPr>
        <w:spacing w:after="240" w:line="240" w:lineRule="auto"/>
        <w:jc w:val="both"/>
        <w:rPr>
          <w:rFonts w:ascii="Times New Roman" w:hAnsi="Times New Roman"/>
          <w:noProof/>
          <w:sz w:val="24"/>
          <w:szCs w:val="24"/>
        </w:rPr>
      </w:pPr>
      <w:r>
        <w:rPr>
          <w:rStyle w:val="Emphasis"/>
          <w:rFonts w:ascii="Times New Roman" w:hAnsi="Times New Roman"/>
          <w:i w:val="0"/>
          <w:noProof/>
        </w:rPr>
        <w:t xml:space="preserve">Odolnost naší digitální infrastruktury má zásadní význam pro vlády, podniky, bezpečnost osobních údajů a fungování demokratických institucí. </w:t>
      </w:r>
      <w:r>
        <w:rPr>
          <w:rFonts w:ascii="Times New Roman" w:hAnsi="Times New Roman"/>
          <w:b/>
          <w:noProof/>
        </w:rPr>
        <w:t>Sítě páté generace (5G)</w:t>
      </w:r>
      <w:r>
        <w:rPr>
          <w:rFonts w:ascii="Times New Roman" w:hAnsi="Times New Roman"/>
          <w:noProof/>
        </w:rPr>
        <w:t>, které budou zavedeny v nadcházejících letech, budou tvořit digitální páteř našich společno</w:t>
      </w:r>
      <w:r>
        <w:rPr>
          <w:rFonts w:ascii="Times New Roman" w:hAnsi="Times New Roman"/>
          <w:noProof/>
        </w:rPr>
        <w:t xml:space="preserve">stí a ekonomik, propojí miliardy občanů, objektů a systémů, a to i v kriticky významných odvětvích energetiky, dopravy, bankovnictví a zdravotnictví, jakož i průmyslové řídicí systémy, které obsahují citlivé informace a podporují bezpečnostní systémy. </w:t>
      </w:r>
    </w:p>
    <w:p w:rsidR="00530477" w:rsidRDefault="00600272">
      <w:pPr>
        <w:spacing w:after="240" w:line="240" w:lineRule="auto"/>
        <w:jc w:val="both"/>
        <w:rPr>
          <w:rFonts w:ascii="Times New Roman" w:hAnsi="Times New Roman"/>
          <w:noProof/>
          <w:sz w:val="24"/>
          <w:szCs w:val="24"/>
        </w:rPr>
      </w:pPr>
      <w:r>
        <w:rPr>
          <w:rFonts w:ascii="Times New Roman" w:hAnsi="Times New Roman"/>
          <w:noProof/>
        </w:rPr>
        <w:t>Vzh</w:t>
      </w:r>
      <w:r>
        <w:rPr>
          <w:rFonts w:ascii="Times New Roman" w:hAnsi="Times New Roman"/>
          <w:noProof/>
        </w:rPr>
        <w:t xml:space="preserve">ledem k tomu, že sítě 5G budou v roce 2025 podle odhadů v celosvětovém měřítku generovat příjmy ve výši 225 miliard EUR, jsou klíčovým aktivem pro úspěch Evropy na globálním trhu a </w:t>
      </w:r>
      <w:r>
        <w:rPr>
          <w:rFonts w:ascii="Times New Roman" w:hAnsi="Times New Roman"/>
          <w:b/>
          <w:noProof/>
        </w:rPr>
        <w:t>jejich bezpečnost má zásadní význam pro zajištění strategické autonomie Uni</w:t>
      </w:r>
      <w:r>
        <w:rPr>
          <w:rFonts w:ascii="Times New Roman" w:hAnsi="Times New Roman"/>
          <w:b/>
          <w:noProof/>
        </w:rPr>
        <w:t>e</w:t>
      </w:r>
      <w:r>
        <w:rPr>
          <w:rFonts w:ascii="Times New Roman" w:hAnsi="Times New Roman"/>
          <w:noProof/>
        </w:rPr>
        <w:t xml:space="preserve">. Pro zajištění vysoké úrovně kybernetické bezpečnosti jsou zapotřebí koordinovaná opatření jak na vnitrostátní, tak na evropské úrovni, neboť případná zranitelnost sítí 5G v jednom členském státě by měla dopad na Unii jako celek. </w:t>
      </w:r>
    </w:p>
    <w:p w:rsidR="00530477" w:rsidRDefault="00600272">
      <w:pPr>
        <w:spacing w:after="240" w:line="240" w:lineRule="auto"/>
        <w:jc w:val="both"/>
        <w:rPr>
          <w:rFonts w:ascii="Times New Roman" w:hAnsi="Times New Roman"/>
          <w:noProof/>
          <w:sz w:val="24"/>
          <w:szCs w:val="24"/>
        </w:rPr>
      </w:pPr>
      <w:r>
        <w:rPr>
          <w:rFonts w:ascii="Times New Roman" w:hAnsi="Times New Roman"/>
          <w:noProof/>
        </w:rPr>
        <w:t>V návaznosti na podporu</w:t>
      </w:r>
      <w:r>
        <w:rPr>
          <w:rFonts w:ascii="Times New Roman" w:hAnsi="Times New Roman"/>
          <w:noProof/>
        </w:rPr>
        <w:t>, kterou vyjádřili hlavy států nebo předsedové vlád na zasedání Evropské rady v březnu 2019</w:t>
      </w:r>
      <w:r>
        <w:rPr>
          <w:rStyle w:val="FootnoteReference"/>
          <w:noProof/>
        </w:rPr>
        <w:footnoteReference w:id="39"/>
      </w:r>
      <w:r>
        <w:rPr>
          <w:rFonts w:ascii="Times New Roman" w:hAnsi="Times New Roman"/>
          <w:noProof/>
        </w:rPr>
        <w:t xml:space="preserve">, předložila Komise dne 26. března 2019 </w:t>
      </w:r>
      <w:r>
        <w:rPr>
          <w:rFonts w:ascii="Times New Roman" w:hAnsi="Times New Roman"/>
          <w:b/>
          <w:noProof/>
        </w:rPr>
        <w:t>doporučení o kybernetické bezpečnosti sítí 5G</w:t>
      </w:r>
      <w:r>
        <w:rPr>
          <w:rStyle w:val="FootnoteReference"/>
          <w:noProof/>
        </w:rPr>
        <w:footnoteReference w:id="40"/>
      </w:r>
      <w:r>
        <w:rPr>
          <w:rFonts w:ascii="Times New Roman" w:hAnsi="Times New Roman"/>
          <w:noProof/>
        </w:rPr>
        <w:t>, jež vytyčuje činnosti pro posouzení kybernetických bezpečnostních rizik sítí</w:t>
      </w:r>
      <w:r>
        <w:rPr>
          <w:rFonts w:ascii="Times New Roman" w:hAnsi="Times New Roman"/>
          <w:noProof/>
        </w:rPr>
        <w:t xml:space="preserve"> 5G a posílení preventivních opatření. Doporučení vycházejí z koordinovaných opatření EU v oblasti posouzení a řízení rizik, účinného rámce pro spolupráci a výměnu informací a ze společných poznatků EU o situaci týkající se kritických komunikačních sítí.</w:t>
      </w:r>
    </w:p>
    <w:p w:rsidR="00530477" w:rsidRDefault="00600272">
      <w:pPr>
        <w:spacing w:after="0" w:line="240" w:lineRule="auto"/>
        <w:jc w:val="both"/>
        <w:rPr>
          <w:rFonts w:ascii="Times New Roman" w:hAnsi="Times New Roman"/>
          <w:bCs/>
          <w:noProof/>
          <w:sz w:val="24"/>
          <w:szCs w:val="24"/>
        </w:rPr>
      </w:pPr>
      <w:r>
        <w:rPr>
          <w:rFonts w:ascii="Times New Roman" w:hAnsi="Times New Roman"/>
          <w:noProof/>
        </w:rPr>
        <w:t>V</w:t>
      </w:r>
      <w:r>
        <w:rPr>
          <w:rFonts w:ascii="Times New Roman" w:hAnsi="Times New Roman"/>
          <w:noProof/>
        </w:rPr>
        <w:t xml:space="preserve"> </w:t>
      </w:r>
      <w:r>
        <w:rPr>
          <w:rFonts w:ascii="Times New Roman" w:hAnsi="Times New Roman"/>
          <w:b/>
          <w:noProof/>
        </w:rPr>
        <w:t>první fázi</w:t>
      </w:r>
      <w:r>
        <w:rPr>
          <w:rFonts w:ascii="Times New Roman" w:hAnsi="Times New Roman"/>
          <w:noProof/>
        </w:rPr>
        <w:t xml:space="preserve"> procesu zahájeného doporučením dokončily všechny členské státy do 15. července 2019 </w:t>
      </w:r>
      <w:r>
        <w:rPr>
          <w:rFonts w:ascii="Times New Roman" w:hAnsi="Times New Roman"/>
          <w:b/>
          <w:noProof/>
        </w:rPr>
        <w:t>vnitrostátní posouzení rizik</w:t>
      </w:r>
      <w:r>
        <w:rPr>
          <w:rFonts w:ascii="Times New Roman" w:hAnsi="Times New Roman"/>
          <w:noProof/>
        </w:rPr>
        <w:t xml:space="preserve"> a předložily svá zjištění Komisi a Agentuře EU pro kybernetickou bezpečnost, nebo oznámily, že tak brzy učiní. Vnitrostátní posouze</w:t>
      </w:r>
      <w:r>
        <w:rPr>
          <w:rFonts w:ascii="Times New Roman" w:hAnsi="Times New Roman"/>
          <w:noProof/>
        </w:rPr>
        <w:t xml:space="preserve">ní rizik se řídila souborem pokynů a společnou šablonou pro podávání zpráv o zjištěních, na nichž se dohodly členské státy a Komise s cílem podpořit soudržnost a usnadnit výměnu informací o vnitrostátních výsledcích na úrovni EU. </w:t>
      </w:r>
      <w:r>
        <w:rPr>
          <w:rFonts w:ascii="Times New Roman" w:hAnsi="Times New Roman"/>
          <w:bCs/>
          <w:noProof/>
        </w:rPr>
        <w:t>Ve všech členských státech</w:t>
      </w:r>
      <w:r>
        <w:rPr>
          <w:rFonts w:ascii="Times New Roman" w:hAnsi="Times New Roman"/>
          <w:bCs/>
          <w:noProof/>
        </w:rPr>
        <w:t xml:space="preserve"> byly posuzovány tyto parametry:</w:t>
      </w:r>
    </w:p>
    <w:p w:rsidR="00530477" w:rsidRDefault="00530477">
      <w:pPr>
        <w:spacing w:after="0" w:line="240" w:lineRule="auto"/>
        <w:jc w:val="both"/>
        <w:rPr>
          <w:rFonts w:ascii="Times New Roman" w:hAnsi="Times New Roman"/>
          <w:noProof/>
          <w:sz w:val="24"/>
          <w:szCs w:val="24"/>
        </w:rPr>
      </w:pPr>
    </w:p>
    <w:p w:rsidR="00530477" w:rsidRDefault="00600272">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noProof/>
        </w:rPr>
        <w:t>hlavní hrozby a aktéři ovlivňující sítě 5G,</w:t>
      </w:r>
    </w:p>
    <w:p w:rsidR="00530477" w:rsidRDefault="00600272">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stupně citlivosti </w:t>
      </w:r>
      <w:r>
        <w:rPr>
          <w:rFonts w:ascii="Times New Roman" w:hAnsi="Times New Roman"/>
          <w:bCs/>
          <w:noProof/>
        </w:rPr>
        <w:t>komponentů a funkcí sítí 5G a dalších aktiv a</w:t>
      </w:r>
    </w:p>
    <w:p w:rsidR="00530477" w:rsidRDefault="00600272">
      <w:pPr>
        <w:pStyle w:val="ListParagraph"/>
        <w:numPr>
          <w:ilvl w:val="0"/>
          <w:numId w:val="35"/>
        </w:numPr>
        <w:spacing w:after="240" w:line="240" w:lineRule="auto"/>
        <w:contextualSpacing w:val="0"/>
        <w:jc w:val="both"/>
        <w:rPr>
          <w:rFonts w:ascii="Times New Roman" w:hAnsi="Times New Roman" w:cs="Times New Roman"/>
          <w:noProof/>
          <w:sz w:val="24"/>
          <w:szCs w:val="24"/>
        </w:rPr>
      </w:pPr>
      <w:r>
        <w:rPr>
          <w:rFonts w:ascii="Times New Roman" w:hAnsi="Times New Roman"/>
          <w:bCs/>
          <w:noProof/>
        </w:rPr>
        <w:t>různé slabiny</w:t>
      </w:r>
      <w:r>
        <w:rPr>
          <w:rFonts w:ascii="Times New Roman" w:hAnsi="Times New Roman"/>
          <w:noProof/>
        </w:rPr>
        <w:t xml:space="preserve">, včetně </w:t>
      </w:r>
      <w:r>
        <w:rPr>
          <w:rFonts w:ascii="Times New Roman" w:hAnsi="Times New Roman"/>
          <w:bCs/>
          <w:noProof/>
        </w:rPr>
        <w:t>slabin</w:t>
      </w:r>
      <w:r>
        <w:rPr>
          <w:rFonts w:ascii="Times New Roman" w:hAnsi="Times New Roman"/>
          <w:noProof/>
        </w:rPr>
        <w:t xml:space="preserve"> technické a jiné povahy, např. těch, které mohou vzniknout v dodavatelském řetězci 5G</w:t>
      </w:r>
      <w:r>
        <w:rPr>
          <w:rFonts w:ascii="Times New Roman" w:hAnsi="Times New Roman"/>
          <w:noProof/>
        </w:rPr>
        <w:t>.</w:t>
      </w:r>
    </w:p>
    <w:p w:rsidR="00530477" w:rsidRDefault="00600272">
      <w:pPr>
        <w:spacing w:after="240" w:line="240" w:lineRule="auto"/>
        <w:jc w:val="both"/>
        <w:rPr>
          <w:rFonts w:ascii="Times New Roman" w:hAnsi="Times New Roman"/>
          <w:noProof/>
          <w:sz w:val="24"/>
          <w:szCs w:val="24"/>
        </w:rPr>
      </w:pPr>
      <w:r>
        <w:rPr>
          <w:rFonts w:ascii="Times New Roman" w:hAnsi="Times New Roman"/>
          <w:bCs/>
          <w:noProof/>
        </w:rPr>
        <w:t>V členských státech se na vnitrostátním posouzení rizik v rámci své vnitrostátní odpovědnosti podílela řada příslušných subjektů, např. orgány v oblasti kybernetické bezpečnosti, telekomunikací, bezpečnosti a zpravodajských služeb. Výsledkem bylo posílen</w:t>
      </w:r>
      <w:r>
        <w:rPr>
          <w:rFonts w:ascii="Times New Roman" w:hAnsi="Times New Roman"/>
          <w:bCs/>
          <w:noProof/>
        </w:rPr>
        <w:t>í jejich spolupráce a koordinace.</w:t>
      </w:r>
      <w:r>
        <w:rPr>
          <w:rFonts w:ascii="Times New Roman" w:hAnsi="Times New Roman"/>
          <w:noProof/>
        </w:rPr>
        <w:t xml:space="preserve"> Některé členské státy již s ohledem na své vnitrostátní harmonogramy zavádění 5G podnikly souběžné kroky k posílení příslušných bezpečnostních požadavků v této oblasti a několik dalších členských států vyjádřilo svůj záměr</w:t>
      </w:r>
      <w:r>
        <w:rPr>
          <w:rFonts w:ascii="Times New Roman" w:hAnsi="Times New Roman"/>
          <w:noProof/>
        </w:rPr>
        <w:t xml:space="preserve"> zvážit nová opatření v blízké budoucnosti.</w:t>
      </w:r>
    </w:p>
    <w:p w:rsidR="00530477" w:rsidRDefault="00600272">
      <w:pPr>
        <w:spacing w:after="240" w:line="240" w:lineRule="auto"/>
        <w:jc w:val="both"/>
        <w:rPr>
          <w:rFonts w:ascii="Times New Roman" w:hAnsi="Times New Roman"/>
          <w:noProof/>
          <w:sz w:val="24"/>
          <w:szCs w:val="24"/>
        </w:rPr>
      </w:pPr>
      <w:r>
        <w:rPr>
          <w:rFonts w:ascii="Times New Roman" w:hAnsi="Times New Roman"/>
          <w:noProof/>
        </w:rPr>
        <w:t xml:space="preserve">Na základě výsledků </w:t>
      </w:r>
      <w:r>
        <w:rPr>
          <w:rFonts w:ascii="Times New Roman" w:hAnsi="Times New Roman"/>
          <w:bCs/>
          <w:iCs/>
          <w:noProof/>
        </w:rPr>
        <w:t>vnitrostátního posouzení rizik</w:t>
      </w:r>
      <w:r>
        <w:rPr>
          <w:rFonts w:ascii="Times New Roman" w:hAnsi="Times New Roman"/>
          <w:noProof/>
        </w:rPr>
        <w:t xml:space="preserve"> vypracují orgány členských států pro kybernetickou bezpečnost v rámci skupiny pro spolupráci v oblasti bezpečnosti sítí a informací</w:t>
      </w:r>
      <w:r>
        <w:rPr>
          <w:rStyle w:val="FootnoteReference"/>
          <w:noProof/>
        </w:rPr>
        <w:footnoteReference w:id="41"/>
      </w:r>
      <w:r>
        <w:rPr>
          <w:rFonts w:ascii="Times New Roman" w:hAnsi="Times New Roman"/>
          <w:noProof/>
        </w:rPr>
        <w:t xml:space="preserve"> do 1. října 2019 </w:t>
      </w:r>
      <w:r>
        <w:rPr>
          <w:rFonts w:ascii="Times New Roman" w:hAnsi="Times New Roman"/>
          <w:b/>
          <w:noProof/>
        </w:rPr>
        <w:t>společný př</w:t>
      </w:r>
      <w:r>
        <w:rPr>
          <w:rFonts w:ascii="Times New Roman" w:hAnsi="Times New Roman"/>
          <w:b/>
          <w:noProof/>
        </w:rPr>
        <w:t>ezkum rizik na úrovni EU</w:t>
      </w:r>
      <w:r>
        <w:rPr>
          <w:rFonts w:ascii="Times New Roman" w:hAnsi="Times New Roman"/>
          <w:noProof/>
        </w:rPr>
        <w:t xml:space="preserve">, jenž bude představovat druhou fázi procesu zahájeného doporučením. Na základě tohoto přezkumu pak skupina pro spolupráci ve třetí fázi do 31. prosince 2019 připraví </w:t>
      </w:r>
      <w:r>
        <w:rPr>
          <w:rFonts w:ascii="Times New Roman" w:hAnsi="Times New Roman"/>
          <w:b/>
          <w:noProof/>
        </w:rPr>
        <w:t>společnou unijní sadu zmírňujících opatření</w:t>
      </w:r>
      <w:r>
        <w:rPr>
          <w:rFonts w:ascii="Times New Roman" w:hAnsi="Times New Roman"/>
          <w:noProof/>
        </w:rPr>
        <w:t>, jež budou zjištěná r</w:t>
      </w:r>
      <w:r>
        <w:rPr>
          <w:rFonts w:ascii="Times New Roman" w:hAnsi="Times New Roman"/>
          <w:noProof/>
        </w:rPr>
        <w:t xml:space="preserve">izika řešit. Komise a Agentura EU pro kybernetickou bezpečnost budou provádění tohoto doporučení nadále podporovat. </w:t>
      </w:r>
    </w:p>
    <w:p w:rsidR="00530477" w:rsidRDefault="00600272">
      <w:pPr>
        <w:spacing w:after="240" w:line="240" w:lineRule="auto"/>
        <w:jc w:val="both"/>
        <w:rPr>
          <w:rFonts w:ascii="Times New Roman" w:eastAsia="Calibri" w:hAnsi="Times New Roman"/>
          <w:bCs/>
          <w:noProof/>
          <w:sz w:val="24"/>
          <w:szCs w:val="24"/>
        </w:rPr>
      </w:pPr>
      <w:r>
        <w:rPr>
          <w:rFonts w:ascii="Times New Roman" w:hAnsi="Times New Roman"/>
          <w:noProof/>
        </w:rPr>
        <w:t xml:space="preserve">Práci v rámci skupiny pro spolupráci v oblasti bezpečnosti sítí a informací podporuje několik dalších fór. Sdružení evropských regulačních </w:t>
      </w:r>
      <w:r>
        <w:rPr>
          <w:rFonts w:ascii="Times New Roman" w:hAnsi="Times New Roman"/>
          <w:noProof/>
        </w:rPr>
        <w:t>orgánů v oblasti elektronických komunikací připravuje průzkum ohledně všech stávajících bezpečnostních opatření, která mohou být pro sítě 5G relevantní. Nová specializovaná skupina odborníků v rámci Agentury EU pro kybernetickou bezpečnost zahájila práci n</w:t>
      </w:r>
      <w:r>
        <w:rPr>
          <w:rFonts w:ascii="Times New Roman" w:hAnsi="Times New Roman"/>
          <w:noProof/>
        </w:rPr>
        <w:t>a přezkumu hrozeb spojených se sítěmi 5G.</w:t>
      </w:r>
      <w:r>
        <w:rPr>
          <w:rFonts w:ascii="Times New Roman" w:hAnsi="Times New Roman"/>
          <w:bCs/>
          <w:noProof/>
        </w:rPr>
        <w:t xml:space="preserve"> Kromě toho v návaznosti na vstup aktu o kybernetické bezpečnosti v platnost dne 27. června 2019 podniknou Komise a Agentura EU pro kybernetickou bezpečnost veškeré nezbytné kroky k vytvoření celounijního certifikač</w:t>
      </w:r>
      <w:r>
        <w:rPr>
          <w:rFonts w:ascii="Times New Roman" w:hAnsi="Times New Roman"/>
          <w:bCs/>
          <w:noProof/>
        </w:rPr>
        <w:t xml:space="preserve">ního rámce. </w:t>
      </w:r>
      <w:r>
        <w:rPr>
          <w:rFonts w:ascii="Times New Roman" w:hAnsi="Times New Roman"/>
          <w:noProof/>
        </w:rPr>
        <w:t xml:space="preserve">Členské státy se rovněž v červnu 2019 sešly </w:t>
      </w:r>
      <w:r>
        <w:rPr>
          <w:rFonts w:ascii="Times New Roman" w:hAnsi="Times New Roman"/>
          <w:bCs/>
          <w:noProof/>
        </w:rPr>
        <w:t>ve Výboru pro normy s cílem projednat v reakci na doporučení kybernetickou bezpečnost a normalizaci a diskutovat jednak o budoucích výzvách pro normalizaci v oblasti kybernetické bezpečnosti, včetně s</w:t>
      </w:r>
      <w:r>
        <w:rPr>
          <w:rFonts w:ascii="Times New Roman" w:hAnsi="Times New Roman"/>
          <w:bCs/>
          <w:noProof/>
        </w:rPr>
        <w:t>ítí 5G, jednak o vhodných politických iniciativách na úrovni EU.</w:t>
      </w:r>
    </w:p>
    <w:p w:rsidR="00530477" w:rsidRDefault="00600272">
      <w:pPr>
        <w:spacing w:after="240" w:line="240" w:lineRule="auto"/>
        <w:jc w:val="both"/>
        <w:rPr>
          <w:rFonts w:ascii="Times New Roman" w:hAnsi="Times New Roman"/>
          <w:noProof/>
          <w:color w:val="000000"/>
          <w:sz w:val="24"/>
          <w:szCs w:val="24"/>
        </w:rPr>
      </w:pPr>
      <w:r>
        <w:rPr>
          <w:rFonts w:ascii="Times New Roman" w:hAnsi="Times New Roman"/>
          <w:noProof/>
        </w:rPr>
        <w:t xml:space="preserve">V neposlední řadě má bezpečnost sítí 5G pro Unii strategický význam. Zahraniční investice ve strategických odvětvích, akvizice kritických aktiv, technologií a infrastruktury v Unii a dodávky </w:t>
      </w:r>
      <w:r>
        <w:rPr>
          <w:rFonts w:ascii="Times New Roman" w:hAnsi="Times New Roman"/>
          <w:noProof/>
        </w:rPr>
        <w:t xml:space="preserve">kritických zařízení mohou pro Unii znamenat také bezpečnostní riziko. </w:t>
      </w:r>
    </w:p>
    <w:p w:rsidR="00530477" w:rsidRDefault="00600272">
      <w:pPr>
        <w:spacing w:after="240" w:line="240" w:lineRule="auto"/>
        <w:jc w:val="both"/>
        <w:rPr>
          <w:rFonts w:ascii="Times New Roman" w:hAnsi="Times New Roman"/>
          <w:noProof/>
          <w:color w:val="000000"/>
          <w:sz w:val="24"/>
          <w:szCs w:val="24"/>
        </w:rPr>
      </w:pPr>
      <w:r>
        <w:rPr>
          <w:rFonts w:ascii="Times New Roman" w:hAnsi="Times New Roman"/>
          <w:bCs/>
          <w:noProof/>
        </w:rPr>
        <w:t xml:space="preserve">Dne 10. dubna 2019 vstoupil v platnost nový </w:t>
      </w:r>
      <w:r>
        <w:rPr>
          <w:rFonts w:ascii="Times New Roman" w:hAnsi="Times New Roman"/>
          <w:b/>
          <w:bCs/>
          <w:noProof/>
        </w:rPr>
        <w:t>rámec EU pro prověřování přímých zahraničních investic</w:t>
      </w:r>
      <w:r>
        <w:rPr>
          <w:rStyle w:val="FootnoteReference"/>
          <w:bCs/>
          <w:noProof/>
        </w:rPr>
        <w:footnoteReference w:id="42"/>
      </w:r>
      <w:r>
        <w:rPr>
          <w:rFonts w:ascii="Times New Roman" w:hAnsi="Times New Roman"/>
          <w:bCs/>
          <w:noProof/>
        </w:rPr>
        <w:t xml:space="preserve">. </w:t>
      </w:r>
      <w:r>
        <w:rPr>
          <w:rFonts w:ascii="Times New Roman" w:hAnsi="Times New Roman"/>
          <w:noProof/>
        </w:rPr>
        <w:t xml:space="preserve">V příštích 18 měsících podniknou Komise a členské státy nezbytné kroky, kterými </w:t>
      </w:r>
      <w:r>
        <w:rPr>
          <w:rFonts w:ascii="Times New Roman" w:hAnsi="Times New Roman"/>
          <w:noProof/>
        </w:rPr>
        <w:t>zajistí, aby EU mohla nařízení o prověřování investic plně uplatňovat od 11. října 2020.</w:t>
      </w:r>
    </w:p>
    <w:p w:rsidR="00530477" w:rsidRDefault="00600272">
      <w:pPr>
        <w:spacing w:after="240" w:line="240" w:lineRule="auto"/>
        <w:rPr>
          <w:rFonts w:ascii="Times New Roman" w:hAnsi="Times New Roman" w:cs="Times New Roman"/>
          <w:b/>
          <w:bCs/>
          <w:noProof/>
          <w:sz w:val="24"/>
          <w:szCs w:val="24"/>
        </w:rPr>
      </w:pPr>
      <w:r>
        <w:rPr>
          <w:rFonts w:ascii="Times New Roman" w:hAnsi="Times New Roman"/>
          <w:b/>
          <w:bCs/>
          <w:noProof/>
        </w:rPr>
        <w:t xml:space="preserve">IV. </w:t>
      </w:r>
      <w:r>
        <w:rPr>
          <w:rFonts w:ascii="Times New Roman" w:hAnsi="Times New Roman"/>
          <w:b/>
          <w:bCs/>
          <w:noProof/>
        </w:rPr>
        <w:tab/>
        <w:t xml:space="preserve">BOJ PROTI PRANÍ PENĚZ </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rPr>
        <w:t xml:space="preserve">Díky možnosti převádět finanční prostředky mezi bankovními účty v řádu hodin mohou zločinci a teroristé snadněji připravovat své teroristické činy nebo v různých členských státech nelegálně prát výnosy z trestné činnosti. </w:t>
      </w:r>
      <w:r>
        <w:rPr>
          <w:rFonts w:ascii="Times New Roman" w:hAnsi="Times New Roman"/>
          <w:iCs/>
          <w:noProof/>
        </w:rPr>
        <w:t>S cílem řešit tento problém vyvinu</w:t>
      </w:r>
      <w:r>
        <w:rPr>
          <w:rFonts w:ascii="Times New Roman" w:hAnsi="Times New Roman"/>
          <w:iCs/>
          <w:noProof/>
        </w:rPr>
        <w:t xml:space="preserve">la Unie pevný </w:t>
      </w:r>
      <w:r>
        <w:rPr>
          <w:rFonts w:ascii="Times New Roman" w:hAnsi="Times New Roman"/>
          <w:b/>
          <w:iCs/>
          <w:noProof/>
        </w:rPr>
        <w:t>regulační rámec pro boj proti praní peněz a financování terorismu</w:t>
      </w:r>
      <w:r>
        <w:rPr>
          <w:rFonts w:ascii="Times New Roman" w:hAnsi="Times New Roman"/>
          <w:iCs/>
          <w:noProof/>
        </w:rPr>
        <w:t xml:space="preserve"> v souladu s mezinárodními normami přijatými Finančním akčním výborem.</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Vzhledem k potřebě držet krok s novými trendy, technologickým vývojem a důmyslností zločinců při využívání</w:t>
      </w:r>
      <w:r>
        <w:rPr>
          <w:rFonts w:ascii="Times New Roman" w:hAnsi="Times New Roman"/>
          <w:iCs/>
          <w:noProof/>
        </w:rPr>
        <w:t xml:space="preserve"> každé slabiny v systému přijala Komise dne 24. července 2019 </w:t>
      </w:r>
      <w:r>
        <w:rPr>
          <w:rFonts w:ascii="Times New Roman" w:hAnsi="Times New Roman"/>
          <w:b/>
          <w:iCs/>
          <w:noProof/>
        </w:rPr>
        <w:t>balíček čtyř zpráv</w:t>
      </w:r>
      <w:r>
        <w:rPr>
          <w:rFonts w:ascii="Times New Roman" w:hAnsi="Times New Roman"/>
          <w:iCs/>
          <w:noProof/>
        </w:rPr>
        <w:t>, které analyzují současná rizika a zranitelná místa v souvislosti s praním peněz a hodnotí způsob, jakým rámec uplatňují příslušné subjekty v soukromém i veřejném sektoru</w:t>
      </w:r>
      <w:r>
        <w:rPr>
          <w:rStyle w:val="FootnoteReference"/>
          <w:iCs/>
          <w:noProof/>
        </w:rPr>
        <w:footnoteReference w:id="43"/>
      </w:r>
      <w:r>
        <w:rPr>
          <w:noProof/>
        </w:rPr>
        <w:t>.</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So</w:t>
      </w:r>
      <w:r>
        <w:rPr>
          <w:rFonts w:ascii="Times New Roman" w:hAnsi="Times New Roman"/>
          <w:iCs/>
          <w:noProof/>
        </w:rPr>
        <w:t xml:space="preserve">učástí balíčku je </w:t>
      </w:r>
      <w:r>
        <w:rPr>
          <w:rFonts w:ascii="Times New Roman" w:hAnsi="Times New Roman"/>
          <w:b/>
          <w:iCs/>
          <w:noProof/>
        </w:rPr>
        <w:t>posouzení možného propojení vnitrostátních centralizovaných registrů bankovních účtů a systémů vyhledávání dat</w:t>
      </w:r>
      <w:r>
        <w:rPr>
          <w:rFonts w:ascii="Times New Roman" w:hAnsi="Times New Roman"/>
          <w:iCs/>
          <w:noProof/>
        </w:rPr>
        <w:t xml:space="preserve"> v EU. </w:t>
      </w:r>
      <w:r>
        <w:rPr>
          <w:rFonts w:ascii="Times New Roman" w:hAnsi="Times New Roman"/>
          <w:noProof/>
        </w:rPr>
        <w:t>Tyto vnitrostátní centralizované systémy umožňují identifikaci fyzických nebo právnických osob, které mají nebo kontroluj</w:t>
      </w:r>
      <w:r>
        <w:rPr>
          <w:rFonts w:ascii="Times New Roman" w:hAnsi="Times New Roman"/>
          <w:noProof/>
        </w:rPr>
        <w:t>í platební a bankovní účty a bezpečnostní schránky, a poskytují tak informace, jež jsou často pro příslušné orgány v boji proti praní peněz a financování terorismu nepostradatelné. Podle páté směrnice o boji proti praní peněz</w:t>
      </w:r>
      <w:r>
        <w:rPr>
          <w:rStyle w:val="FootnoteReference"/>
          <w:iCs/>
          <w:noProof/>
        </w:rPr>
        <w:footnoteReference w:id="44"/>
      </w:r>
      <w:r>
        <w:rPr>
          <w:rFonts w:ascii="Times New Roman" w:hAnsi="Times New Roman"/>
          <w:iCs/>
          <w:noProof/>
        </w:rPr>
        <w:t xml:space="preserve"> musí členské státy tyto vnitr</w:t>
      </w:r>
      <w:r>
        <w:rPr>
          <w:rFonts w:ascii="Times New Roman" w:hAnsi="Times New Roman"/>
          <w:iCs/>
          <w:noProof/>
        </w:rPr>
        <w:t>ostátní centralizované systémy zavést a poskytnout k nim přímý přístup vnitrostátním finančním zpravodajským jednotkám. Nedávno přijatá pravidla usnadňující využívání finančních informací v boji proti závažné trestné činnosti</w:t>
      </w:r>
      <w:r>
        <w:rPr>
          <w:rStyle w:val="FootnoteReference"/>
          <w:iCs/>
          <w:noProof/>
        </w:rPr>
        <w:footnoteReference w:id="45"/>
      </w:r>
      <w:r>
        <w:rPr>
          <w:rFonts w:ascii="Times New Roman" w:hAnsi="Times New Roman"/>
          <w:iCs/>
          <w:noProof/>
        </w:rPr>
        <w:t xml:space="preserve"> poskytují určeným donucovacím</w:t>
      </w:r>
      <w:r>
        <w:rPr>
          <w:rFonts w:ascii="Times New Roman" w:hAnsi="Times New Roman"/>
          <w:iCs/>
          <w:noProof/>
        </w:rPr>
        <w:t xml:space="preserve"> orgánům a úřadům pro vyhledávání majetku z trestné činnosti přímý přístup do vnitrostátních centralizovaných registrů bankovních účtů</w:t>
      </w:r>
      <w:r>
        <w:rPr>
          <w:iCs/>
          <w:noProof/>
        </w:rPr>
        <w:t>.</w:t>
      </w:r>
      <w:r>
        <w:rPr>
          <w:rFonts w:ascii="Times New Roman" w:hAnsi="Times New Roman"/>
          <w:iCs/>
          <w:noProof/>
        </w:rPr>
        <w:t xml:space="preserve"> Na tomto základě a v souladu s požadavky směrnice o boji proti praní peněz zpráva posuzuje různá řešení IT na úrovni EU,</w:t>
      </w:r>
      <w:r>
        <w:rPr>
          <w:rFonts w:ascii="Times New Roman" w:hAnsi="Times New Roman"/>
          <w:iCs/>
          <w:noProof/>
        </w:rPr>
        <w:t xml:space="preserve"> která již fungují nebo se vyvíjejí a která mohou sloužit jako vzor pro možné propojení vnitrostátních centralizovaných systémů. </w:t>
      </w:r>
      <w:r>
        <w:rPr>
          <w:rFonts w:ascii="Times New Roman" w:hAnsi="Times New Roman"/>
          <w:noProof/>
        </w:rPr>
        <w:t>Vzhledem k tomu, že budoucí celounijní propojení centralizovaných mechanismů by urychlilo přístup k finančním informacím a usna</w:t>
      </w:r>
      <w:r>
        <w:rPr>
          <w:rFonts w:ascii="Times New Roman" w:hAnsi="Times New Roman"/>
          <w:noProof/>
        </w:rPr>
        <w:t>dnilo přeshraniční spolupráci příslušných orgánů, má Komise v úmyslu vést další konzultace s příslušnými zúčastněnými stranami, vládami i finančními zpravodajskými jednotkami, donucovacími orgány a úřady pro vyhledávání majetku z trestné činnosti jakožto p</w:t>
      </w:r>
      <w:r>
        <w:rPr>
          <w:rFonts w:ascii="Times New Roman" w:hAnsi="Times New Roman"/>
          <w:noProof/>
        </w:rPr>
        <w:t>otenciálními „koncovými uživateli“ případného propojeného systému.</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V rámci úvah Komise o práci </w:t>
      </w:r>
      <w:r>
        <w:rPr>
          <w:rFonts w:ascii="Times New Roman" w:hAnsi="Times New Roman"/>
          <w:b/>
          <w:iCs/>
          <w:noProof/>
        </w:rPr>
        <w:t>finančních zpravodajských jednotek</w:t>
      </w:r>
      <w:r>
        <w:rPr>
          <w:rFonts w:ascii="Times New Roman" w:hAnsi="Times New Roman"/>
          <w:iCs/>
          <w:noProof/>
        </w:rPr>
        <w:t xml:space="preserve"> se zpráva posuzující </w:t>
      </w:r>
      <w:r>
        <w:rPr>
          <w:rFonts w:ascii="Times New Roman" w:hAnsi="Times New Roman"/>
          <w:b/>
          <w:iCs/>
          <w:noProof/>
        </w:rPr>
        <w:t>spolupráci mezi těmito jednotkami</w:t>
      </w:r>
      <w:r>
        <w:rPr>
          <w:rFonts w:ascii="Times New Roman" w:hAnsi="Times New Roman"/>
          <w:iCs/>
          <w:noProof/>
        </w:rPr>
        <w:t xml:space="preserve"> zabývá jednak spoluprací v rámci Unie, jednak spoluprací s třetími země</w:t>
      </w:r>
      <w:r>
        <w:rPr>
          <w:rFonts w:ascii="Times New Roman" w:hAnsi="Times New Roman"/>
          <w:iCs/>
          <w:noProof/>
        </w:rPr>
        <w:t>mi</w:t>
      </w:r>
      <w:r>
        <w:rPr>
          <w:rStyle w:val="FootnoteReference"/>
          <w:iCs/>
          <w:noProof/>
        </w:rPr>
        <w:footnoteReference w:id="46"/>
      </w:r>
      <w:r>
        <w:rPr>
          <w:noProof/>
        </w:rPr>
        <w:t>.</w:t>
      </w:r>
      <w:r>
        <w:rPr>
          <w:rFonts w:ascii="Times New Roman" w:hAnsi="Times New Roman"/>
          <w:iCs/>
          <w:noProof/>
        </w:rPr>
        <w:t xml:space="preserve"> Uvádí některé nedostatky, které budou pravděpodobně nadále existovat, dokud nebudou úkoly a povinnosti finančních zpravodajských jednotek v oblasti přeshraniční spolupráce v právním rámci EU pro boj proti praní peněz a financování terorismu jasněji vy</w:t>
      </w:r>
      <w:r>
        <w:rPr>
          <w:rFonts w:ascii="Times New Roman" w:hAnsi="Times New Roman"/>
          <w:iCs/>
          <w:noProof/>
        </w:rPr>
        <w:t>mezeny. Z posouzení rovněž vyplývá, že je zapotřebí účinnější mechanismus pro koordinaci a podporu přeshraniční spolupráce a analýzy.</w:t>
      </w:r>
    </w:p>
    <w:p w:rsidR="00530477" w:rsidRDefault="00600272">
      <w:pPr>
        <w:widowControl w:val="0"/>
        <w:spacing w:after="240" w:line="240" w:lineRule="auto"/>
        <w:jc w:val="both"/>
        <w:rPr>
          <w:rFonts w:ascii="Times New Roman" w:hAnsi="Times New Roman" w:cs="Times New Roman"/>
          <w:b/>
          <w:bCs/>
          <w:noProof/>
          <w:sz w:val="24"/>
          <w:szCs w:val="24"/>
        </w:rPr>
      </w:pPr>
      <w:r>
        <w:rPr>
          <w:rFonts w:ascii="Times New Roman" w:hAnsi="Times New Roman"/>
          <w:noProof/>
        </w:rPr>
        <w:t>Vedle stávajících opatření v rámci boje proti praní peněz a financování terorismu bude Komise – rovněž v reakci na výzvu E</w:t>
      </w:r>
      <w:r>
        <w:rPr>
          <w:rFonts w:ascii="Times New Roman" w:hAnsi="Times New Roman"/>
          <w:noProof/>
        </w:rPr>
        <w:t>vropského parlamentu</w:t>
      </w:r>
      <w:r>
        <w:rPr>
          <w:rStyle w:val="FootnoteReference"/>
          <w:noProof/>
        </w:rPr>
        <w:footnoteReference w:id="47"/>
      </w:r>
      <w:r>
        <w:rPr>
          <w:rFonts w:ascii="Times New Roman" w:hAnsi="Times New Roman"/>
          <w:noProof/>
        </w:rPr>
        <w:t xml:space="preserve"> – i nadále posuzovat nezbytnost, technickou proveditelnost a přiměřenost dalších opatření pro sledování financování terorismu v EU</w:t>
      </w:r>
      <w:r>
        <w:rPr>
          <w:rStyle w:val="FootnoteReference"/>
          <w:noProof/>
        </w:rPr>
        <w:footnoteReference w:id="48"/>
      </w:r>
      <w:r>
        <w:rPr>
          <w:noProof/>
        </w:rPr>
        <w:t>.</w:t>
      </w:r>
    </w:p>
    <w:p w:rsidR="00530477" w:rsidRDefault="00600272">
      <w:pPr>
        <w:spacing w:after="240" w:line="240" w:lineRule="auto"/>
        <w:rPr>
          <w:rFonts w:ascii="Times New Roman" w:hAnsi="Times New Roman" w:cs="Times New Roman"/>
          <w:noProof/>
          <w:sz w:val="24"/>
          <w:szCs w:val="24"/>
        </w:rPr>
      </w:pPr>
      <w:r>
        <w:rPr>
          <w:rFonts w:ascii="Times New Roman" w:hAnsi="Times New Roman"/>
          <w:b/>
          <w:bCs/>
          <w:noProof/>
        </w:rPr>
        <w:t>V. PROVÁDĚNÍ DALŠÍCH PRIORIT V OBLASTI BEZPEČNOSTI</w:t>
      </w:r>
    </w:p>
    <w:p w:rsidR="00530477" w:rsidRDefault="00600272">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i/>
          <w:iCs/>
          <w:noProof/>
        </w:rPr>
        <w:t xml:space="preserve">1.      Provádění legislativních opatření v rámci </w:t>
      </w:r>
      <w:r>
        <w:rPr>
          <w:rFonts w:ascii="Times New Roman" w:hAnsi="Times New Roman"/>
          <w:i/>
          <w:iCs/>
          <w:noProof/>
        </w:rPr>
        <w:t>bezpečnostní unie</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Dosažení dohody o opatřeních v rámci bezpečnostní unie nestačí. Naprosto nezbytné je rovněž zajistit, aby členské státy následně daná opatření rychle a v úplnosti provedly, aby se mohl plně projevit jejich přínos. Za tímto účelem Komise č</w:t>
      </w:r>
      <w:r>
        <w:rPr>
          <w:rFonts w:ascii="Times New Roman" w:hAnsi="Times New Roman"/>
          <w:iCs/>
          <w:noProof/>
        </w:rPr>
        <w:t xml:space="preserve">lenské státy aktivně podporuje, mimo jiné prostřednictvím financování a usnadňování výměny osvědčených postupů. </w:t>
      </w:r>
      <w:r>
        <w:rPr>
          <w:rFonts w:ascii="Times New Roman" w:hAnsi="Times New Roman"/>
          <w:iCs/>
          <w:noProof/>
        </w:rPr>
        <w:br/>
        <w:t>V případě potřeby je však Komise připravena plně využívat své pravomoci podle Smluv k prosazování práva EU, včetně případných řízení o nesplněn</w:t>
      </w:r>
      <w:r>
        <w:rPr>
          <w:rFonts w:ascii="Times New Roman" w:hAnsi="Times New Roman"/>
          <w:iCs/>
          <w:noProof/>
        </w:rPr>
        <w:t>í povinnosti.</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Lhůta pro provedení </w:t>
      </w:r>
      <w:r>
        <w:rPr>
          <w:rFonts w:ascii="Times New Roman" w:hAnsi="Times New Roman"/>
          <w:b/>
          <w:iCs/>
          <w:noProof/>
        </w:rPr>
        <w:t>směrnice EU o jmenné evidenci cestujících</w:t>
      </w:r>
      <w:r>
        <w:rPr>
          <w:rFonts w:ascii="Times New Roman" w:eastAsia="Calibri" w:hAnsi="Times New Roman" w:cs="Times New Roman"/>
          <w:iCs/>
          <w:noProof/>
          <w:vertAlign w:val="superscript"/>
        </w:rPr>
        <w:footnoteReference w:id="49"/>
      </w:r>
      <w:r>
        <w:rPr>
          <w:rFonts w:ascii="Times New Roman" w:hAnsi="Times New Roman"/>
          <w:iCs/>
          <w:noProof/>
        </w:rPr>
        <w:t xml:space="preserve"> uplynula dne 25. května 2018. </w:t>
      </w:r>
      <w:r>
        <w:rPr>
          <w:rFonts w:ascii="Times New Roman" w:hAnsi="Times New Roman"/>
          <w:noProof/>
        </w:rPr>
        <w:t>K dnešnímu dni oznámilo Komisi úplné provedení 25 členských států</w:t>
      </w:r>
      <w:r>
        <w:rPr>
          <w:rStyle w:val="FootnoteReference"/>
          <w:noProof/>
        </w:rPr>
        <w:footnoteReference w:id="50"/>
      </w:r>
      <w:r>
        <w:rPr>
          <w:noProof/>
        </w:rPr>
        <w:t>.</w:t>
      </w:r>
      <w:r>
        <w:rPr>
          <w:rFonts w:ascii="Times New Roman" w:hAnsi="Times New Roman"/>
          <w:iCs/>
          <w:noProof/>
        </w:rPr>
        <w:t xml:space="preserve"> Směrnici stále plně neprovedly dva členské státy, a to navzdory řízení o nesplněn</w:t>
      </w:r>
      <w:r>
        <w:rPr>
          <w:rFonts w:ascii="Times New Roman" w:hAnsi="Times New Roman"/>
          <w:iCs/>
          <w:noProof/>
        </w:rPr>
        <w:t>í povinnosti, které bylo zahájeno dne 19. července 2018</w:t>
      </w:r>
      <w:r>
        <w:rPr>
          <w:rStyle w:val="FootnoteReference"/>
          <w:iCs/>
          <w:noProof/>
        </w:rPr>
        <w:footnoteReference w:id="51"/>
      </w:r>
      <w:r>
        <w:rPr>
          <w:noProof/>
        </w:rPr>
        <w:t>.</w:t>
      </w:r>
      <w:r>
        <w:rPr>
          <w:rFonts w:ascii="Times New Roman" w:hAnsi="Times New Roman"/>
          <w:iCs/>
          <w:noProof/>
        </w:rPr>
        <w:t xml:space="preserve"> Současně Komise i nadále podporuje všechny členské státy v jejich úsilí o dokončení vývoje systémů jmenné evidence cestujících, včetně usnadnění výměny informací a osvědčených postupů. </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Lhůta pro pr</w:t>
      </w:r>
      <w:r>
        <w:rPr>
          <w:rFonts w:ascii="Times New Roman" w:hAnsi="Times New Roman"/>
          <w:iCs/>
          <w:noProof/>
        </w:rPr>
        <w:t xml:space="preserve">ovedení </w:t>
      </w:r>
      <w:r>
        <w:rPr>
          <w:rFonts w:ascii="Times New Roman" w:hAnsi="Times New Roman"/>
          <w:b/>
          <w:bCs/>
          <w:iCs/>
          <w:noProof/>
        </w:rPr>
        <w:t>směrnice o boji proti terorismu</w:t>
      </w:r>
      <w:r>
        <w:rPr>
          <w:rFonts w:ascii="Times New Roman" w:eastAsia="Calibri" w:hAnsi="Times New Roman" w:cs="Times New Roman"/>
          <w:iCs/>
          <w:noProof/>
          <w:vertAlign w:val="superscript"/>
        </w:rPr>
        <w:footnoteReference w:id="52"/>
      </w:r>
      <w:r>
        <w:rPr>
          <w:rFonts w:ascii="Times New Roman" w:hAnsi="Times New Roman"/>
          <w:iCs/>
          <w:noProof/>
        </w:rPr>
        <w:t xml:space="preserve"> uplynula dne 8. září 2018. </w:t>
      </w:r>
      <w:r>
        <w:rPr>
          <w:rFonts w:ascii="Times New Roman" w:hAnsi="Times New Roman"/>
          <w:noProof/>
        </w:rPr>
        <w:t>K dnešnímu dni oznámilo Komisi úplné provedení 22 členských států.</w:t>
      </w:r>
      <w:r>
        <w:rPr>
          <w:rFonts w:ascii="Times New Roman" w:hAnsi="Times New Roman"/>
          <w:iCs/>
          <w:noProof/>
        </w:rPr>
        <w:t xml:space="preserve"> Tři členské státy přijetí vnitrostátních právních předpisů, kterými plně provádějí směrnici, dosud neoznámily, a to navzd</w:t>
      </w:r>
      <w:r>
        <w:rPr>
          <w:rFonts w:ascii="Times New Roman" w:hAnsi="Times New Roman"/>
          <w:iCs/>
          <w:noProof/>
        </w:rPr>
        <w:t>ory řízení o nesplnění povinnosti, které bylo zahájeno dne 22. listopadu 2018</w:t>
      </w:r>
      <w:r>
        <w:rPr>
          <w:rFonts w:ascii="Times New Roman" w:eastAsia="Calibri" w:hAnsi="Times New Roman" w:cs="Times New Roman"/>
          <w:iCs/>
          <w:noProof/>
          <w:vertAlign w:val="superscript"/>
        </w:rPr>
        <w:footnoteReference w:id="53"/>
      </w:r>
      <w:r>
        <w:rPr>
          <w:rFonts w:ascii="Times New Roman" w:hAnsi="Times New Roman"/>
          <w:iCs/>
          <w:noProof/>
        </w:rPr>
        <w:t>.</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Lhůta pro provedení </w:t>
      </w:r>
      <w:r>
        <w:rPr>
          <w:rFonts w:ascii="Times New Roman" w:hAnsi="Times New Roman"/>
          <w:b/>
          <w:iCs/>
          <w:noProof/>
        </w:rPr>
        <w:t>směrnice o kontrole nabývání a držení zbraní</w:t>
      </w:r>
      <w:r>
        <w:rPr>
          <w:rFonts w:ascii="Times New Roman" w:eastAsia="Calibri" w:hAnsi="Times New Roman" w:cs="Times New Roman"/>
          <w:iCs/>
          <w:noProof/>
          <w:vertAlign w:val="superscript"/>
        </w:rPr>
        <w:footnoteReference w:id="54"/>
      </w:r>
      <w:r>
        <w:rPr>
          <w:rFonts w:ascii="Times New Roman" w:hAnsi="Times New Roman"/>
          <w:iCs/>
          <w:noProof/>
        </w:rPr>
        <w:t xml:space="preserve"> uplynula dne 14. září 2018. </w:t>
      </w:r>
      <w:r>
        <w:rPr>
          <w:rFonts w:ascii="Times New Roman" w:hAnsi="Times New Roman"/>
          <w:noProof/>
        </w:rPr>
        <w:t>K dnešnímu dni oznámilo Komisi úplné provedení osm členských států.</w:t>
      </w:r>
      <w:r>
        <w:rPr>
          <w:rFonts w:ascii="Times New Roman" w:hAnsi="Times New Roman"/>
          <w:iCs/>
          <w:noProof/>
        </w:rPr>
        <w:t xml:space="preserve"> Dvacet členský</w:t>
      </w:r>
      <w:r>
        <w:rPr>
          <w:rFonts w:ascii="Times New Roman" w:hAnsi="Times New Roman"/>
          <w:iCs/>
          <w:noProof/>
        </w:rPr>
        <w:t>ch států přijetí vnitrostátních opatření, kterými plně provádějí směrnici, dosud neoznámilo, a to navzdory řízení o nesplnění povinnosti, které bylo zahájeno dne 22. listopadu 2018</w:t>
      </w:r>
      <w:r>
        <w:rPr>
          <w:rStyle w:val="FootnoteReference"/>
          <w:iCs/>
          <w:noProof/>
        </w:rPr>
        <w:footnoteReference w:id="55"/>
      </w:r>
      <w:r>
        <w:rPr>
          <w:noProof/>
        </w:rPr>
        <w:t>.</w:t>
      </w:r>
      <w:r>
        <w:rPr>
          <w:rFonts w:ascii="Times New Roman" w:hAnsi="Times New Roman"/>
          <w:iCs/>
          <w:noProof/>
        </w:rPr>
        <w:t xml:space="preserve">  </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Lhůta pro provedení </w:t>
      </w:r>
      <w:r>
        <w:rPr>
          <w:rFonts w:ascii="Times New Roman" w:hAnsi="Times New Roman"/>
          <w:b/>
          <w:noProof/>
        </w:rPr>
        <w:t>směrnice o ochraně údajů při prosazování práva</w:t>
      </w:r>
      <w:r>
        <w:rPr>
          <w:rStyle w:val="FootnoteReference"/>
          <w:noProof/>
        </w:rPr>
        <w:footnoteReference w:id="56"/>
      </w:r>
      <w:r>
        <w:rPr>
          <w:rFonts w:ascii="Times New Roman" w:hAnsi="Times New Roman"/>
          <w:noProof/>
        </w:rPr>
        <w:t xml:space="preserve"> ve </w:t>
      </w:r>
      <w:r>
        <w:rPr>
          <w:rFonts w:ascii="Times New Roman" w:hAnsi="Times New Roman"/>
          <w:noProof/>
        </w:rPr>
        <w:t>vnitrostátním právu uplynula dne 6. května 2018. K dnešnímu dni oznámilo Komisi úplné provedení 20 členských států</w:t>
      </w:r>
      <w:r>
        <w:rPr>
          <w:rStyle w:val="FootnoteReference"/>
          <w:noProof/>
        </w:rPr>
        <w:footnoteReference w:id="57"/>
      </w:r>
      <w:r>
        <w:rPr>
          <w:noProof/>
        </w:rPr>
        <w:t>.</w:t>
      </w:r>
      <w:r>
        <w:rPr>
          <w:rFonts w:ascii="Times New Roman" w:hAnsi="Times New Roman"/>
          <w:iCs/>
          <w:noProof/>
        </w:rPr>
        <w:t xml:space="preserve"> Sedm členských států přijetí vnitrostátních opatření, kterými plně provádějí směrnici, dosud neoznámilo, a to navzdory řízení o nesplnění p</w:t>
      </w:r>
      <w:r>
        <w:rPr>
          <w:rFonts w:ascii="Times New Roman" w:hAnsi="Times New Roman"/>
          <w:iCs/>
          <w:noProof/>
        </w:rPr>
        <w:t>ovinnosti, které Komise zahájila dne 19. července 2018</w:t>
      </w:r>
      <w:r>
        <w:rPr>
          <w:rStyle w:val="FootnoteReference"/>
          <w:noProof/>
        </w:rPr>
        <w:footnoteReference w:id="58"/>
      </w:r>
      <w:r>
        <w:rPr>
          <w:noProof/>
        </w:rPr>
        <w:t>.</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Členské státy měly do 9. května 2018 ve vnitrostátním právu provést </w:t>
      </w:r>
      <w:r>
        <w:rPr>
          <w:rFonts w:ascii="Times New Roman" w:hAnsi="Times New Roman"/>
          <w:b/>
          <w:noProof/>
        </w:rPr>
        <w:t>směrnici o bezpečnosti sítí a informačních systémů</w:t>
      </w:r>
      <w:r>
        <w:rPr>
          <w:rStyle w:val="FootnoteReference"/>
          <w:b/>
          <w:noProof/>
        </w:rPr>
        <w:footnoteReference w:id="59"/>
      </w:r>
      <w:r>
        <w:rPr>
          <w:rFonts w:ascii="Times New Roman" w:hAnsi="Times New Roman"/>
          <w:noProof/>
        </w:rPr>
        <w:t xml:space="preserve">. K dnešnímu dni oznámilo Komisi úplné provedení 26 členských států a dva </w:t>
      </w:r>
      <w:r>
        <w:rPr>
          <w:rFonts w:ascii="Times New Roman" w:hAnsi="Times New Roman"/>
          <w:noProof/>
        </w:rPr>
        <w:t>členské státy provedly směrnici částečně</w:t>
      </w:r>
      <w:r>
        <w:rPr>
          <w:rStyle w:val="FootnoteReference"/>
          <w:noProof/>
        </w:rPr>
        <w:footnoteReference w:id="60"/>
      </w:r>
      <w:r>
        <w:rPr>
          <w:noProof/>
        </w:rPr>
        <w:t>.</w:t>
      </w:r>
      <w:r>
        <w:rPr>
          <w:rFonts w:ascii="Times New Roman" w:hAnsi="Times New Roman"/>
          <w:noProof/>
        </w:rPr>
        <w:t xml:space="preserve"> Kromě toho měly členské státy v souladu se směrnicí určit do 9. listopadu 2018 provozovatele základních služeb. Do 9. května 2019 měla Komise Evropskému parlamentu a Radě předložit zprávu, v níž by vyhodnotila, zd</w:t>
      </w:r>
      <w:r>
        <w:rPr>
          <w:rFonts w:ascii="Times New Roman" w:hAnsi="Times New Roman"/>
          <w:noProof/>
        </w:rPr>
        <w:t>a jsou přístupy členských států, pokud jde o proces určování provozovatelů základních služeb na jejich území, konzistentní. Jelikož však dosud řada členských států nepředložila ohledně procesu určování úplné informace, musela Komise svou zprávu odložit.</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Ko</w:t>
      </w:r>
      <w:r>
        <w:rPr>
          <w:rFonts w:ascii="Times New Roman" w:hAnsi="Times New Roman"/>
          <w:iCs/>
          <w:noProof/>
        </w:rPr>
        <w:t xml:space="preserve">mise nyní posuzuje provedení </w:t>
      </w:r>
      <w:r>
        <w:rPr>
          <w:rFonts w:ascii="Times New Roman" w:hAnsi="Times New Roman"/>
          <w:b/>
          <w:iCs/>
          <w:noProof/>
        </w:rPr>
        <w:t>čtvrté směrnice o boji proti praní peněz</w:t>
      </w:r>
      <w:r>
        <w:rPr>
          <w:rFonts w:ascii="Times New Roman" w:eastAsia="Calibri" w:hAnsi="Times New Roman" w:cs="Times New Roman"/>
          <w:iCs/>
          <w:noProof/>
          <w:vertAlign w:val="superscript"/>
        </w:rPr>
        <w:footnoteReference w:id="61"/>
      </w:r>
      <w:r>
        <w:rPr>
          <w:rFonts w:ascii="Times New Roman" w:hAnsi="Times New Roman"/>
          <w:iCs/>
          <w:noProof/>
        </w:rPr>
        <w:t xml:space="preserve"> a zároveň ověřuje, zda členské státy tato pravidla provádějí. Komise vede řízení o nesplnění povinnosti vůči 24 členským státům, neboť na základě informací od členských států usoudila, </w:t>
      </w:r>
      <w:r>
        <w:rPr>
          <w:rFonts w:ascii="Times New Roman" w:hAnsi="Times New Roman"/>
          <w:iCs/>
          <w:noProof/>
        </w:rPr>
        <w:t>že směrnice není v plném rozsahu provedena</w:t>
      </w:r>
      <w:r>
        <w:rPr>
          <w:rFonts w:ascii="Times New Roman" w:eastAsia="Calibri" w:hAnsi="Times New Roman" w:cs="Times New Roman"/>
          <w:iCs/>
          <w:noProof/>
          <w:vertAlign w:val="superscript"/>
        </w:rPr>
        <w:footnoteReference w:id="62"/>
      </w:r>
      <w:r>
        <w:rPr>
          <w:rFonts w:ascii="Times New Roman" w:hAnsi="Times New Roman"/>
          <w:iCs/>
          <w:noProof/>
        </w:rPr>
        <w:t xml:space="preserve">.  </w:t>
      </w:r>
    </w:p>
    <w:p w:rsidR="00530477" w:rsidRDefault="00600272">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Komise naléhavě vyzývá členské státy, aby přijaly nezbytná opatření k úplnému provedení následujících směrnic ve vnitrostátním právu a oznámily je Komisi:</w:t>
      </w:r>
    </w:p>
    <w:tbl>
      <w:tblPr>
        <w:tblStyle w:val="TableGrid"/>
        <w:tblW w:w="0" w:type="auto"/>
        <w:shd w:val="clear" w:color="auto" w:fill="DBE5F1" w:themeFill="accent1" w:themeFillTint="33"/>
        <w:tblLook w:val="04A0" w:firstRow="1" w:lastRow="0" w:firstColumn="1" w:lastColumn="0" w:noHBand="0" w:noVBand="1"/>
      </w:tblPr>
      <w:tblGrid>
        <w:gridCol w:w="9288"/>
      </w:tblGrid>
      <w:tr w:rsidR="00530477">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30477" w:rsidRDefault="00600272">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směrnice EU o jmenné evidenci cestujících</w:t>
            </w:r>
            <w:r>
              <w:rPr>
                <w:rFonts w:ascii="Times New Roman" w:hAnsi="Times New Roman"/>
                <w:noProof/>
              </w:rPr>
              <w:t>, u níž dosud</w:t>
            </w:r>
            <w:r>
              <w:rPr>
                <w:rFonts w:ascii="Times New Roman" w:hAnsi="Times New Roman"/>
                <w:noProof/>
              </w:rPr>
              <w:t xml:space="preserve"> jeden členský stát neoznámil provedení ve vnitrostátním právu a jeden členský stát musí oznámení o provedení dokončit</w:t>
            </w:r>
            <w:r>
              <w:rPr>
                <w:rStyle w:val="FootnoteReference"/>
                <w:noProof/>
              </w:rPr>
              <w:footnoteReference w:id="63"/>
            </w:r>
            <w:r>
              <w:rPr>
                <w:noProof/>
              </w:rPr>
              <w:t>,</w:t>
            </w:r>
          </w:p>
          <w:p w:rsidR="00530477" w:rsidRDefault="00600272">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směrnice o boji proti terorismu</w:t>
            </w:r>
            <w:r>
              <w:rPr>
                <w:rFonts w:ascii="Times New Roman" w:hAnsi="Times New Roman"/>
                <w:noProof/>
              </w:rPr>
              <w:t>, u níž dosud dva členské státy neoznámily provedení ve vnitrostátním právu a jeden členský stát musí oz</w:t>
            </w:r>
            <w:r>
              <w:rPr>
                <w:rFonts w:ascii="Times New Roman" w:hAnsi="Times New Roman"/>
                <w:noProof/>
              </w:rPr>
              <w:t>námení o provedení dokončit</w:t>
            </w:r>
            <w:r>
              <w:rPr>
                <w:rStyle w:val="FootnoteReference"/>
                <w:noProof/>
              </w:rPr>
              <w:footnoteReference w:id="64"/>
            </w:r>
            <w:r>
              <w:rPr>
                <w:noProof/>
              </w:rPr>
              <w:t>,</w:t>
            </w:r>
          </w:p>
          <w:p w:rsidR="00530477" w:rsidRDefault="00600272">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směrnice o kontrole nabývání a držení zbraní</w:t>
            </w:r>
            <w:r>
              <w:rPr>
                <w:rFonts w:ascii="Times New Roman" w:hAnsi="Times New Roman"/>
                <w:noProof/>
              </w:rPr>
              <w:t>, u níž dosud dvanáct členských států neoznámilo provedení ve vnitrostátním právu a osm členských států musí oznámení o provedení dokončit</w:t>
            </w:r>
            <w:r>
              <w:rPr>
                <w:rStyle w:val="FootnoteReference"/>
                <w:noProof/>
              </w:rPr>
              <w:footnoteReference w:id="65"/>
            </w:r>
            <w:r>
              <w:rPr>
                <w:noProof/>
              </w:rPr>
              <w:t>,</w:t>
            </w:r>
            <w:r>
              <w:rPr>
                <w:rFonts w:ascii="Times New Roman" w:hAnsi="Times New Roman"/>
                <w:noProof/>
              </w:rPr>
              <w:t xml:space="preserve"> </w:t>
            </w:r>
          </w:p>
          <w:p w:rsidR="00530477" w:rsidRDefault="00600272">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směrnice o ochraně údajů při prosazování</w:t>
            </w:r>
            <w:r>
              <w:rPr>
                <w:rFonts w:ascii="Times New Roman" w:hAnsi="Times New Roman"/>
                <w:b/>
                <w:noProof/>
              </w:rPr>
              <w:t xml:space="preserve"> práva</w:t>
            </w:r>
            <w:r>
              <w:rPr>
                <w:rFonts w:ascii="Times New Roman" w:hAnsi="Times New Roman"/>
                <w:noProof/>
              </w:rPr>
              <w:t>, u níž dosud dva členské státy neoznámily provedení ve vnitrostátním právu a pět členských států musí oznámení o provedení dokončit</w:t>
            </w:r>
            <w:r>
              <w:rPr>
                <w:rStyle w:val="FootnoteReference"/>
                <w:noProof/>
              </w:rPr>
              <w:footnoteReference w:id="66"/>
            </w:r>
            <w:r>
              <w:rPr>
                <w:noProof/>
              </w:rPr>
              <w:t>,</w:t>
            </w:r>
          </w:p>
          <w:p w:rsidR="00530477" w:rsidRDefault="00600272">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směrnice o bezpečnosti sítí a informačních systémů</w:t>
            </w:r>
            <w:r>
              <w:rPr>
                <w:rFonts w:ascii="Times New Roman" w:hAnsi="Times New Roman"/>
                <w:noProof/>
              </w:rPr>
              <w:t>, u níž stále musí dva členské státy dokončit oznámení o proveden</w:t>
            </w:r>
            <w:r>
              <w:rPr>
                <w:rFonts w:ascii="Times New Roman" w:hAnsi="Times New Roman"/>
                <w:noProof/>
              </w:rPr>
              <w:t>í</w:t>
            </w:r>
            <w:r>
              <w:rPr>
                <w:rStyle w:val="FootnoteReference"/>
                <w:noProof/>
              </w:rPr>
              <w:footnoteReference w:id="67"/>
            </w:r>
            <w:r>
              <w:rPr>
                <w:noProof/>
              </w:rPr>
              <w:t>,</w:t>
            </w:r>
            <w:r>
              <w:rPr>
                <w:rFonts w:ascii="Times New Roman" w:hAnsi="Times New Roman"/>
                <w:noProof/>
              </w:rPr>
              <w:t xml:space="preserve"> a</w:t>
            </w:r>
          </w:p>
          <w:p w:rsidR="00530477" w:rsidRDefault="00600272">
            <w:pPr>
              <w:pStyle w:val="ListParagraph"/>
              <w:numPr>
                <w:ilvl w:val="0"/>
                <w:numId w:val="20"/>
              </w:numPr>
              <w:ind w:left="357" w:hanging="357"/>
              <w:jc w:val="both"/>
              <w:rPr>
                <w:rFonts w:ascii="Times New Roman" w:hAnsi="Times New Roman" w:cs="Times New Roman"/>
                <w:noProof/>
                <w:color w:val="FF0000"/>
                <w:sz w:val="24"/>
                <w:szCs w:val="24"/>
              </w:rPr>
            </w:pPr>
            <w:r>
              <w:rPr>
                <w:rFonts w:ascii="Times New Roman" w:hAnsi="Times New Roman"/>
                <w:b/>
                <w:noProof/>
              </w:rPr>
              <w:t>čtvrtá směrnice o boji proti praní peněz</w:t>
            </w:r>
            <w:r>
              <w:rPr>
                <w:rFonts w:ascii="Times New Roman" w:hAnsi="Times New Roman"/>
                <w:noProof/>
              </w:rPr>
              <w:t>, u níž stále musí 24 členských států dokončit oznámení o provedení</w:t>
            </w:r>
            <w:r>
              <w:rPr>
                <w:rStyle w:val="FootnoteReference"/>
                <w:noProof/>
              </w:rPr>
              <w:footnoteReference w:id="68"/>
            </w:r>
            <w:r>
              <w:rPr>
                <w:noProof/>
              </w:rPr>
              <w:t>.</w:t>
            </w:r>
          </w:p>
        </w:tc>
      </w:tr>
    </w:tbl>
    <w:p w:rsidR="00530477" w:rsidRDefault="00600272">
      <w:pPr>
        <w:spacing w:before="240" w:after="240" w:line="240" w:lineRule="auto"/>
        <w:jc w:val="both"/>
        <w:rPr>
          <w:rFonts w:ascii="Times New Roman" w:eastAsia="Calibri" w:hAnsi="Times New Roman" w:cs="Times New Roman"/>
          <w:i/>
          <w:iCs/>
          <w:noProof/>
          <w:color w:val="FF0000"/>
          <w:sz w:val="24"/>
          <w:szCs w:val="24"/>
        </w:rPr>
      </w:pPr>
      <w:r>
        <w:rPr>
          <w:rFonts w:ascii="Times New Roman" w:hAnsi="Times New Roman"/>
          <w:i/>
          <w:iCs/>
          <w:noProof/>
        </w:rPr>
        <w:t xml:space="preserve">2. Boj proti dezinformacím a ochrana voleb před dalšími kybernetickými hrozbami  </w:t>
      </w:r>
    </w:p>
    <w:p w:rsidR="00530477" w:rsidRDefault="00600272">
      <w:p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rPr>
        <w:t xml:space="preserve">Ochrana demokratických procesů a institucí před dezinformacemi a souvisejícími zásahy je významným úkolem pro společnosti na celém světě. Ve snaze přispět k řešení tohoto problému zavedla EU </w:t>
      </w:r>
      <w:r>
        <w:rPr>
          <w:rFonts w:ascii="Times New Roman" w:hAnsi="Times New Roman"/>
          <w:b/>
          <w:noProof/>
        </w:rPr>
        <w:t>pevný rámec pro koordinovaná opatření proti dezinformacím</w:t>
      </w:r>
      <w:r>
        <w:rPr>
          <w:rFonts w:ascii="Times New Roman" w:hAnsi="Times New Roman"/>
          <w:noProof/>
        </w:rPr>
        <w:t xml:space="preserve">, který </w:t>
      </w:r>
      <w:r>
        <w:rPr>
          <w:rFonts w:ascii="Times New Roman" w:hAnsi="Times New Roman"/>
          <w:noProof/>
        </w:rPr>
        <w:t>plně respektuje evropské hodnoty a základní práva</w:t>
      </w:r>
      <w:r>
        <w:rPr>
          <w:rStyle w:val="FootnoteReference"/>
          <w:noProof/>
        </w:rPr>
        <w:footnoteReference w:id="69"/>
      </w:r>
      <w:r>
        <w:rPr>
          <w:noProof/>
        </w:rPr>
        <w:t>.</w:t>
      </w:r>
      <w:r>
        <w:rPr>
          <w:rFonts w:ascii="Times New Roman" w:hAnsi="Times New Roman"/>
          <w:noProof/>
        </w:rPr>
        <w:t xml:space="preserve"> Jak je uvedeno ve společném sdělení ze dne 14. června 2019 o provádění akčního plánu proti dezinformacím</w:t>
      </w:r>
      <w:r>
        <w:rPr>
          <w:rStyle w:val="FootnoteReference"/>
          <w:noProof/>
        </w:rPr>
        <w:footnoteReference w:id="70"/>
      </w:r>
      <w:r>
        <w:rPr>
          <w:rFonts w:ascii="Times New Roman" w:hAnsi="Times New Roman"/>
          <w:noProof/>
        </w:rPr>
        <w:t>, opatření v několika vzájemně se doplňujících oblastech pomohla eliminovat prostor pro dezinformac</w:t>
      </w:r>
      <w:r>
        <w:rPr>
          <w:rFonts w:ascii="Times New Roman" w:hAnsi="Times New Roman"/>
          <w:noProof/>
        </w:rPr>
        <w:t>e a zachovat integritu voleb do Evropského parlamentu.</w:t>
      </w:r>
    </w:p>
    <w:p w:rsidR="00530477" w:rsidRDefault="00530477">
      <w:pPr>
        <w:spacing w:after="240" w:line="240" w:lineRule="auto"/>
        <w:contextualSpacing/>
        <w:jc w:val="both"/>
        <w:rPr>
          <w:rFonts w:ascii="Times New Roman" w:eastAsia="Times New Roman" w:hAnsi="Times New Roman" w:cs="Times New Roman"/>
          <w:noProof/>
          <w:sz w:val="24"/>
          <w:szCs w:val="24"/>
        </w:rPr>
      </w:pPr>
    </w:p>
    <w:p w:rsidR="00530477" w:rsidRDefault="00600272">
      <w:pPr>
        <w:spacing w:after="240" w:line="240" w:lineRule="auto"/>
        <w:contextualSpacing/>
        <w:jc w:val="both"/>
        <w:rPr>
          <w:rFonts w:ascii="Times New Roman" w:hAnsi="Times New Roman" w:cs="Times New Roman"/>
          <w:noProof/>
          <w:sz w:val="24"/>
          <w:szCs w:val="24"/>
        </w:rPr>
      </w:pPr>
      <w:r>
        <w:rPr>
          <w:rFonts w:ascii="Times New Roman" w:hAnsi="Times New Roman"/>
          <w:noProof/>
        </w:rPr>
        <w:t>Evropská rada ve svých závěrech ze dne 21. června 2019</w:t>
      </w:r>
      <w:r>
        <w:rPr>
          <w:rStyle w:val="FootnoteReference"/>
          <w:noProof/>
        </w:rPr>
        <w:footnoteReference w:id="71"/>
      </w:r>
      <w:r>
        <w:rPr>
          <w:rFonts w:ascii="Times New Roman" w:hAnsi="Times New Roman"/>
          <w:noProof/>
        </w:rPr>
        <w:t xml:space="preserve"> přivítala záměr Komise provést důkladné hodnocení plnění závazků, jež na základě </w:t>
      </w:r>
      <w:r>
        <w:rPr>
          <w:rFonts w:ascii="Times New Roman" w:hAnsi="Times New Roman"/>
          <w:b/>
          <w:noProof/>
        </w:rPr>
        <w:t>kodexu zásad boje proti dezinformacím</w:t>
      </w:r>
      <w:r>
        <w:rPr>
          <w:rStyle w:val="FootnoteReference"/>
          <w:noProof/>
        </w:rPr>
        <w:footnoteReference w:id="72"/>
      </w:r>
      <w:r>
        <w:rPr>
          <w:rFonts w:ascii="Times New Roman" w:hAnsi="Times New Roman"/>
          <w:noProof/>
        </w:rPr>
        <w:t xml:space="preserve"> přijali on-line platform</w:t>
      </w:r>
      <w:r>
        <w:rPr>
          <w:rFonts w:ascii="Times New Roman" w:hAnsi="Times New Roman"/>
          <w:noProof/>
        </w:rPr>
        <w:t xml:space="preserve">y a další signatáři, a vyzvala Komisi a vysokou představitelku Unie pro zahraniční věci a bezpečnostní politiku k tomu, aby průběžně posuzovaly </w:t>
      </w:r>
      <w:r>
        <w:rPr>
          <w:rFonts w:ascii="Times New Roman" w:hAnsi="Times New Roman"/>
          <w:i/>
          <w:noProof/>
        </w:rPr>
        <w:t>vyvíjející se povahu hrozeb a rostoucí riziko nepřátelského vměšování a on-line manipulace v souvislosti s rozvo</w:t>
      </w:r>
      <w:r>
        <w:rPr>
          <w:rFonts w:ascii="Times New Roman" w:hAnsi="Times New Roman"/>
          <w:i/>
          <w:noProof/>
        </w:rPr>
        <w:t>jem umělé inteligence a technik sběru dat</w:t>
      </w:r>
      <w:r>
        <w:rPr>
          <w:rFonts w:ascii="Times New Roman" w:hAnsi="Times New Roman"/>
          <w:noProof/>
        </w:rPr>
        <w:t xml:space="preserve"> a náležitě na ně reagovaly.</w:t>
      </w:r>
    </w:p>
    <w:p w:rsidR="00530477" w:rsidRDefault="00530477">
      <w:pPr>
        <w:spacing w:after="240" w:line="240" w:lineRule="auto"/>
        <w:contextualSpacing/>
        <w:jc w:val="both"/>
        <w:rPr>
          <w:rFonts w:ascii="Times New Roman" w:eastAsia="Times New Roman" w:hAnsi="Times New Roman" w:cs="Times New Roman"/>
          <w:noProof/>
          <w:sz w:val="24"/>
          <w:szCs w:val="24"/>
        </w:rPr>
      </w:pPr>
    </w:p>
    <w:p w:rsidR="00530477" w:rsidRDefault="00600272">
      <w:pPr>
        <w:spacing w:after="240" w:line="240" w:lineRule="auto"/>
        <w:jc w:val="both"/>
        <w:rPr>
          <w:rFonts w:ascii="Times New Roman" w:hAnsi="Times New Roman" w:cs="Times New Roman"/>
          <w:noProof/>
          <w:sz w:val="24"/>
          <w:szCs w:val="24"/>
        </w:rPr>
      </w:pPr>
      <w:r>
        <w:rPr>
          <w:rFonts w:ascii="Times New Roman" w:hAnsi="Times New Roman"/>
          <w:noProof/>
        </w:rPr>
        <w:t xml:space="preserve">Komise a vysoká představitelka budou pokračovat v práci v této oblasti v souladu se závěry Evropské rady. </w:t>
      </w:r>
      <w:r>
        <w:rPr>
          <w:rFonts w:ascii="Times New Roman" w:hAnsi="Times New Roman"/>
          <w:iCs/>
          <w:noProof/>
        </w:rPr>
        <w:t xml:space="preserve">V březnu 2019 Komise a vysoká představitelka zřídily </w:t>
      </w:r>
      <w:r>
        <w:rPr>
          <w:rFonts w:ascii="Times New Roman" w:hAnsi="Times New Roman"/>
          <w:b/>
          <w:iCs/>
          <w:noProof/>
        </w:rPr>
        <w:t>systém rychlého varování</w:t>
      </w:r>
      <w:r>
        <w:rPr>
          <w:rFonts w:ascii="Times New Roman" w:hAnsi="Times New Roman"/>
          <w:iCs/>
          <w:noProof/>
        </w:rPr>
        <w:t xml:space="preserve"> m</w:t>
      </w:r>
      <w:r>
        <w:rPr>
          <w:rFonts w:ascii="Times New Roman" w:hAnsi="Times New Roman"/>
          <w:iCs/>
          <w:noProof/>
        </w:rPr>
        <w:t>ezi orgány EU a členskými státy, jehož cílem je usnadnit sdílení informací týkajících se dezinformačních kampaní a koordinovat příslušné reakce. První schůzka kontaktních osob členských států po volbách do Evropského parlamentu se uskutečnila v Tallinu ve </w:t>
      </w:r>
      <w:r>
        <w:rPr>
          <w:rFonts w:ascii="Times New Roman" w:hAnsi="Times New Roman"/>
          <w:iCs/>
          <w:noProof/>
        </w:rPr>
        <w:t xml:space="preserve">dnech 3.–4. června 2019. Na podzim 2019 vysoká představitelka a Komise v úzké spolupráci s členskými státy provedou přezkum fungování systému s cílem jej dále posílit. </w:t>
      </w:r>
      <w:r>
        <w:rPr>
          <w:rFonts w:ascii="Times New Roman" w:hAnsi="Times New Roman"/>
          <w:noProof/>
        </w:rPr>
        <w:t>Vypracují rovněž společnou metodiku pro analýzu a expozici dezinformačních kampaní a zin</w:t>
      </w:r>
      <w:r>
        <w:rPr>
          <w:rFonts w:ascii="Times New Roman" w:hAnsi="Times New Roman"/>
          <w:noProof/>
        </w:rPr>
        <w:t>tenzivní partnerství s mezinárodními partnery, jako je skupina G7 a NATO.</w:t>
      </w:r>
    </w:p>
    <w:p w:rsidR="00530477" w:rsidRDefault="00600272">
      <w:pPr>
        <w:spacing w:after="240" w:line="240" w:lineRule="auto"/>
        <w:jc w:val="both"/>
        <w:rPr>
          <w:rFonts w:ascii="Times New Roman" w:hAnsi="Times New Roman" w:cs="Times New Roman"/>
          <w:iCs/>
          <w:noProof/>
          <w:sz w:val="24"/>
          <w:szCs w:val="24"/>
        </w:rPr>
      </w:pPr>
      <w:r>
        <w:rPr>
          <w:rFonts w:ascii="Times New Roman" w:hAnsi="Times New Roman"/>
          <w:noProof/>
        </w:rPr>
        <w:t xml:space="preserve">Pokračuje také činnost </w:t>
      </w:r>
      <w:r>
        <w:rPr>
          <w:rFonts w:ascii="Times New Roman" w:hAnsi="Times New Roman"/>
          <w:b/>
          <w:noProof/>
        </w:rPr>
        <w:t>evropské sítě pro volební spolupráci</w:t>
      </w:r>
      <w:r>
        <w:rPr>
          <w:rStyle w:val="FootnoteReference"/>
          <w:noProof/>
        </w:rPr>
        <w:footnoteReference w:id="73"/>
      </w:r>
      <w:r>
        <w:rPr>
          <w:rFonts w:ascii="Times New Roman" w:hAnsi="Times New Roman"/>
          <w:noProof/>
        </w:rPr>
        <w:t xml:space="preserve">, na jejíž první schůzce konané dne 7. června 2019 byly zhodnoceny volby do Evropského parlamentu. Tyto úvahy a další </w:t>
      </w:r>
      <w:r>
        <w:rPr>
          <w:rFonts w:ascii="Times New Roman" w:hAnsi="Times New Roman"/>
          <w:noProof/>
        </w:rPr>
        <w:t xml:space="preserve">příspěvky od příslušných vnitrostátních orgánů, politických stran a online platforem přispějí k souhrnné zprávě Komise o volbách do Evropského parlamentu, která by měla být přijata v říjnu 2019. Členské státy využily síť i v případě jiných voleb než voleb </w:t>
      </w:r>
      <w:r>
        <w:rPr>
          <w:rFonts w:ascii="Times New Roman" w:hAnsi="Times New Roman"/>
          <w:noProof/>
        </w:rPr>
        <w:t>do Evropského parlamentu, což podtrhuje její širší užitečnost pro zajištění integrity demokracie v EU.</w:t>
      </w:r>
    </w:p>
    <w:p w:rsidR="00530477" w:rsidRDefault="00600272">
      <w:pPr>
        <w:spacing w:after="240" w:line="240" w:lineRule="auto"/>
        <w:jc w:val="both"/>
        <w:rPr>
          <w:rFonts w:ascii="Times New Roman" w:hAnsi="Times New Roman" w:cs="Times New Roman"/>
          <w:noProof/>
          <w:sz w:val="24"/>
          <w:szCs w:val="24"/>
        </w:rPr>
      </w:pPr>
      <w:r>
        <w:rPr>
          <w:rFonts w:ascii="Times New Roman" w:hAnsi="Times New Roman"/>
          <w:iCs/>
          <w:noProof/>
        </w:rPr>
        <w:t xml:space="preserve">Komise bude rovněž nadále sledovat a prosazovat plnění závazků, které platformy přijaly v rámci </w:t>
      </w:r>
      <w:r>
        <w:rPr>
          <w:rFonts w:ascii="Times New Roman" w:hAnsi="Times New Roman"/>
          <w:b/>
          <w:iCs/>
          <w:noProof/>
        </w:rPr>
        <w:t>kodexu zásad boje proti dezinformacím</w:t>
      </w:r>
      <w:r>
        <w:rPr>
          <w:rFonts w:ascii="Times New Roman" w:hAnsi="Times New Roman"/>
          <w:iCs/>
          <w:noProof/>
        </w:rPr>
        <w:t>.</w:t>
      </w:r>
      <w:r>
        <w:rPr>
          <w:rFonts w:ascii="Times New Roman" w:hAnsi="Times New Roman"/>
          <w:noProof/>
        </w:rPr>
        <w:t xml:space="preserve"> </w:t>
      </w:r>
      <w:r>
        <w:rPr>
          <w:rFonts w:ascii="Times New Roman" w:hAnsi="Times New Roman"/>
          <w:noProof/>
        </w:rPr>
        <w:br/>
        <w:t>Ze zpráv společno</w:t>
      </w:r>
      <w:r>
        <w:rPr>
          <w:rFonts w:ascii="Times New Roman" w:hAnsi="Times New Roman"/>
          <w:noProof/>
        </w:rPr>
        <w:t>stí Google, Twitter a Facebook podle kodexu vyplývá, že všechny platformy přijaly před volbami do Evropského parlamentu příslušná opatření v podobě označování inzerátů s politickým obsahem a jejich zpřístupnění veřejnosti prostřednictvím internetových knih</w:t>
      </w:r>
      <w:r>
        <w:rPr>
          <w:rFonts w:ascii="Times New Roman" w:hAnsi="Times New Roman"/>
          <w:noProof/>
        </w:rPr>
        <w:t xml:space="preserve">oven s možností vyhledávání. </w:t>
      </w:r>
      <w:r>
        <w:rPr>
          <w:rFonts w:ascii="Times New Roman" w:hAnsi="Times New Roman"/>
          <w:iCs/>
          <w:noProof/>
        </w:rPr>
        <w:t>Jak ale zjistila skupina evropských regulačních orgánů pro audiovizuální mediální služby, existuje prostor pro zlepšení</w:t>
      </w:r>
      <w:r>
        <w:rPr>
          <w:rStyle w:val="FootnoteReference"/>
          <w:iCs/>
          <w:noProof/>
        </w:rPr>
        <w:footnoteReference w:id="74"/>
      </w:r>
      <w:r>
        <w:rPr>
          <w:noProof/>
        </w:rPr>
        <w:t>.</w:t>
      </w:r>
      <w:r>
        <w:rPr>
          <w:rFonts w:ascii="Times New Roman" w:hAnsi="Times New Roman"/>
          <w:iCs/>
          <w:noProof/>
        </w:rPr>
        <w:t xml:space="preserve"> Zejména stále chybí přístup k podrobným nezpracovaným údajům nezbytným pro komplexní sledování. V neposle</w:t>
      </w:r>
      <w:r>
        <w:rPr>
          <w:rFonts w:ascii="Times New Roman" w:hAnsi="Times New Roman"/>
          <w:iCs/>
          <w:noProof/>
        </w:rPr>
        <w:t>dní řadě by platformy měly poskytnout výzkumným pracovníkům odpovídající přístup k datům v souladu s pravidly ochrany osobních údajů. Komise v dalších měsících tohoto roku provede komplexní posouzení plnění všech závazků podle kodexu za prvních 12 měsíců j</w:t>
      </w:r>
      <w:r>
        <w:rPr>
          <w:rFonts w:ascii="Times New Roman" w:hAnsi="Times New Roman"/>
          <w:iCs/>
          <w:noProof/>
        </w:rPr>
        <w:t xml:space="preserve">eho platnosti. </w:t>
      </w:r>
      <w:r>
        <w:rPr>
          <w:rFonts w:ascii="Times New Roman" w:hAnsi="Times New Roman"/>
          <w:noProof/>
        </w:rPr>
        <w:t>Na tomto základě může Komise zvážit další opatření, včetně opatření regulační povahy, jež budou mít za cíl zlepšit reakci EU na dezinformace v dlouhodobém horizontu.</w:t>
      </w:r>
    </w:p>
    <w:p w:rsidR="00530477" w:rsidRDefault="00600272">
      <w:pPr>
        <w:spacing w:after="240" w:line="240" w:lineRule="auto"/>
        <w:jc w:val="both"/>
        <w:rPr>
          <w:rFonts w:ascii="Times New Roman" w:eastAsia="Calibri" w:hAnsi="Times New Roman" w:cs="Times New Roman"/>
          <w:i/>
          <w:iCs/>
          <w:noProof/>
          <w:sz w:val="24"/>
          <w:szCs w:val="24"/>
        </w:rPr>
      </w:pPr>
      <w:r>
        <w:rPr>
          <w:rFonts w:ascii="Times New Roman" w:hAnsi="Times New Roman"/>
          <w:i/>
          <w:iCs/>
          <w:noProof/>
        </w:rPr>
        <w:t xml:space="preserve">3.    Připravenost a ochrana </w:t>
      </w:r>
    </w:p>
    <w:p w:rsidR="00530477" w:rsidRDefault="00600272">
      <w:pPr>
        <w:spacing w:after="240" w:line="240" w:lineRule="auto"/>
        <w:jc w:val="both"/>
        <w:rPr>
          <w:rFonts w:ascii="Times New Roman" w:hAnsi="Times New Roman" w:cs="Times New Roman"/>
          <w:noProof/>
          <w:sz w:val="24"/>
          <w:szCs w:val="24"/>
        </w:rPr>
      </w:pPr>
      <w:r>
        <w:rPr>
          <w:rFonts w:ascii="Times New Roman" w:hAnsi="Times New Roman"/>
          <w:noProof/>
        </w:rPr>
        <w:t>Důležitým aspektem úsilí o vytvoření účinné a</w:t>
      </w:r>
      <w:r>
        <w:rPr>
          <w:rFonts w:ascii="Times New Roman" w:hAnsi="Times New Roman"/>
          <w:noProof/>
        </w:rPr>
        <w:t xml:space="preserve"> skutečné bezpečnostní unie je posilování obrany a odolnosti vůči bezpečnostním hrozbám. Spadá sem jednak podpora, kterou Komise poskytuje členským státům a jejich místním orgánům na posílení </w:t>
      </w:r>
      <w:r>
        <w:rPr>
          <w:rFonts w:ascii="Times New Roman" w:hAnsi="Times New Roman"/>
          <w:b/>
          <w:noProof/>
        </w:rPr>
        <w:t>ochrany veřejných prostor</w:t>
      </w:r>
      <w:r>
        <w:rPr>
          <w:rStyle w:val="FootnoteReference"/>
          <w:noProof/>
        </w:rPr>
        <w:footnoteReference w:id="75"/>
      </w:r>
      <w:r>
        <w:rPr>
          <w:rFonts w:ascii="Times New Roman" w:hAnsi="Times New Roman"/>
          <w:noProof/>
        </w:rPr>
        <w:t>, jednak podpora pro členské státy při</w:t>
      </w:r>
      <w:r>
        <w:rPr>
          <w:rFonts w:ascii="Times New Roman" w:hAnsi="Times New Roman"/>
          <w:noProof/>
        </w:rPr>
        <w:t xml:space="preserve"> zlepšování připravenosti na </w:t>
      </w:r>
      <w:r>
        <w:rPr>
          <w:rFonts w:ascii="Times New Roman" w:hAnsi="Times New Roman"/>
          <w:b/>
          <w:bCs/>
          <w:noProof/>
        </w:rPr>
        <w:t>chemická, biologická, radiologická a jaderná bezpečnostní rizika</w:t>
      </w:r>
      <w:r>
        <w:rPr>
          <w:rStyle w:val="FootnoteReference"/>
          <w:bCs/>
          <w:noProof/>
        </w:rPr>
        <w:footnoteReference w:id="76"/>
      </w:r>
      <w:r>
        <w:rPr>
          <w:rFonts w:ascii="Times New Roman" w:hAnsi="Times New Roman"/>
          <w:noProof/>
        </w:rPr>
        <w:t>, plnění dvou akčních plánů v této oblasti a při analyzování potřeby souvisejících kapacit pro odezvu, jež mají být vybudovány v rámci rescEU</w:t>
      </w:r>
      <w:r>
        <w:rPr>
          <w:rStyle w:val="FootnoteReference"/>
          <w:noProof/>
        </w:rPr>
        <w:footnoteReference w:id="77"/>
      </w:r>
      <w:r>
        <w:rPr>
          <w:noProof/>
        </w:rPr>
        <w:t>.</w:t>
      </w:r>
      <w:r>
        <w:rPr>
          <w:rFonts w:ascii="Times New Roman" w:hAnsi="Times New Roman"/>
          <w:noProof/>
        </w:rPr>
        <w:t xml:space="preserve"> Pokud jde o neustá</w:t>
      </w:r>
      <w:r>
        <w:rPr>
          <w:rFonts w:ascii="Times New Roman" w:hAnsi="Times New Roman"/>
          <w:noProof/>
        </w:rPr>
        <w:t>le se vyvíjející chemické hrozby</w:t>
      </w:r>
      <w:r>
        <w:rPr>
          <w:rFonts w:ascii="Times New Roman" w:hAnsi="Times New Roman" w:cs="Times New Roman"/>
          <w:noProof/>
          <w:vertAlign w:val="superscript"/>
        </w:rPr>
        <w:footnoteReference w:id="78"/>
      </w:r>
      <w:r>
        <w:rPr>
          <w:rFonts w:ascii="Times New Roman" w:hAnsi="Times New Roman"/>
          <w:noProof/>
        </w:rPr>
        <w:t>, Komise ve spolupráci s členskými státy a po konzultaci s mezinárodními partnery vypracovala seznam chemických látek, které představují z hlediska zneužití pro teroristické účely největší nebezpečí. Seznam EU slouží jako z</w:t>
      </w:r>
      <w:r>
        <w:rPr>
          <w:rFonts w:ascii="Times New Roman" w:hAnsi="Times New Roman"/>
          <w:noProof/>
        </w:rPr>
        <w:t>áklad pro další úsilí o snížení dostupnosti těchto chemických látek a pro spolupráci s výrobci na zlepšení kapacit pro detekci.</w:t>
      </w:r>
    </w:p>
    <w:p w:rsidR="00530477" w:rsidRDefault="00600272">
      <w:pPr>
        <w:pStyle w:val="Bodytext20"/>
        <w:shd w:val="clear" w:color="auto" w:fill="auto"/>
        <w:spacing w:line="240" w:lineRule="auto"/>
        <w:rPr>
          <w:rFonts w:ascii="Times New Roman" w:hAnsi="Times New Roman" w:cs="Times New Roman"/>
          <w:noProof/>
          <w:sz w:val="24"/>
          <w:szCs w:val="24"/>
        </w:rPr>
      </w:pPr>
      <w:r>
        <w:rPr>
          <w:rFonts w:ascii="Times New Roman" w:hAnsi="Times New Roman"/>
          <w:noProof/>
        </w:rPr>
        <w:t xml:space="preserve">Technologie používané v oblasti bezpilotních letadel umožňují široké spektrum možných druhů provozu. Trh bezpilotních systémů pro vojenské, civilní a zájmové účely se v posledních letech rychle rozvíjí. </w:t>
      </w:r>
      <w:r>
        <w:rPr>
          <w:rStyle w:val="Bodytext2Bold"/>
          <w:rFonts w:eastAsiaTheme="minorHAnsi"/>
          <w:noProof/>
        </w:rPr>
        <w:t>Drony</w:t>
      </w:r>
      <w:r>
        <w:rPr>
          <w:rFonts w:ascii="Times New Roman" w:hAnsi="Times New Roman"/>
          <w:noProof/>
        </w:rPr>
        <w:t xml:space="preserve"> však představují nejen příležitost, ale i rosto</w:t>
      </w:r>
      <w:r>
        <w:rPr>
          <w:rFonts w:ascii="Times New Roman" w:hAnsi="Times New Roman"/>
          <w:noProof/>
        </w:rPr>
        <w:t>ucí bezpečnostní hrozbu pro kritickou infrastrukturu (včetně letectví), veřejné prostory a veřejné akce, citlivé lokality a jednotlivce. V Evropě byly drony použity k narušení leteckého provozu či operací donucovacích orgánů, k mapování kritické infrastruk</w:t>
      </w:r>
      <w:r>
        <w:rPr>
          <w:rFonts w:ascii="Times New Roman" w:hAnsi="Times New Roman"/>
          <w:noProof/>
        </w:rPr>
        <w:t>tury a pašování zboží do věznic či přes hranice.</w:t>
      </w:r>
    </w:p>
    <w:p w:rsidR="00530477" w:rsidRDefault="00600272">
      <w:pPr>
        <w:spacing w:after="240" w:line="240" w:lineRule="auto"/>
        <w:jc w:val="both"/>
        <w:rPr>
          <w:rFonts w:ascii="Times New Roman" w:hAnsi="Times New Roman" w:cs="Times New Roman"/>
          <w:noProof/>
        </w:rPr>
      </w:pPr>
      <w:r>
        <w:rPr>
          <w:rFonts w:ascii="Times New Roman" w:hAnsi="Times New Roman"/>
          <w:noProof/>
        </w:rPr>
        <w:t xml:space="preserve">Komise podporuje členské státy v boji proti rostoucímu nebezpečí dronů pro občany a zásadní společenské funkce, aniž by se zpochybňovalo jejich prospěšné využití, např. při operacích v mimořádných situacích. Komise nedávno přijala </w:t>
      </w:r>
      <w:r>
        <w:rPr>
          <w:rFonts w:ascii="Times New Roman" w:hAnsi="Times New Roman"/>
          <w:b/>
          <w:bCs/>
          <w:noProof/>
        </w:rPr>
        <w:t xml:space="preserve">společná unijní pravidla </w:t>
      </w:r>
      <w:r>
        <w:rPr>
          <w:rFonts w:ascii="Times New Roman" w:hAnsi="Times New Roman"/>
          <w:b/>
          <w:bCs/>
          <w:noProof/>
        </w:rPr>
        <w:t>týkající se bezpečného provozu dronů</w:t>
      </w:r>
      <w:r>
        <w:rPr>
          <w:rStyle w:val="FootnoteReference"/>
          <w:bCs/>
          <w:noProof/>
        </w:rPr>
        <w:footnoteReference w:id="79"/>
      </w:r>
      <w:r>
        <w:rPr>
          <w:rFonts w:ascii="Times New Roman" w:hAnsi="Times New Roman"/>
          <w:noProof/>
        </w:rPr>
        <w:t xml:space="preserve"> s cílem zmírnit riziko jejich zneužití. Pravidla stanoví povinnou registraci provozovatelů a možnost dálkové identifikace. Komise mimo to podporuje členské státy také tím, že sleduje trendy ve vývoji hrozeb, které před</w:t>
      </w:r>
      <w:r>
        <w:rPr>
          <w:rFonts w:ascii="Times New Roman" w:hAnsi="Times New Roman"/>
          <w:noProof/>
        </w:rPr>
        <w:t>stavují drony, financuje příslušné výzkumné projekty a opatření na budování kapacit a usnadňuje výměnu informací mezi členskými státy a dalšími zúčastněnými stranami. V zájmu posílení této podpory uspořádá Komise dne 17. října 2019 mezinárodní konferenci n</w:t>
      </w:r>
      <w:r>
        <w:rPr>
          <w:rFonts w:ascii="Times New Roman" w:hAnsi="Times New Roman"/>
          <w:noProof/>
        </w:rPr>
        <w:t xml:space="preserve">a vysoké úrovni, jejímž tématem bude boj proti rizikům dronů. </w:t>
      </w:r>
    </w:p>
    <w:p w:rsidR="00530477" w:rsidRDefault="00600272">
      <w:pPr>
        <w:spacing w:after="240" w:line="240" w:lineRule="auto"/>
        <w:jc w:val="both"/>
        <w:rPr>
          <w:noProof/>
          <w:sz w:val="24"/>
          <w:szCs w:val="24"/>
        </w:rPr>
      </w:pPr>
      <w:r>
        <w:rPr>
          <w:rFonts w:ascii="Times New Roman" w:hAnsi="Times New Roman"/>
          <w:noProof/>
        </w:rPr>
        <w:t xml:space="preserve">V reakci na potřebu vnímat politiku EU v oblasti </w:t>
      </w:r>
      <w:r>
        <w:rPr>
          <w:rFonts w:ascii="Times New Roman" w:hAnsi="Times New Roman"/>
          <w:b/>
          <w:noProof/>
        </w:rPr>
        <w:t>ochrany kritické infrastruktury</w:t>
      </w:r>
      <w:r>
        <w:rPr>
          <w:rStyle w:val="FootnoteReference"/>
          <w:noProof/>
        </w:rPr>
        <w:footnoteReference w:id="80"/>
      </w:r>
      <w:r>
        <w:rPr>
          <w:rFonts w:ascii="Times New Roman" w:hAnsi="Times New Roman"/>
          <w:noProof/>
        </w:rPr>
        <w:t xml:space="preserve"> v širších souvislostech předložila Komise dne 23. července 2019 hodnocení směrnice o evropských kritických infr</w:t>
      </w:r>
      <w:r>
        <w:rPr>
          <w:rFonts w:ascii="Times New Roman" w:hAnsi="Times New Roman"/>
          <w:noProof/>
        </w:rPr>
        <w:t>astrukturách</w:t>
      </w:r>
      <w:r>
        <w:rPr>
          <w:rFonts w:ascii="Times New Roman" w:eastAsia="Calibri" w:hAnsi="Times New Roman" w:cs="Times New Roman"/>
          <w:noProof/>
          <w:vertAlign w:val="superscript"/>
        </w:rPr>
        <w:footnoteReference w:id="81"/>
      </w:r>
      <w:r>
        <w:rPr>
          <w:rFonts w:ascii="Times New Roman" w:hAnsi="Times New Roman"/>
          <w:noProof/>
        </w:rPr>
        <w:t xml:space="preserve"> coby právního rámce pro určování a označování takových infrastruktur a pro posouzení potřeby zvýšit jejich ochranu. Z hodnocení vyplynulo, že kontext, v němž kritické infrastruktury v Evropě fungují, se od vstupu směrnice v platnost značně zm</w:t>
      </w:r>
      <w:r>
        <w:rPr>
          <w:rFonts w:ascii="Times New Roman" w:hAnsi="Times New Roman"/>
          <w:noProof/>
        </w:rPr>
        <w:t>ěnil. Jde mimo jiné i o vývoj právních předpisů v odvětvích, na něž se směrnice zaměřuje (např. energetika)</w:t>
      </w:r>
      <w:r>
        <w:rPr>
          <w:rStyle w:val="FootnoteReference"/>
          <w:noProof/>
        </w:rPr>
        <w:footnoteReference w:id="82"/>
      </w:r>
      <w:r>
        <w:rPr>
          <w:rFonts w:ascii="Times New Roman" w:hAnsi="Times New Roman"/>
          <w:noProof/>
        </w:rPr>
        <w:t>, a o to, že relevantnost ustanovení směrnice je v důsledku vývoje situace pouze částečná. Zároveň členské státy vyjadřují soustavnou podporu politi</w:t>
      </w:r>
      <w:r>
        <w:rPr>
          <w:rFonts w:ascii="Times New Roman" w:hAnsi="Times New Roman"/>
          <w:noProof/>
        </w:rPr>
        <w:t>ce EU v oblasti ochrany kritické infrastruktury, která respektuje zásadu subsidiarity a přináší přidanou hodnotu.</w:t>
      </w:r>
    </w:p>
    <w:p w:rsidR="00530477" w:rsidRDefault="00600272">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rPr>
        <w:t>4.      Vnější rozměr</w:t>
      </w:r>
    </w:p>
    <w:p w:rsidR="00530477" w:rsidRDefault="00600272">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Vzhledem k přeshraniční a globální povaze většiny bezpečnostních hrozeb, kterým Unie čelí, se vytváření účinné a skutečn</w:t>
      </w:r>
      <w:r>
        <w:rPr>
          <w:rFonts w:ascii="Times New Roman" w:hAnsi="Times New Roman"/>
          <w:iCs/>
          <w:noProof/>
        </w:rPr>
        <w:t>é bezpečnostní unie neobejde bez spolupráce s mezinárodními organizacemi a partnerskými zeměmi mimo EU.</w:t>
      </w:r>
    </w:p>
    <w:p w:rsidR="00530477" w:rsidRDefault="00600272">
      <w:pPr>
        <w:widowControl w:val="0"/>
        <w:spacing w:after="240" w:line="240" w:lineRule="auto"/>
        <w:jc w:val="both"/>
        <w:rPr>
          <w:rFonts w:ascii="Times New Roman" w:eastAsia="Calibri" w:hAnsi="Times New Roman" w:cs="Times New Roman"/>
          <w:b/>
          <w:bCs/>
          <w:iCs/>
          <w:noProof/>
          <w:sz w:val="24"/>
          <w:szCs w:val="24"/>
        </w:rPr>
      </w:pPr>
      <w:r>
        <w:rPr>
          <w:rFonts w:ascii="Times New Roman" w:hAnsi="Times New Roman"/>
          <w:iCs/>
          <w:noProof/>
        </w:rPr>
        <w:t xml:space="preserve">Nedílnou součástí tohoto úsilí je využívání přínosů mnohostranné spolupráce včetně spolupráce mezi EU a OSN, jež byla nedávno posílena podpisem </w:t>
      </w:r>
      <w:r>
        <w:rPr>
          <w:rFonts w:ascii="Times New Roman" w:hAnsi="Times New Roman"/>
          <w:b/>
          <w:iCs/>
          <w:noProof/>
        </w:rPr>
        <w:t>rámce pr</w:t>
      </w:r>
      <w:r>
        <w:rPr>
          <w:rFonts w:ascii="Times New Roman" w:hAnsi="Times New Roman"/>
          <w:b/>
          <w:iCs/>
          <w:noProof/>
        </w:rPr>
        <w:t>o boj proti terorismu mezi OSN a EU</w:t>
      </w:r>
      <w:r>
        <w:rPr>
          <w:rFonts w:ascii="Times New Roman" w:hAnsi="Times New Roman"/>
          <w:iCs/>
          <w:noProof/>
        </w:rPr>
        <w:t xml:space="preserve"> v New Yorku dne 24. dubna 2019 u příležitosti druhého politického dialogu na vysoké úrovni o boji proti terorismu mezi OSN a EU</w:t>
      </w:r>
      <w:r>
        <w:rPr>
          <w:rStyle w:val="FootnoteReference"/>
          <w:iCs/>
          <w:noProof/>
        </w:rPr>
        <w:footnoteReference w:id="83"/>
      </w:r>
      <w:r>
        <w:rPr>
          <w:noProof/>
        </w:rPr>
        <w:t>.</w:t>
      </w:r>
      <w:r>
        <w:rPr>
          <w:rFonts w:ascii="Times New Roman" w:hAnsi="Times New Roman"/>
          <w:iCs/>
          <w:noProof/>
        </w:rPr>
        <w:t xml:space="preserve"> Rámec podporuje spolupráci v oblasti budování kapacit pro boj proti terorismu a pro předch</w:t>
      </w:r>
      <w:r>
        <w:rPr>
          <w:rFonts w:ascii="Times New Roman" w:hAnsi="Times New Roman"/>
          <w:iCs/>
          <w:noProof/>
        </w:rPr>
        <w:t>ázení násilnému extremismu v Africe, na Blízkém východě a v Asii a boj proti němu. Rámec určuje oblasti spolupráce mezi OSN a EU a priority do roku 2020.</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b/>
          <w:noProof/>
        </w:rPr>
        <w:t>Bezpečnostní spolupráce se západním Balkánem</w:t>
      </w:r>
      <w:r>
        <w:rPr>
          <w:rFonts w:ascii="Times New Roman" w:hAnsi="Times New Roman"/>
          <w:noProof/>
        </w:rPr>
        <w:t xml:space="preserve"> představuje zvláštní regionální prioritu a v jejím rámci se provádí řada prioritních opatření v oblasti bezpečnosti, která byla určena ve strategii pro západní Balkán z roku 2018</w:t>
      </w:r>
      <w:r>
        <w:rPr>
          <w:rStyle w:val="FootnoteReference"/>
          <w:noProof/>
        </w:rPr>
        <w:footnoteReference w:id="84"/>
      </w:r>
      <w:r>
        <w:rPr>
          <w:noProof/>
        </w:rPr>
        <w:t>.</w:t>
      </w:r>
      <w:r>
        <w:rPr>
          <w:rFonts w:ascii="Times New Roman" w:hAnsi="Times New Roman"/>
          <w:noProof/>
        </w:rPr>
        <w:t xml:space="preserve"> Za tímto účelem uspořádala Komise dne 4. dubna 2019 první zasedání meziage</w:t>
      </w:r>
      <w:r>
        <w:rPr>
          <w:rFonts w:ascii="Times New Roman" w:hAnsi="Times New Roman"/>
          <w:noProof/>
        </w:rPr>
        <w:t>nturní pracovní skupiny pro západní Balkán, na němž zástupci sedmi agentur EU sdíleli své zkušenosti a rozšířili operativní spolupráci s partnery v regionu, mimo jiné v oblasti boje proti organizované trestné činnosti, terorismu, palným zbraním, drogám, př</w:t>
      </w:r>
      <w:r>
        <w:rPr>
          <w:rFonts w:ascii="Times New Roman" w:hAnsi="Times New Roman"/>
          <w:noProof/>
        </w:rPr>
        <w:t>evaděčství migrantů a obchodování s lidmi. Ve spolupráci se všemi šesti zeměmi západního Balkánu byly zahájeny průzkumy hybridních rizik. Dalším konkrétním příkladem spolupráce s regionem je dohoda mezi EU a Albánií o postavení jednotek Evropské pohraniční</w:t>
      </w:r>
      <w:r>
        <w:rPr>
          <w:rFonts w:ascii="Times New Roman" w:hAnsi="Times New Roman"/>
          <w:noProof/>
        </w:rPr>
        <w:t xml:space="preserve"> a pobřežní stráže, po jejímž vstupu v platnost dne 1. května 2019 byly brzy jednotky Evropské agentury pro pohraniční a pobřežní stráž vyslány na hranici s Řeckem. Jedná se o první takovou dohodu se třetí zemí i první vyslání jednotek do třetí země. S dal</w:t>
      </w:r>
      <w:r>
        <w:rPr>
          <w:rFonts w:ascii="Times New Roman" w:hAnsi="Times New Roman"/>
          <w:noProof/>
        </w:rPr>
        <w:t xml:space="preserve">šími zeměmi regionu by měly být brzy podepsány podobné dohody. </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Kromě toho byl v červenci 2019 vyslán do Albánie styčný úředník Europolu s cílem dále pomáhat albánským orgánům v rámci předcházení organizované trestné činnosti a boje proti ní. </w:t>
      </w:r>
      <w:r>
        <w:rPr>
          <w:noProof/>
        </w:rPr>
        <w:t>V</w:t>
      </w:r>
      <w:r>
        <w:rPr>
          <w:rFonts w:ascii="Times New Roman" w:hAnsi="Times New Roman"/>
          <w:noProof/>
        </w:rPr>
        <w:t xml:space="preserve"> zájmu zinte</w:t>
      </w:r>
      <w:r>
        <w:rPr>
          <w:rFonts w:ascii="Times New Roman" w:hAnsi="Times New Roman"/>
          <w:noProof/>
        </w:rPr>
        <w:t xml:space="preserve">nzivnění boje proti obchodování s palnými zbraněmi Komise dne 27. června 2019 předložila hodnocení akčního plánu </w:t>
      </w:r>
      <w:r>
        <w:rPr>
          <w:rFonts w:ascii="Times New Roman" w:hAnsi="Times New Roman"/>
          <w:b/>
          <w:noProof/>
        </w:rPr>
        <w:t>proti nedovolenému obchodování s palnými zbraněmi</w:t>
      </w:r>
      <w:r>
        <w:rPr>
          <w:rFonts w:ascii="Times New Roman" w:hAnsi="Times New Roman"/>
          <w:noProof/>
        </w:rPr>
        <w:t xml:space="preserve"> mezi EU a regionem jihovýchodní Evropy pro období 2015–2019</w:t>
      </w:r>
      <w:r>
        <w:rPr>
          <w:rStyle w:val="FootnoteReference"/>
          <w:noProof/>
        </w:rPr>
        <w:footnoteReference w:id="85"/>
      </w:r>
      <w:r>
        <w:rPr>
          <w:noProof/>
        </w:rPr>
        <w:t>.</w:t>
      </w:r>
      <w:r>
        <w:rPr>
          <w:rFonts w:ascii="Times New Roman" w:hAnsi="Times New Roman"/>
          <w:noProof/>
        </w:rPr>
        <w:t xml:space="preserve"> Hodnocení poukazuje na přidanou</w:t>
      </w:r>
      <w:r>
        <w:rPr>
          <w:rFonts w:ascii="Times New Roman" w:hAnsi="Times New Roman"/>
          <w:noProof/>
        </w:rPr>
        <w:t xml:space="preserve"> hodnotu spolupráce, zdůrazňuje však také, že je stále zapotřebí podniknout další kroky, např. pokud jde o zřízení účinných vnitrostátních koordinačních center pro palné zbraně nebo harmonizaci shromažďování údajů a podávání zpráv o zabavování palných zbra</w:t>
      </w:r>
      <w:r>
        <w:rPr>
          <w:rFonts w:ascii="Times New Roman" w:hAnsi="Times New Roman"/>
          <w:noProof/>
        </w:rPr>
        <w:t>ní.</w:t>
      </w:r>
    </w:p>
    <w:p w:rsidR="00530477" w:rsidRDefault="00600272">
      <w:pPr>
        <w:spacing w:before="100" w:beforeAutospacing="1" w:after="240" w:line="240" w:lineRule="auto"/>
        <w:jc w:val="both"/>
        <w:rPr>
          <w:rFonts w:ascii="Helvetica" w:eastAsia="Times New Roman" w:hAnsi="Helvetica" w:cs="Times New Roman"/>
          <w:noProof/>
          <w:color w:val="000000"/>
          <w:sz w:val="18"/>
          <w:szCs w:val="18"/>
        </w:rPr>
      </w:pPr>
      <w:r>
        <w:rPr>
          <w:rFonts w:ascii="Times New Roman" w:hAnsi="Times New Roman"/>
          <w:bCs/>
          <w:noProof/>
        </w:rPr>
        <w:t xml:space="preserve">Stejně prioritní je pro EU i rozvojová </w:t>
      </w:r>
      <w:r>
        <w:rPr>
          <w:rFonts w:ascii="Times New Roman" w:hAnsi="Times New Roman"/>
          <w:b/>
          <w:bCs/>
          <w:noProof/>
        </w:rPr>
        <w:t>spolupráce</w:t>
      </w:r>
      <w:r>
        <w:rPr>
          <w:rFonts w:ascii="Times New Roman" w:hAnsi="Times New Roman"/>
          <w:bCs/>
          <w:noProof/>
        </w:rPr>
        <w:t xml:space="preserve"> v  oblasti bezpečnosti </w:t>
      </w:r>
      <w:r>
        <w:rPr>
          <w:rFonts w:ascii="Times New Roman" w:hAnsi="Times New Roman"/>
          <w:b/>
          <w:bCs/>
          <w:noProof/>
        </w:rPr>
        <w:t>se zeměmi Blízkého východu a severní Afriky</w:t>
      </w:r>
      <w:r>
        <w:rPr>
          <w:rFonts w:ascii="Times New Roman" w:hAnsi="Times New Roman"/>
          <w:bCs/>
          <w:noProof/>
        </w:rPr>
        <w:t>.</w:t>
      </w:r>
      <w:r>
        <w:rPr>
          <w:rFonts w:ascii="Times New Roman" w:hAnsi="Times New Roman"/>
          <w:noProof/>
        </w:rPr>
        <w:t xml:space="preserve"> EU zahájila bezpečnostní dialog s Tuniskem a Alžírskem. Dne 12. června se v Tunisu konalo třetí zasedání dialogu mezi EU a Tuniskem o </w:t>
      </w:r>
      <w:r>
        <w:rPr>
          <w:rFonts w:ascii="Times New Roman" w:hAnsi="Times New Roman"/>
          <w:noProof/>
        </w:rPr>
        <w:t>bezpečnosti a boji proti terorismu a dne 12. listopadu 2018 proběhlo v Alžíru druhé zasedání v rámci podobného dialogu mezi EU a Alžírskem. Probíhají jednání o zahájení strukturovaného bezpečnostního dialogu s Marokem, jež navazují na nedávné zasedání Rady</w:t>
      </w:r>
      <w:r>
        <w:rPr>
          <w:rFonts w:ascii="Times New Roman" w:hAnsi="Times New Roman"/>
          <w:noProof/>
        </w:rPr>
        <w:t xml:space="preserve"> přidružení konané dne 27. června, na němž EU a Maroko uznaly význam prohloubení spolupráce v oblasti bezpečnosti s cílem čelit společným výzvám. Souběžně probíhají jednání, jež mají rozvíjet strukturovaný bezpečnostní dialog s Egyptem, což bylo dále potvr</w:t>
      </w:r>
      <w:r>
        <w:rPr>
          <w:rFonts w:ascii="Times New Roman" w:hAnsi="Times New Roman"/>
          <w:noProof/>
        </w:rPr>
        <w:t>zeno na posledním zasedání vyšších úředníků EU–Egypt, které se konalo dne 10. července v Káhiře.</w:t>
      </w:r>
    </w:p>
    <w:p w:rsidR="00530477" w:rsidRDefault="00600272">
      <w:pPr>
        <w:spacing w:before="100" w:beforeAutospacing="1" w:after="240" w:line="240" w:lineRule="auto"/>
        <w:jc w:val="both"/>
        <w:rPr>
          <w:rFonts w:ascii="Helvetica" w:eastAsia="Times New Roman" w:hAnsi="Helvetica" w:cs="Times New Roman"/>
          <w:noProof/>
          <w:color w:val="000000"/>
          <w:sz w:val="18"/>
          <w:szCs w:val="18"/>
        </w:rPr>
      </w:pPr>
      <w:r>
        <w:rPr>
          <w:rFonts w:ascii="Times New Roman" w:hAnsi="Times New Roman"/>
          <w:noProof/>
        </w:rPr>
        <w:t xml:space="preserve">Na základě mandátu Rady započala Komise neformální rozhovory s většinou zemí </w:t>
      </w:r>
      <w:r>
        <w:rPr>
          <w:rFonts w:ascii="Times New Roman" w:hAnsi="Times New Roman"/>
          <w:b/>
          <w:bCs/>
          <w:noProof/>
        </w:rPr>
        <w:t>Blízkého východu a severní Afriky</w:t>
      </w:r>
      <w:r>
        <w:rPr>
          <w:rFonts w:ascii="Times New Roman" w:hAnsi="Times New Roman"/>
          <w:noProof/>
        </w:rPr>
        <w:t xml:space="preserve"> s cílem zahájit formální jednání o mezinárodní d</w:t>
      </w:r>
      <w:r>
        <w:rPr>
          <w:rFonts w:ascii="Times New Roman" w:hAnsi="Times New Roman"/>
          <w:noProof/>
        </w:rPr>
        <w:t>ohodě o výměně osobních údajů mezi Agenturou Evropské unie pro spolupráci v oblasti prosazování práva (</w:t>
      </w:r>
      <w:r>
        <w:rPr>
          <w:rFonts w:ascii="Times New Roman" w:hAnsi="Times New Roman"/>
          <w:b/>
          <w:bCs/>
          <w:noProof/>
        </w:rPr>
        <w:t>Europol</w:t>
      </w:r>
      <w:r>
        <w:rPr>
          <w:rFonts w:ascii="Times New Roman" w:hAnsi="Times New Roman"/>
          <w:noProof/>
        </w:rPr>
        <w:t xml:space="preserve">) a orgány zemí </w:t>
      </w:r>
      <w:r>
        <w:rPr>
          <w:rFonts w:ascii="Times New Roman" w:hAnsi="Times New Roman"/>
          <w:b/>
          <w:bCs/>
          <w:noProof/>
        </w:rPr>
        <w:t>Blízkého východu a severní Afriky</w:t>
      </w:r>
      <w:r>
        <w:rPr>
          <w:rFonts w:ascii="Times New Roman" w:hAnsi="Times New Roman"/>
          <w:noProof/>
        </w:rPr>
        <w:t xml:space="preserve"> příslušnými pro boj proti závažné trestné činnosti a terorismu.  V tomto kontextu Komise rovněž </w:t>
      </w:r>
      <w:r>
        <w:rPr>
          <w:rFonts w:ascii="Times New Roman" w:hAnsi="Times New Roman"/>
          <w:noProof/>
        </w:rPr>
        <w:t xml:space="preserve">podporuje uzavírání pracovních ujednání přímo mezi Europolem a partnerskými orgány v zemích </w:t>
      </w:r>
      <w:r>
        <w:rPr>
          <w:rFonts w:ascii="Times New Roman" w:hAnsi="Times New Roman"/>
          <w:b/>
          <w:bCs/>
          <w:noProof/>
        </w:rPr>
        <w:t>Blízkého východu a severní Afriky</w:t>
      </w:r>
      <w:r>
        <w:rPr>
          <w:rFonts w:ascii="Times New Roman" w:hAnsi="Times New Roman"/>
          <w:noProof/>
        </w:rPr>
        <w:t>, jejichž cílem je stanovit formální rámec pro pravidelnou spolupráci na strategické úrovni.</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EU a </w:t>
      </w:r>
      <w:r>
        <w:rPr>
          <w:rFonts w:ascii="Times New Roman" w:hAnsi="Times New Roman"/>
          <w:b/>
          <w:noProof/>
        </w:rPr>
        <w:t>Spojené státy</w:t>
      </w:r>
      <w:r>
        <w:rPr>
          <w:rFonts w:ascii="Times New Roman" w:hAnsi="Times New Roman"/>
          <w:noProof/>
        </w:rPr>
        <w:t xml:space="preserve"> jsou blízkými a str</w:t>
      </w:r>
      <w:r>
        <w:rPr>
          <w:rFonts w:ascii="Times New Roman" w:hAnsi="Times New Roman"/>
          <w:noProof/>
        </w:rPr>
        <w:t>ategickými partnery při řešení společných hrozeb a zvyšování bezpečnosti. Na zasedání ministrů spravedlnosti a vnitřních věcí dne 19. června 2019 EU a Spojené státy znovu potvrdily, že boj proti terorismu patří mezi jejich hlavní priority. Obě strany opěto</w:t>
      </w:r>
      <w:r>
        <w:rPr>
          <w:rFonts w:ascii="Times New Roman" w:hAnsi="Times New Roman"/>
          <w:noProof/>
        </w:rPr>
        <w:t>vně zdůraznily význam dohody o jmenné evidenci cestujících mezi EU a USA</w:t>
      </w:r>
      <w:r>
        <w:rPr>
          <w:rStyle w:val="FootnoteReference"/>
          <w:noProof/>
        </w:rPr>
        <w:footnoteReference w:id="86"/>
      </w:r>
      <w:r>
        <w:rPr>
          <w:rFonts w:ascii="Times New Roman" w:hAnsi="Times New Roman"/>
          <w:noProof/>
        </w:rPr>
        <w:t xml:space="preserve"> a zavázaly se, že v září 2019 zahájí v souladu s ustanoveními dohody společné hodnocení s cílem posoudit její provádění. Obě strany jsou rovněž odhodlány zintenzivnit společné úsilí </w:t>
      </w:r>
      <w:r>
        <w:rPr>
          <w:rFonts w:ascii="Times New Roman" w:hAnsi="Times New Roman"/>
          <w:noProof/>
        </w:rPr>
        <w:t xml:space="preserve">v rámci boje proti terorismu, a to i rozšířením sdílení informací shromážděných v oblastech bojů pro účely vyšetřování a stíhání. </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V zájmu posílení této spolupráce uspořádala Komise spolu s protiteroristickým koordinátorem EU dne 10. července 2019 v Brusel</w:t>
      </w:r>
      <w:r>
        <w:rPr>
          <w:rFonts w:ascii="Times New Roman" w:hAnsi="Times New Roman"/>
          <w:noProof/>
        </w:rPr>
        <w:t>u seminář na vysoké úrovni na téma informací z bojišť. Sešli se na něm vyšší úředníci z ministerstev obrany, vnitra a spravedlnosti členských států, dále vyšší úředníci ze Spojených států, Europolu, Eurojustu a zástupci mezinárodních organizací, kteří si v</w:t>
      </w:r>
      <w:r>
        <w:rPr>
          <w:rFonts w:ascii="Times New Roman" w:hAnsi="Times New Roman"/>
          <w:noProof/>
        </w:rPr>
        <w:t>yměnili názory ohledně využívání informací z bojišť a vedli společné úvahy nad procedurálními, právními a operativními problémy, s nimiž se v současné době potýkají při identifikaci teroristů a jejich předávání spravedlnosti. EU a Spojené státy rovněž ve d</w:t>
      </w:r>
      <w:r>
        <w:rPr>
          <w:rFonts w:ascii="Times New Roman" w:hAnsi="Times New Roman"/>
          <w:noProof/>
        </w:rPr>
        <w:t>nech 14.–15. května 2019 uspořádaly v Bruselu dialog o budování kapacit v oblasti chemických, biologických, radiologických a jaderných rizik. Cílem bylo koordinovat úsilí při snižování hrozeb spojených se zbraněmi hromadného ničení a posilování chemické, b</w:t>
      </w:r>
      <w:r>
        <w:rPr>
          <w:rFonts w:ascii="Times New Roman" w:hAnsi="Times New Roman"/>
          <w:noProof/>
        </w:rPr>
        <w:t xml:space="preserve">iologické, radiologické a jaderné bezpečnosti v celosvětovém měřítku. </w:t>
      </w:r>
    </w:p>
    <w:p w:rsidR="00530477" w:rsidRDefault="00600272">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b/>
          <w:bCs/>
          <w:noProof/>
        </w:rPr>
        <w:t>Dohoda o programu sledování financování terorismu mezi EU a Spojenými státy</w:t>
      </w:r>
      <w:r>
        <w:rPr>
          <w:rStyle w:val="FootnoteReference"/>
          <w:noProof/>
        </w:rPr>
        <w:footnoteReference w:id="87"/>
      </w:r>
      <w:r>
        <w:rPr>
          <w:rFonts w:ascii="Times New Roman" w:hAnsi="Times New Roman"/>
          <w:noProof/>
        </w:rPr>
        <w:t xml:space="preserve">, jež je v platnosti od roku 2010, upravuje předávání a zpracovávání údajů pro účely identifikace, sledování </w:t>
      </w:r>
      <w:r>
        <w:rPr>
          <w:rFonts w:ascii="Times New Roman" w:hAnsi="Times New Roman"/>
          <w:noProof/>
        </w:rPr>
        <w:t>a stíhání teroristů a jejich sítí. Dohoda obsahuje záruky, které zajišťují ochranu údajů občanů EU, a stanoví pravidelný přezkum „ustanovení o zárukách, kontrolách a vzájemnosti“. V pravidelné hodnotící zprávě</w:t>
      </w:r>
      <w:r>
        <w:rPr>
          <w:rStyle w:val="FootnoteReference"/>
          <w:noProof/>
        </w:rPr>
        <w:footnoteReference w:id="88"/>
      </w:r>
      <w:r>
        <w:rPr>
          <w:rFonts w:ascii="Times New Roman" w:hAnsi="Times New Roman"/>
          <w:noProof/>
        </w:rPr>
        <w:t xml:space="preserve"> zveřejněné dne 22. července 2019 Komise vyjád</w:t>
      </w:r>
      <w:r>
        <w:rPr>
          <w:rFonts w:ascii="Times New Roman" w:hAnsi="Times New Roman"/>
          <w:noProof/>
        </w:rPr>
        <w:t>řila své přesvědčení, že dohoda včetně jejích zásadních záruk a kontrol je řádně prováděna. Komise vítá, že orgány USA jsou při sdílení informací i nadále transparentní, což ilustruje hodnotu programu sledování financování terorismu pro společné úsilí v bo</w:t>
      </w:r>
      <w:r>
        <w:rPr>
          <w:rFonts w:ascii="Times New Roman" w:hAnsi="Times New Roman"/>
          <w:noProof/>
        </w:rPr>
        <w:t>ji proti terorismu. Informace poskytnuté podle dohody sehrály významnou úlohu při urychlení konkrétních vyšetřování týkajících se teroristických útoků spáchaných na evropské půdě včetně útoků ve Stockholmu, Barceloně a Turku v roce 2017. Členské státy a Eu</w:t>
      </w:r>
      <w:r>
        <w:rPr>
          <w:rFonts w:ascii="Times New Roman" w:hAnsi="Times New Roman"/>
          <w:noProof/>
        </w:rPr>
        <w:t>ropol využívaly tento systém ve větší míře a údaje z programu obsahovaly sedmkrát více informací důležitých pro vyšetřování, než tomu bylo v předchozím vykazovaném období. Příští společný přezkum dohody se očekává v roce 2021.</w:t>
      </w:r>
      <w:r>
        <w:rPr>
          <w:rFonts w:ascii="Times New Roman" w:hAnsi="Times New Roman"/>
          <w:i/>
          <w:iCs/>
          <w:noProof/>
        </w:rPr>
        <w:t xml:space="preserve"> </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Pokud jde o mezinárodní spol</w:t>
      </w:r>
      <w:r>
        <w:rPr>
          <w:rFonts w:ascii="Times New Roman" w:hAnsi="Times New Roman"/>
          <w:noProof/>
        </w:rPr>
        <w:t xml:space="preserve">upráci v oblasti výměny </w:t>
      </w:r>
      <w:r>
        <w:rPr>
          <w:rFonts w:ascii="Times New Roman" w:hAnsi="Times New Roman"/>
          <w:b/>
          <w:noProof/>
        </w:rPr>
        <w:t>údajů jmenné evidence cestujících pro účely boje proti terorismu a závažné trestné činnosti</w:t>
      </w:r>
      <w:r>
        <w:rPr>
          <w:rFonts w:ascii="Times New Roman" w:hAnsi="Times New Roman"/>
          <w:noProof/>
        </w:rPr>
        <w:t>, na 17. summitu EU–Kanada konaném ve dnech 17.–18. července 2019 v Montrealu obě strany uvítaly dokončení jednání o nové dohodě o jmenné evi</w:t>
      </w:r>
      <w:r>
        <w:rPr>
          <w:rFonts w:ascii="Times New Roman" w:hAnsi="Times New Roman"/>
          <w:noProof/>
        </w:rPr>
        <w:t>denci cestujících. Kanada sice vznesla požadavek na právní přezkum, avšak strany se s výhradou tohoto přezkumu zavázaly, že dohodu finalizují co nejdříve, a uznaly její zásadní úlohu pro zvyšování bezpečnosti a současně pro zajištění ochrany soukromí a oso</w:t>
      </w:r>
      <w:r>
        <w:rPr>
          <w:rFonts w:ascii="Times New Roman" w:hAnsi="Times New Roman"/>
          <w:noProof/>
        </w:rPr>
        <w:t>bních údajů. Pokud jde o stávající dohodu o jmenné evidenci cestujících mezi EU a Austrálií</w:t>
      </w:r>
      <w:r>
        <w:rPr>
          <w:rStyle w:val="FootnoteReference"/>
          <w:noProof/>
        </w:rPr>
        <w:footnoteReference w:id="89"/>
      </w:r>
      <w:r>
        <w:rPr>
          <w:rFonts w:ascii="Times New Roman" w:hAnsi="Times New Roman"/>
          <w:noProof/>
        </w:rPr>
        <w:t xml:space="preserve">, v srpnu 2019 se uskuteční návštěva týmu EU v Canberře v souvislosti se společným přezkumem a společným hodnocením dohody. </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Komise rovněž spolupracuje s členskými státy v Radě na postoji EU pro nadcházející 40. zasedání shromáždění </w:t>
      </w:r>
      <w:r>
        <w:rPr>
          <w:rFonts w:ascii="Times New Roman" w:hAnsi="Times New Roman"/>
          <w:b/>
          <w:noProof/>
        </w:rPr>
        <w:t>Mezinárodní organizace pro civilní letectví</w:t>
      </w:r>
      <w:r>
        <w:rPr>
          <w:rFonts w:ascii="Times New Roman" w:hAnsi="Times New Roman"/>
          <w:noProof/>
        </w:rPr>
        <w:t>, které se bude konat od 24. září do 4. října 2019. Shromáždění stanoví politický směr a poskytne radě Me</w:t>
      </w:r>
      <w:r>
        <w:rPr>
          <w:rFonts w:ascii="Times New Roman" w:hAnsi="Times New Roman"/>
          <w:noProof/>
        </w:rPr>
        <w:t xml:space="preserve">zinárodní organizace pro civilní letectví pokyny k technické práci na normách této organizace v oblasti zpracovávání údajů jmenné evidence cestujících. Rada schválila informační dokument vypracovaný Komisí, který nastiňuje postoj Unie k hlavním zásadám, o </w:t>
      </w:r>
      <w:r>
        <w:rPr>
          <w:rFonts w:ascii="Times New Roman" w:hAnsi="Times New Roman"/>
          <w:noProof/>
        </w:rPr>
        <w:t xml:space="preserve">něž by se měly opírat veškeré budoucí celosvětové normy jmenné evidence cestujících. Informační dokument bude předložen jiným členům orgánu, než jsou členské státy EU. </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b/>
          <w:bCs/>
          <w:noProof/>
        </w:rPr>
        <w:t>VI. ZÁVĚR</w:t>
      </w:r>
    </w:p>
    <w:p w:rsidR="00530477" w:rsidRDefault="00600272">
      <w:pPr>
        <w:widowControl w:val="0"/>
        <w:spacing w:after="240" w:line="240" w:lineRule="auto"/>
        <w:jc w:val="both"/>
        <w:rPr>
          <w:rFonts w:ascii="Times New Roman" w:hAnsi="Times New Roman" w:cs="Times New Roman"/>
          <w:noProof/>
          <w:sz w:val="24"/>
          <w:szCs w:val="24"/>
        </w:rPr>
      </w:pPr>
      <w:r>
        <w:rPr>
          <w:rFonts w:ascii="Times New Roman" w:hAnsi="Times New Roman"/>
          <w:noProof/>
        </w:rPr>
        <w:t>Díky úzké spolupráci mezi Evropským parlamentem, Radou, členskými státy a Kom</w:t>
      </w:r>
      <w:r>
        <w:rPr>
          <w:rFonts w:ascii="Times New Roman" w:hAnsi="Times New Roman"/>
          <w:noProof/>
        </w:rPr>
        <w:t>isí dosáhla EU v posledních letech ve společném úsilí na cestě k účinné a skutečné bezpečnostní unii značného pokroku a dohodla se na řadě prioritních legislativních iniciativ. Členské státy s podporou Komise rovněž provádějí řadu nelegislativních operativ</w:t>
      </w:r>
      <w:r>
        <w:rPr>
          <w:rFonts w:ascii="Times New Roman" w:hAnsi="Times New Roman"/>
          <w:noProof/>
        </w:rPr>
        <w:t>ních opatření, jež mají zvýšit bezpečnost pro všechny občany. Zároveň jsou stále u řady prioritních iniciativ projednávaných v rámci bezpečnostní unie nutná další opatření ze strany spolunormotvůrců, která by řešila bezprostřední hrozby. Komise vyzývá Evro</w:t>
      </w:r>
      <w:r>
        <w:rPr>
          <w:rFonts w:ascii="Times New Roman" w:hAnsi="Times New Roman"/>
          <w:noProof/>
        </w:rPr>
        <w:t>pský parlament a Radu, aby podnikly nezbytné kroky k dosažení rychlé dohody o legislativních návrzích, jejichž cílem je bojovat proti teroristické propagandě a radikalizaci online, zvýšit kybernetickou bezpečnost, usnadnit přístup k elektronickým důkazům a</w:t>
      </w:r>
      <w:r>
        <w:rPr>
          <w:rFonts w:ascii="Times New Roman" w:hAnsi="Times New Roman"/>
          <w:noProof/>
        </w:rPr>
        <w:t> dokončit práci na silnějších a inteligentnějších informačních systémech pro bezpečnost, správu hranic a řízení migrace.</w:t>
      </w:r>
    </w:p>
    <w:p w:rsidR="00530477" w:rsidRDefault="00600272">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Komise vyzývá členské státy k urychlenému a úplnému provedení všech právních předpisů přijatých v rámci bezpečnostní unie, aby se mohl </w:t>
      </w:r>
      <w:r>
        <w:rPr>
          <w:rFonts w:ascii="Times New Roman" w:hAnsi="Times New Roman"/>
          <w:noProof/>
        </w:rPr>
        <w:t>plně projevit jejich přínos.</w:t>
      </w:r>
      <w:r>
        <w:rPr>
          <w:rFonts w:ascii="Times New Roman" w:hAnsi="Times New Roman"/>
          <w:iCs/>
          <w:noProof/>
        </w:rPr>
        <w:t xml:space="preserve"> Komise mimo to vyzývá členské státy, aby nadále a s větší intenzitou pracovaly na klíčových praktických opatřeních, jež mají zvýšit bezpečnost digitálních infrastruktur, bojovat proti dezinformacím a dalším kybernetickým hrozbá</w:t>
      </w:r>
      <w:r>
        <w:rPr>
          <w:rFonts w:ascii="Times New Roman" w:hAnsi="Times New Roman"/>
          <w:iCs/>
          <w:noProof/>
        </w:rPr>
        <w:t xml:space="preserve">m, zlepšit připravenost a ochranu a posílit spolupráci s partnery mimo Unii v boji proti společným hrozbám. </w:t>
      </w:r>
      <w:r>
        <w:rPr>
          <w:rFonts w:ascii="Times New Roman" w:hAnsi="Times New Roman"/>
          <w:noProof/>
        </w:rPr>
        <w:t>Jako celek zvyšují tato opatření bezpečnost všech občanů.</w:t>
      </w:r>
    </w:p>
    <w:sectPr w:rsidR="0053047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A8D5D" w16cid:durableId="20D594B8"/>
  <w16cid:commentId w16cid:paraId="70415691" w16cid:durableId="20D58E6A"/>
  <w16cid:commentId w16cid:paraId="40819A61" w16cid:durableId="20D58E6B"/>
  <w16cid:commentId w16cid:paraId="40B3D60E" w16cid:durableId="20D58E6C"/>
  <w16cid:commentId w16cid:paraId="4FE824E5" w16cid:durableId="20D58E6D"/>
  <w16cid:commentId w16cid:paraId="7BB9D4AF" w16cid:durableId="20D598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77" w:rsidRDefault="00600272">
      <w:pPr>
        <w:spacing w:after="0" w:line="240" w:lineRule="auto"/>
      </w:pPr>
      <w:r>
        <w:separator/>
      </w:r>
    </w:p>
  </w:endnote>
  <w:endnote w:type="continuationSeparator" w:id="0">
    <w:p w:rsidR="00530477" w:rsidRDefault="00600272">
      <w:pPr>
        <w:spacing w:after="0" w:line="240" w:lineRule="auto"/>
      </w:pPr>
      <w:r>
        <w:continuationSeparator/>
      </w:r>
    </w:p>
  </w:endnote>
  <w:endnote w:type="continuationNotice" w:id="1">
    <w:p w:rsidR="00530477" w:rsidRDefault="00530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600272">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359492"/>
      <w:docPartObj>
        <w:docPartGallery w:val="Page Numbers (Bottom of Page)"/>
        <w:docPartUnique/>
      </w:docPartObj>
    </w:sdtPr>
    <w:sdtEndPr>
      <w:rPr>
        <w:noProof/>
      </w:rPr>
    </w:sdtEndPr>
    <w:sdtContent>
      <w:p w:rsidR="00530477" w:rsidRDefault="00600272">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sdtContent>
  </w:sdt>
  <w:p w:rsidR="00530477" w:rsidRDefault="005304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77" w:rsidRDefault="00600272">
      <w:pPr>
        <w:spacing w:after="0" w:line="240" w:lineRule="auto"/>
      </w:pPr>
      <w:r>
        <w:separator/>
      </w:r>
    </w:p>
  </w:footnote>
  <w:footnote w:type="continuationSeparator" w:id="0">
    <w:p w:rsidR="00530477" w:rsidRDefault="00600272">
      <w:pPr>
        <w:spacing w:after="0" w:line="240" w:lineRule="auto"/>
      </w:pPr>
      <w:r>
        <w:continuationSeparator/>
      </w:r>
    </w:p>
  </w:footnote>
  <w:footnote w:type="continuationNotice" w:id="1">
    <w:p w:rsidR="00530477" w:rsidRDefault="00530477">
      <w:pPr>
        <w:spacing w:after="0" w:line="240" w:lineRule="auto"/>
      </w:pPr>
    </w:p>
  </w:footnote>
  <w:footnote w:id="2">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https://www.consilium.europa.eu/media/39924/a-new-strategic-agenda-2019-2024-cs.pdf</w:t>
        </w:r>
      </w:hyperlink>
    </w:p>
  </w:footnote>
  <w:footnote w:id="3">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Opatření jsou uvedena v informačním přehledu: „Bezpečnostní unie: Evrop</w:t>
      </w:r>
      <w:r>
        <w:rPr>
          <w:rFonts w:ascii="Times New Roman" w:hAnsi="Times New Roman"/>
        </w:rPr>
        <w:t>a, která chrání“ (</w:t>
      </w:r>
      <w:hyperlink r:id="rId2" w:history="1">
        <w:r>
          <w:rPr>
            <w:rStyle w:val="Hyperlink"/>
            <w:rFonts w:ascii="Times New Roman" w:hAnsi="Times New Roman"/>
          </w:rPr>
          <w:t>https://ec.europa.eu/commission/sites/beta-political/files/euco-sibiu-security-union_cs.pdf</w:t>
        </w:r>
      </w:hyperlink>
      <w:r>
        <w:rPr>
          <w:rFonts w:ascii="Times New Roman" w:hAnsi="Times New Roman"/>
        </w:rPr>
        <w:t xml:space="preserve">) a v Osmnácté zprávě o pokroku na </w:t>
      </w:r>
      <w:r>
        <w:rPr>
          <w:rFonts w:ascii="Times New Roman" w:hAnsi="Times New Roman"/>
        </w:rPr>
        <w:t>cestě k účinné a skutečné bezpečnostní unii (COM(2019) 145 final ze dne 20. března 2019).</w:t>
      </w:r>
    </w:p>
  </w:footnote>
  <w:footnote w:id="4">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Viz Osmnáctá zpráva o pokroku na cestě k účinné a skutečné bezpečnostní unii (COM(2019) 145 final ze dne 20. března 2019).</w:t>
      </w:r>
    </w:p>
  </w:footnote>
  <w:footnote w:id="5">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https://www.elysee.fr/emmanuel-macron/2019/05/15/the-christchurch-call-to-action-to-eliminate-terrorist-and-violent-extremist-content</w:t>
        </w:r>
        <w:r>
          <w:rPr>
            <w:rStyle w:val="Hyperlink"/>
            <w:rFonts w:ascii="Times New Roman" w:hAnsi="Times New Roman"/>
          </w:rPr>
          <w:t>-online.en</w:t>
        </w:r>
      </w:hyperlink>
      <w:r>
        <w:rPr>
          <w:rFonts w:ascii="Times New Roman" w:hAnsi="Times New Roman"/>
        </w:rPr>
        <w:t>. Francouzský prezident Emmanuel Macron a novozélandská předsedkyně vlády Jacinda Ardernová vyzvali vedoucí představitele a on-line platformy v Paříži dne 15. května 2019 k zahájení této iniciativy.</w:t>
      </w:r>
    </w:p>
  </w:footnote>
  <w:footnote w:id="6">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https://www.elysee.fr/en/g7/2019/04/06/g7-interior-ministers-meeting-what-are-the-outcomes</w:t>
        </w:r>
      </w:hyperlink>
    </w:p>
  </w:footnote>
  <w:footnote w:id="7">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Na zasedání skupiny G20 v Ósace ve dnech 28.–29. června 2019 vedoucí představitelé znovu potvrdili </w:t>
      </w:r>
      <w:r>
        <w:rPr>
          <w:rFonts w:ascii="Times New Roman" w:hAnsi="Times New Roman"/>
        </w:rPr>
        <w:t>své odhodlání konat a chránit občany před tím, aby byl internet zneužíván k terorismu a násilnému extremismu, jenž vede k terorismu (</w:t>
      </w:r>
      <w:hyperlink r:id="rId5" w:history="1">
        <w:r>
          <w:rPr>
            <w:rStyle w:val="Hyperlink"/>
            <w:rFonts w:ascii="Times New Roman" w:hAnsi="Times New Roman"/>
          </w:rPr>
          <w:t>https://g20.org/p</w:t>
        </w:r>
        <w:r>
          <w:rPr>
            <w:rStyle w:val="Hyperlink"/>
            <w:rFonts w:ascii="Times New Roman" w:hAnsi="Times New Roman"/>
          </w:rPr>
          <w:t>df/documents/en/FINAL_G20_Statement_on_Preventing_Terrorist_and_VECT.pdf</w:t>
        </w:r>
      </w:hyperlink>
      <w:r>
        <w:rPr>
          <w:rFonts w:ascii="Times New Roman" w:hAnsi="Times New Roman"/>
        </w:rPr>
        <w:t>).</w:t>
      </w:r>
    </w:p>
  </w:footnote>
  <w:footnote w:id="8">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640 final ze dne 12. září 2018).</w:t>
      </w:r>
    </w:p>
  </w:footnote>
  <w:footnote w:id="9">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V rámci </w:t>
      </w:r>
      <w:r>
        <w:rPr>
          <w:rFonts w:ascii="Times New Roman" w:hAnsi="Times New Roman"/>
          <w:b/>
        </w:rPr>
        <w:t>internetového fóra EU</w:t>
      </w:r>
      <w:r>
        <w:rPr>
          <w:rFonts w:ascii="Times New Roman" w:hAnsi="Times New Roman"/>
        </w:rPr>
        <w:t>, které bylo zahájeno v roce 2015, se scházejí ministři vnitra EU, internetové odvětví a další zúčastně</w:t>
      </w:r>
      <w:r>
        <w:rPr>
          <w:rFonts w:ascii="Times New Roman" w:hAnsi="Times New Roman"/>
        </w:rPr>
        <w:t>né strany, kteří formou dobrovolného partnerství spolupracují na řešení zneužívání internetu teroristickými skupinami a na zajištění ochrany občanů.</w:t>
      </w:r>
    </w:p>
  </w:footnote>
  <w:footnote w:id="10">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Komise zřídila </w:t>
      </w:r>
      <w:r>
        <w:rPr>
          <w:rFonts w:ascii="Times New Roman" w:hAnsi="Times New Roman"/>
          <w:b/>
        </w:rPr>
        <w:t>síť pro zvyšování povědomí o radikalizaci</w:t>
      </w:r>
      <w:r>
        <w:rPr>
          <w:rFonts w:ascii="Times New Roman" w:hAnsi="Times New Roman"/>
        </w:rPr>
        <w:t xml:space="preserve"> v roce 2011 s cílem propojit pracovníky v první</w:t>
      </w:r>
      <w:r>
        <w:rPr>
          <w:rFonts w:ascii="Times New Roman" w:hAnsi="Times New Roman"/>
        </w:rPr>
        <w:t xml:space="preserve"> linii a odborníky z praxe. V roce 2015 Komise síť posílila zřízením centra excelence sítě pro zvyšování povědomí o radikalizaci s cílem rozvíjet cílenější pokyny, poskytovat zúčastněným stranám v členských státech podporu a poradenské služby pro a zvyšova</w:t>
      </w:r>
      <w:r>
        <w:rPr>
          <w:rFonts w:ascii="Times New Roman" w:hAnsi="Times New Roman"/>
        </w:rPr>
        <w:t xml:space="preserve">t odborné znalosti a dovednosti různých aktérů.  Více informací o činnosti sítě pro zvyšování povědomí o radikalizaci viz: </w:t>
      </w:r>
      <w:hyperlink r:id="rId6" w:history="1">
        <w:r>
          <w:rPr>
            <w:rStyle w:val="Hyperlink"/>
            <w:rFonts w:ascii="Times New Roman" w:hAnsi="Times New Roman"/>
          </w:rPr>
          <w:t>https://ec.europa.eu/home-a</w:t>
        </w:r>
        <w:r>
          <w:rPr>
            <w:rStyle w:val="Hyperlink"/>
            <w:rFonts w:ascii="Times New Roman" w:hAnsi="Times New Roman"/>
          </w:rPr>
          <w:t>ffairs/what-we-do/networks/radicalisation_awareness_network_en</w:t>
        </w:r>
      </w:hyperlink>
      <w:r>
        <w:rPr>
          <w:rFonts w:ascii="Times New Roman" w:hAnsi="Times New Roman"/>
        </w:rPr>
        <w:t>.</w:t>
      </w:r>
    </w:p>
  </w:footnote>
  <w:footnote w:id="11">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Další informace viz brožura </w:t>
      </w:r>
      <w:r>
        <w:rPr>
          <w:rFonts w:ascii="Times New Roman" w:hAnsi="Times New Roman"/>
          <w:i/>
          <w:iCs/>
        </w:rPr>
        <w:t>„Building strong cybersecurity in the European Union:</w:t>
      </w:r>
      <w:r>
        <w:rPr>
          <w:rFonts w:ascii="Times New Roman" w:hAnsi="Times New Roman"/>
        </w:rPr>
        <w:t xml:space="preserve"> </w:t>
      </w:r>
      <w:r>
        <w:rPr>
          <w:rFonts w:ascii="Times New Roman" w:hAnsi="Times New Roman"/>
          <w:i/>
          <w:iCs/>
        </w:rPr>
        <w:t>resilience, deterrence, defence“</w:t>
      </w:r>
      <w:r>
        <w:rPr>
          <w:rFonts w:ascii="Times New Roman" w:hAnsi="Times New Roman"/>
        </w:rPr>
        <w:t xml:space="preserve"> (Jak zajistit vysokou úroveň kybernetické bezpečnosti v Evropské unii: odo</w:t>
      </w:r>
      <w:r>
        <w:rPr>
          <w:rFonts w:ascii="Times New Roman" w:hAnsi="Times New Roman"/>
        </w:rPr>
        <w:t xml:space="preserve">lnost, odrazování, obrana): </w:t>
      </w:r>
      <w:hyperlink r:id="rId7" w:history="1">
        <w:r>
          <w:rPr>
            <w:rStyle w:val="Hyperlink"/>
            <w:rFonts w:ascii="Times New Roman" w:hAnsi="Times New Roman"/>
          </w:rPr>
          <w:t>https://ec.europa.eu/digital-single-market/en/news/building-strong-cybersecurity-europe</w:t>
        </w:r>
        <w:r>
          <w:rPr>
            <w:rStyle w:val="Hyperlink"/>
            <w:rFonts w:ascii="Times New Roman" w:hAnsi="Times New Roman"/>
          </w:rPr>
          <w:t>an-union-resilience-deterence-defence</w:t>
        </w:r>
      </w:hyperlink>
      <w:r>
        <w:rPr>
          <w:rFonts w:ascii="Times New Roman" w:hAnsi="Times New Roman"/>
        </w:rPr>
        <w:t>.</w:t>
      </w:r>
    </w:p>
  </w:footnote>
  <w:footnote w:id="12">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JOIN(2017) 450 final ze dne 13. září 2017.</w:t>
      </w:r>
    </w:p>
  </w:footnote>
  <w:footnote w:id="13">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Akt EU o kybernetické bezpečnosti (nařízení (EU) 2019/881 ze dne 17. dubna 2019) poprvé zavádí celounijní pravidla pro certifikaci kybernetické bezpečnosti produktů, pr</w:t>
      </w:r>
      <w:r>
        <w:rPr>
          <w:rFonts w:ascii="Times New Roman" w:hAnsi="Times New Roman"/>
        </w:rPr>
        <w:t xml:space="preserve">ocesů a služeb. Kromě toho uděluje nový trvalý mandát Agentuře EU pro kybernetickou bezpečnost a zajišťuje jí přidělení více zdrojů, které jí umožní plnit stanovené cíle. Další informace o výzvě k podávání návrhů viz: </w:t>
      </w:r>
      <w:hyperlink r:id="rId8" w:tgtFrame="_blank" w:history="1">
        <w:r>
          <w:rPr>
            <w:rStyle w:val="Hyperlink"/>
            <w:rFonts w:ascii="Times New Roman" w:hAnsi="Times New Roman"/>
          </w:rPr>
          <w:t>https://ec.europa.eu/digital-single-market/en/news/eu10-million-eu-funding-available-projects-stepping-eus-cybersecurity-c</w:t>
        </w:r>
        <w:r>
          <w:rPr>
            <w:rStyle w:val="Hyperlink"/>
            <w:rFonts w:ascii="Times New Roman" w:hAnsi="Times New Roman"/>
          </w:rPr>
          <w:t>apabilities-and-cross</w:t>
        </w:r>
      </w:hyperlink>
      <w:r>
        <w:rPr>
          <w:rStyle w:val="Hyperlink"/>
          <w:rFonts w:ascii="Times New Roman" w:hAnsi="Times New Roman"/>
        </w:rPr>
        <w:t>.</w:t>
      </w:r>
    </w:p>
  </w:footnote>
  <w:footnote w:id="14">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C(2019) 2400 final ze dne 3. dubna 2019 a SWD(2019) 1240 final ze dne 3. dubna 2019.</w:t>
      </w:r>
    </w:p>
  </w:footnote>
  <w:footnote w:id="15">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630 final ze dne 12. září 2018.</w:t>
      </w:r>
    </w:p>
  </w:footnote>
  <w:footnote w:id="16">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9" w:tgtFrame="_blank" w:history="1">
        <w:r>
          <w:rPr>
            <w:rStyle w:val="Hyperlink"/>
            <w:rFonts w:ascii="Times New Roman" w:hAnsi="Times New Roman"/>
          </w:rPr>
          <w:t>https://ec.europa.eu/programmes/horizon2020/en/h2020-section/cross-cutting-activities-focus-areas</w:t>
        </w:r>
      </w:hyperlink>
    </w:p>
  </w:footnote>
  <w:footnote w:id="17">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2016/1148 ze dne 6. července 2016.</w:t>
      </w:r>
    </w:p>
  </w:footnote>
  <w:footnote w:id="18">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0" w:history="1">
        <w:r>
          <w:rPr>
            <w:rStyle w:val="Hyperlink"/>
            <w:rFonts w:ascii="Times New Roman" w:hAnsi="Times New Roman"/>
          </w:rPr>
          <w:t>http://data.consilium.europa.eu/doc/document/ST-9916-2017-INIT/cs/pdf</w:t>
        </w:r>
      </w:hyperlink>
    </w:p>
  </w:footnote>
  <w:footnote w:id="19">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Patří sem kybernetické útoky i pokusy o kybernetické útoky s potenciálně významným dopadem, jež zah</w:t>
      </w:r>
      <w:r>
        <w:rPr>
          <w:rFonts w:ascii="Times New Roman" w:hAnsi="Times New Roman"/>
        </w:rPr>
        <w:t>rnují např. přístup k informačním systémům nebo zachycování dat prostřednictvím digitální infrastruktury, jako jsou sítě 5G (viz také oddíl III o posílení bezpečnosti digitálních infrastruktur).</w:t>
      </w:r>
    </w:p>
  </w:footnote>
  <w:footnote w:id="20">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Viz zpráva o provádění společného rámce pro boj proti </w:t>
      </w:r>
      <w:r>
        <w:rPr>
          <w:rFonts w:ascii="Times New Roman" w:hAnsi="Times New Roman"/>
        </w:rPr>
        <w:t xml:space="preserve">hybridním hrozbám z roku 2016 a společné sdělení o zvýšení odolnosti a posílení kapacit pro řešení hybridních hrozeb z roku 2018 (SWD(2019) 200 final ze dne 28. května 2019). Viz rovněž legislativní návrh nařízení, kterým se zavádí režim Unie pro kontrolu </w:t>
      </w:r>
      <w:r>
        <w:rPr>
          <w:rFonts w:ascii="Times New Roman" w:hAnsi="Times New Roman"/>
        </w:rPr>
        <w:t>vývozu, přepravy, zprostředkování, technické pomoci a tranzitu u zboží dvojího užití (přepracované znění), ze září 2016 (COM (2016) 616 final ze dne 28. září 2016).</w:t>
      </w:r>
    </w:p>
  </w:footnote>
  <w:footnote w:id="21">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1" w:history="1">
        <w:r>
          <w:rPr>
            <w:rStyle w:val="Hyperlink"/>
            <w:rFonts w:ascii="Times New Roman" w:hAnsi="Times New Roman"/>
          </w:rPr>
          <w:t>https://www.consilium.europa.eu/media/39922/20-21-euco-final-conclusions-cs.pdf</w:t>
        </w:r>
      </w:hyperlink>
    </w:p>
  </w:footnote>
  <w:footnote w:id="22">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Nařízení (EU) 2019/1148 ze dne 20. června 2019 o uvádění prekurzorů výbušnin na trh a o jejich používání.</w:t>
      </w:r>
    </w:p>
  </w:footnote>
  <w:footnote w:id="23">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2019/1153 ze dne 20. června 2019 o stanove</w:t>
      </w:r>
      <w:r>
        <w:rPr>
          <w:rFonts w:ascii="Times New Roman" w:hAnsi="Times New Roman"/>
        </w:rPr>
        <w:t>ní pravidel usnadňujících používání finančních a dalších informací k prevenci, odhalování, vyšetřování či stíhání určitých trestných činů.</w:t>
      </w:r>
    </w:p>
  </w:footnote>
  <w:footnote w:id="24">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Nařízení (EU) 2019/1157 ze dne 20. června 2019 o posílení zabezpečení průkazů totožnosti občanů Unie a povolení k </w:t>
      </w:r>
      <w:r>
        <w:rPr>
          <w:rFonts w:ascii="Times New Roman" w:hAnsi="Times New Roman"/>
        </w:rPr>
        <w:t>pobytu vydávaných občanům Unie a jejich rodinným příslušníkům, kteří vykonávají své právo volného pohybu</w:t>
      </w:r>
    </w:p>
  </w:footnote>
  <w:footnote w:id="25">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Elektronické důkazy jsou potřeba u přibližně 85 % vyšetřování trestných činů a ve dvou třetinách těchto vyšetřování je třeba si vyžádat důkazy u pos</w:t>
      </w:r>
      <w:r>
        <w:rPr>
          <w:rFonts w:ascii="Times New Roman" w:hAnsi="Times New Roman"/>
        </w:rPr>
        <w:t>kytovatelů online služeb, kteří mají sídlo v jiné jurisdikci. Viz posouzení dopadů připojené k uvedenému legislativnímu návrhu (SWD(2018) 118 final ze dne 17. dubna 2018).</w:t>
      </w:r>
    </w:p>
  </w:footnote>
  <w:footnote w:id="26">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225 final ze dne 17. dubna 2018. Rada přijala mandát k vyjednávání o uv</w:t>
      </w:r>
      <w:r>
        <w:rPr>
          <w:rFonts w:ascii="Times New Roman" w:hAnsi="Times New Roman"/>
        </w:rPr>
        <w:t>edeném návrhu nařízení na zasedání Rady pro spravedlnost a vnitřní věci dne 7. prosince 2018.</w:t>
      </w:r>
    </w:p>
  </w:footnote>
  <w:footnote w:id="27">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COM(2018) 226 final ze dne 17. dubna 2018. Rada přijala vyjednávací postoj k uvedenému návrhu směrnice na zasedání Rady pro spravedlnost a vnitřní věci dne 8. </w:t>
      </w:r>
      <w:r>
        <w:rPr>
          <w:rFonts w:ascii="Times New Roman" w:hAnsi="Times New Roman"/>
        </w:rPr>
        <w:t>března 2019.</w:t>
      </w:r>
    </w:p>
  </w:footnote>
  <w:footnote w:id="28">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2" w:history="1">
        <w:r>
          <w:rPr>
            <w:rStyle w:val="Hyperlink"/>
            <w:rFonts w:ascii="Times New Roman" w:hAnsi="Times New Roman"/>
          </w:rPr>
          <w:t>https://www.consilium.europa.eu/cs/press/press-r</w:t>
        </w:r>
        <w:r>
          <w:rPr>
            <w:rStyle w:val="Hyperlink"/>
            <w:rFonts w:ascii="Times New Roman" w:hAnsi="Times New Roman"/>
          </w:rPr>
          <w:t>eleases/2019/06/06/council-gives-mandate-to-commission-to-negotiate-international-agreements-on-e-evidence-in-criminal-matters/</w:t>
        </w:r>
      </w:hyperlink>
    </w:p>
  </w:footnote>
  <w:footnote w:id="29">
    <w:p w:rsidR="00530477" w:rsidRDefault="00600272">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Nařízení (EU) 2019/817 ze dne 20. května 2019 a nařízení (EU) 2019/818 ze dne 20. května 2019.</w:t>
      </w:r>
    </w:p>
  </w:footnote>
  <w:footnote w:id="30">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Nařízení (EU) 2017/2226 ze </w:t>
      </w:r>
      <w:r>
        <w:rPr>
          <w:rFonts w:ascii="Times New Roman" w:hAnsi="Times New Roman"/>
        </w:rPr>
        <w:t>dne 30. listopadu 2017.</w:t>
      </w:r>
    </w:p>
  </w:footnote>
  <w:footnote w:id="31">
    <w:p w:rsidR="00530477" w:rsidRDefault="00600272">
      <w:pPr>
        <w:pStyle w:val="FootnoteText"/>
        <w:tabs>
          <w:tab w:val="left" w:pos="567"/>
        </w:tabs>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Nařízení (EU) 2018/1240 ze dne 12. září 2018 a nařízení (EU) 2018/1241 ze dne 12. září 2018.</w:t>
      </w:r>
    </w:p>
  </w:footnote>
  <w:footnote w:id="32">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Nařízení (EU) 2018/1860 ze dne 28. listopadu 2018, nařízení (EU) 2018/1861 ze dne 28. listopadu 2018, nařízení (EU) 2018/1862 ze dne </w:t>
      </w:r>
      <w:r>
        <w:rPr>
          <w:rFonts w:ascii="Times New Roman" w:hAnsi="Times New Roman"/>
        </w:rPr>
        <w:t>28. listopadu 2018.</w:t>
      </w:r>
    </w:p>
  </w:footnote>
  <w:footnote w:id="33">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Nařízení (EU) 2019/816 ze dne 17. dubna 2019. </w:t>
      </w:r>
    </w:p>
  </w:footnote>
  <w:footnote w:id="34">
    <w:p w:rsidR="00530477" w:rsidRDefault="00600272">
      <w:pPr>
        <w:pStyle w:val="FootnoteText"/>
        <w:tabs>
          <w:tab w:val="left" w:pos="567"/>
        </w:tabs>
        <w:ind w:left="425" w:hanging="425"/>
        <w:rPr>
          <w:rFonts w:ascii="Times New Roman" w:hAnsi="Times New Roman" w:cs="Times New Roman"/>
        </w:rPr>
      </w:pPr>
      <w:r>
        <w:rPr>
          <w:rStyle w:val="FootnoteReference"/>
        </w:rPr>
        <w:footnoteRef/>
      </w:r>
      <w:r>
        <w:rPr>
          <w:rFonts w:ascii="Times New Roman" w:hAnsi="Times New Roman"/>
        </w:rPr>
        <w:tab/>
        <w:t>COM(2019) 3 final a COM(2019) 4 final ze dne 7. ledna 2019.</w:t>
      </w:r>
    </w:p>
  </w:footnote>
  <w:footnote w:id="35">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COM(2018) 302 final ze dne 16. května 2018. </w:t>
      </w:r>
    </w:p>
  </w:footnote>
  <w:footnote w:id="36">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COM(2016) 272 final ze dne 4. května 2016.</w:t>
      </w:r>
    </w:p>
  </w:footnote>
  <w:footnote w:id="37">
    <w:p w:rsidR="00530477" w:rsidRDefault="00600272">
      <w:pPr>
        <w:pStyle w:val="FootnoteText"/>
        <w:tabs>
          <w:tab w:val="left" w:pos="567"/>
        </w:tabs>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3" w:history="1">
        <w:r>
          <w:rPr>
            <w:rStyle w:val="Hyperlink"/>
            <w:rFonts w:ascii="Times New Roman" w:hAnsi="Times New Roman"/>
          </w:rPr>
          <w:t>https://www.consilium.europa.eu/cs/press/press-releases/2018/12/14/european-council-conclusions-13-14-december-2018/</w:t>
        </w:r>
      </w:hyperlink>
    </w:p>
  </w:footnote>
  <w:footnote w:id="38">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COM(2019) 126 final ze dne 6. </w:t>
      </w:r>
      <w:r>
        <w:rPr>
          <w:rFonts w:ascii="Times New Roman" w:hAnsi="Times New Roman"/>
        </w:rPr>
        <w:t>března 2019.</w:t>
      </w:r>
    </w:p>
  </w:footnote>
  <w:footnote w:id="39">
    <w:p w:rsidR="00530477" w:rsidRDefault="00600272">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r>
      <w:hyperlink r:id="rId14" w:history="1">
        <w:r>
          <w:rPr>
            <w:rStyle w:val="Hyperlink"/>
            <w:rFonts w:ascii="Times New Roman" w:hAnsi="Times New Roman"/>
          </w:rPr>
          <w:t>https://data.consilium.europa.eu/doc/document/ST-1-2019-INIT/cs/pdf</w:t>
        </w:r>
      </w:hyperlink>
    </w:p>
  </w:footnote>
  <w:footnote w:id="40">
    <w:p w:rsidR="00530477" w:rsidRDefault="00600272">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C(2019) 2335 final ze dne 26. března 2019.</w:t>
      </w:r>
    </w:p>
  </w:footnote>
  <w:footnote w:id="41">
    <w:p w:rsidR="00530477" w:rsidRDefault="00600272">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 xml:space="preserve">Skupina pro spolupráci v oblasti </w:t>
      </w:r>
      <w:r>
        <w:rPr>
          <w:rFonts w:ascii="Times New Roman" w:hAnsi="Times New Roman"/>
        </w:rPr>
        <w:t>bezpečnosti sítí je zřízena podle směrnice (EU) 2016/1148 ze dne 6. července 2016 o bezpečnosti sítí a informačních systémů. V souladu s doporučením byla v rámci skupiny pro spolupráci v oblasti bezpečnosti sítí a informací zahájena zvláštní oblast činnost</w:t>
      </w:r>
      <w:r>
        <w:rPr>
          <w:rFonts w:ascii="Times New Roman" w:hAnsi="Times New Roman"/>
        </w:rPr>
        <w:t>i vedená několika členskými státy. Skupina zasedala již třikrát – v dubnu, květnu a červenci 2019 – za účelem výměny informací o vnitrostátních přístupech a k diskusi o usnadnění přípravy koordinovaného posouzení rizik na úrovni EU.</w:t>
      </w:r>
    </w:p>
  </w:footnote>
  <w:footnote w:id="42">
    <w:p w:rsidR="00530477" w:rsidRDefault="00600272">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Nařízení (EU) 2019/4</w:t>
      </w:r>
      <w:r>
        <w:rPr>
          <w:rFonts w:ascii="Times New Roman" w:hAnsi="Times New Roman"/>
        </w:rPr>
        <w:t>52 ze dne 19. března 2019, kterým se stanoví rámec pro prověřování přímých zahraničních investic směřujících do Unie. Nový rámec vytváří mechanismus spolupráce, v němž si členské státy a Komise budou moci vyměňovat informace o konkrétních investicích a upo</w:t>
      </w:r>
      <w:r>
        <w:rPr>
          <w:rFonts w:ascii="Times New Roman" w:hAnsi="Times New Roman"/>
        </w:rPr>
        <w:t>zorňovat se navzájem v případě, že některá z investic vzbuzuje obavy. Nařízení rovněž umožní Komisi vydat stanovisko, pokud určitá investice ohrožuje bezpečnost nebo veřejný pořádek ve více než jednom členském státě nebo pokud by investice mohla mařit proj</w:t>
      </w:r>
      <w:r>
        <w:rPr>
          <w:rFonts w:ascii="Times New Roman" w:hAnsi="Times New Roman"/>
        </w:rPr>
        <w:t>ekt nebo program, který je v zájmu celé EU. Poslední slovo v tom, jak s takovou investicí naložit, má členský stát, v němž se investice uskutečňuje.</w:t>
      </w:r>
    </w:p>
  </w:footnote>
  <w:footnote w:id="43">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Zpráva o posouzení rizik praní peněz a financování terorismu, která mají dopad na vnitřní trh a souvisej</w:t>
      </w:r>
      <w:r>
        <w:rPr>
          <w:rFonts w:ascii="Times New Roman" w:hAnsi="Times New Roman"/>
        </w:rPr>
        <w:t>í s přeshraničními činnostmi (COM(2019) 370 final ze dne 24. července 2019), zpráva o propojení vnitrostátních centralizovaných automatizovaných mechanismů (centralizované registry nebo centrální elektronické systémy vyhledávání dat) členských států, které</w:t>
      </w:r>
      <w:r>
        <w:rPr>
          <w:rFonts w:ascii="Times New Roman" w:hAnsi="Times New Roman"/>
        </w:rPr>
        <w:t xml:space="preserve"> se týkají bankovních účtů (COM(2019) 372 final ze dne 24. července 2019), zpráva o posouzení nedávných případů údajného praní peněz v evropských úvěrových institucích (COM(2019) 373 final ze dne 24. července 2019), zpráva hodnotící rámec pro spolupráci me</w:t>
      </w:r>
      <w:r>
        <w:rPr>
          <w:rFonts w:ascii="Times New Roman" w:hAnsi="Times New Roman"/>
        </w:rPr>
        <w:t>zi finančními zpravodajskými jednotkami (COM(2019) 371 final ze dne 24. července 2019).</w:t>
      </w:r>
    </w:p>
  </w:footnote>
  <w:footnote w:id="44">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2015/849 ze dne 20. května 2015.</w:t>
      </w:r>
    </w:p>
  </w:footnote>
  <w:footnote w:id="45">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2019/1153 ze dne 20. června 2016.</w:t>
      </w:r>
    </w:p>
  </w:footnote>
  <w:footnote w:id="46">
    <w:p w:rsidR="00530477" w:rsidRDefault="00600272">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 xml:space="preserve">Toto posouzení vyžaduje čl. 65 odst. 2 páté směrnice o boji </w:t>
      </w:r>
      <w:r>
        <w:rPr>
          <w:rFonts w:ascii="Times New Roman" w:hAnsi="Times New Roman"/>
        </w:rPr>
        <w:t>proti praní peněz (směrnice (EU) 2018/843 ze dne 30. května 2018)</w:t>
      </w:r>
      <w:r>
        <w:t>.</w:t>
      </w:r>
    </w:p>
  </w:footnote>
  <w:footnote w:id="47">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Zvláštní výbor Evropského parlamentu pro boj proti terorismu ve své závěrečné zprávě z prosince 2018 vyzval k vytvoření evropského systému sledování financování terorismu, který se bude </w:t>
      </w:r>
      <w:r>
        <w:rPr>
          <w:rFonts w:ascii="Times New Roman" w:hAnsi="Times New Roman"/>
        </w:rPr>
        <w:t>zaměřovat na transakce uskutečněné jednotlivci s vazbami na terorismus a financování těchto osob v rámci jednotné oblasti pro platby v eurech.</w:t>
      </w:r>
    </w:p>
  </w:footnote>
  <w:footnote w:id="48">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Viz Osmnáctá zpráva o pokroku na cestě k účinné a skutečné bezpečnostní unii (COM(2019) 145 final ze dne 20. b</w:t>
      </w:r>
      <w:r>
        <w:rPr>
          <w:rFonts w:ascii="Times New Roman" w:hAnsi="Times New Roman"/>
        </w:rPr>
        <w:t>řezna 2019).</w:t>
      </w:r>
    </w:p>
  </w:footnote>
  <w:footnote w:id="49">
    <w:p w:rsidR="00530477" w:rsidRDefault="00600272">
      <w:pPr>
        <w:pStyle w:val="FootnoteText"/>
        <w:ind w:left="426" w:hanging="426"/>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2016/681 ze dne 27. dubna 2016</w:t>
      </w:r>
      <w:r>
        <w:t>.</w:t>
      </w:r>
    </w:p>
  </w:footnote>
  <w:footnote w:id="50">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Odkazy na oznámení o plném provedení zohledňují prohlášení členských států a není jimi dotčena kontrola provedení ve vnitrostátním právu ze strany útvarů Komise.</w:t>
      </w:r>
    </w:p>
  </w:footnote>
  <w:footnote w:id="51">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Slovinsko oznámilo částečn</w:t>
      </w:r>
      <w:r>
        <w:rPr>
          <w:rFonts w:ascii="Times New Roman" w:hAnsi="Times New Roman"/>
        </w:rPr>
        <w:t xml:space="preserve">é provedení. Španělsko provedení neoznámilo (stav ke dni 24. července 2019). </w:t>
      </w:r>
    </w:p>
  </w:footnote>
  <w:footnote w:id="52">
    <w:p w:rsidR="00530477" w:rsidRDefault="00600272">
      <w:pPr>
        <w:pStyle w:val="FootnoteText"/>
        <w:ind w:left="426" w:hanging="426"/>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Směrnice (EU) 2017/541 ze dne 15. března 2017.</w:t>
      </w:r>
    </w:p>
  </w:footnote>
  <w:footnote w:id="53">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Polsko oznámilo částečné provedení. Řecko a Lucembursko provedení neoznámily (stav ke dni 24. července 2019).</w:t>
      </w:r>
      <w:r>
        <w:rPr>
          <w:rFonts w:ascii="Times New Roman" w:hAnsi="Times New Roman"/>
          <w:sz w:val="22"/>
          <w:szCs w:val="22"/>
        </w:rPr>
        <w:t xml:space="preserve"> </w:t>
      </w:r>
    </w:p>
  </w:footnote>
  <w:footnote w:id="54">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Směrnice (E</w:t>
      </w:r>
      <w:r>
        <w:rPr>
          <w:rFonts w:ascii="Times New Roman" w:hAnsi="Times New Roman"/>
        </w:rPr>
        <w:t>U) 2017/853 ze dne 17. května 2017.</w:t>
      </w:r>
    </w:p>
  </w:footnote>
  <w:footnote w:id="55">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Belgie, Česko, Estonsko, Litva, Polsko, Portugalsko, Švédsko a Spojené království oznámily částečné provedení. Německo, Irsko, Řecko, Španělsko, Kypr, Lucembursko, Maďarsko, Nizozemsko, Rumunsko, Slovinsko, Slovensko </w:t>
      </w:r>
      <w:r>
        <w:rPr>
          <w:rFonts w:ascii="Times New Roman" w:hAnsi="Times New Roman"/>
        </w:rPr>
        <w:t>a Finsko provedení neoznámily (stav ke dni 24. července 2019).</w:t>
      </w:r>
    </w:p>
  </w:footnote>
  <w:footnote w:id="56">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Směrnice (EU) 2016/680 ze dne 27. dubna 2016</w:t>
      </w:r>
      <w:r>
        <w:t>.</w:t>
      </w:r>
    </w:p>
  </w:footnote>
  <w:footnote w:id="57">
    <w:p w:rsidR="00530477" w:rsidRDefault="00600272">
      <w:pPr>
        <w:pStyle w:val="FootnoteText"/>
        <w:ind w:left="425" w:hanging="425"/>
        <w:jc w:val="both"/>
      </w:pPr>
      <w:r>
        <w:rPr>
          <w:rStyle w:val="FootnoteReference"/>
        </w:rPr>
        <w:footnoteRef/>
      </w:r>
      <w:r>
        <w:t xml:space="preserve">      </w:t>
      </w:r>
      <w:r>
        <w:rPr>
          <w:rFonts w:ascii="Times New Roman" w:hAnsi="Times New Roman"/>
        </w:rPr>
        <w:t>Dvacet členských států dokončilo provedení (stav ke dni 24. července 2019).</w:t>
      </w:r>
    </w:p>
  </w:footnote>
  <w:footnote w:id="58">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Lotyšsko, Portugalsko, Slovinsko a Finsko oznámily částečn</w:t>
      </w:r>
      <w:r>
        <w:rPr>
          <w:rFonts w:ascii="Times New Roman" w:hAnsi="Times New Roman"/>
        </w:rPr>
        <w:t>é provedení. Řecko a Španělsko provedení neoznámily. Německo sice oznámilo úplné provedení směrnice ve vnitrostátním právu, ale Komise toto provedení považuje za neúplné (stav ke dni 24. července 2019).</w:t>
      </w:r>
    </w:p>
  </w:footnote>
  <w:footnote w:id="59">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Směrnice (EU) 2016/1148 ze dne 27. dubna 2016</w:t>
      </w:r>
      <w:r>
        <w:t>.</w:t>
      </w:r>
    </w:p>
  </w:footnote>
  <w:footnote w:id="60">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ab/>
        <w:t>Be</w:t>
      </w:r>
      <w:r>
        <w:rPr>
          <w:rFonts w:ascii="Times New Roman" w:hAnsi="Times New Roman"/>
        </w:rPr>
        <w:t xml:space="preserve">lgie a Maďarsko provedly směrnici částečně (stav ke dni 24. července 2019). </w:t>
      </w:r>
    </w:p>
  </w:footnote>
  <w:footnote w:id="61">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ab/>
        <w:t>Směrnice (EU) 2015/849 ze dne 20. května 2015.</w:t>
      </w:r>
    </w:p>
  </w:footnote>
  <w:footnote w:id="62">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r>
      <w:r>
        <w:rPr>
          <w:rFonts w:ascii="Times New Roman" w:hAnsi="Times New Roman"/>
        </w:rPr>
        <w:t>Belgie, Bulharsko, Česko, Dánsko, Německo, Estonsko, Irsko, Španělsko, Francie, Itálie, Kypr, Lotyšsko, Litva, Maďarsko, Nizozemsko, Rakousko, Polsko, Portugalsko, Rumunsko, Slovinsko, Slovensko, Finsko, Švédsko a Spojené království (stav ke dni 24. červen</w:t>
      </w:r>
      <w:r>
        <w:rPr>
          <w:rFonts w:ascii="Times New Roman" w:hAnsi="Times New Roman"/>
        </w:rPr>
        <w:t xml:space="preserve">ce 2019). </w:t>
      </w:r>
    </w:p>
  </w:footnote>
  <w:footnote w:id="63">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Slovinsko oznámilo částečné provedení. Španělsko provedení neoznámilo (stav ke dni 24. července 2019).</w:t>
      </w:r>
    </w:p>
  </w:footnote>
  <w:footnote w:id="64">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Polsko oznámilo částečné provedení. Řecko a Lucembursko provedení neoznámily (stav ke dni 24. července 2019).</w:t>
      </w:r>
    </w:p>
  </w:footnote>
  <w:footnote w:id="65">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Belgie, Česko, Estonsko</w:t>
      </w:r>
      <w:r>
        <w:rPr>
          <w:rFonts w:ascii="Times New Roman" w:hAnsi="Times New Roman"/>
        </w:rPr>
        <w:t>, Litva, Polsko, Portugalsko, Švédsko a Spojené království oznámily částečné provedení. Německo, Irsko, Řecko, Španělsko, Kypr, Lucembursko, Maďarsko, Nizozemsko, Rumunsko, Slovinsko, Slovensko a Finsko provedení neoznámily (stav ke dni 24. července 2019).</w:t>
      </w:r>
    </w:p>
  </w:footnote>
  <w:footnote w:id="66">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Lotyšsko, Portugalsko, Slovinsko a Finsko oznámily částečné provedení. Řecko a Španělsko provedení neoznámily. Německo sice oznámilo úplné provedení směrnice ve vnitrostátním právu, ale Komise toto provedení považuje za neúplné (stav ke dni 24. červenc</w:t>
      </w:r>
      <w:r>
        <w:rPr>
          <w:rFonts w:ascii="Times New Roman" w:hAnsi="Times New Roman"/>
        </w:rPr>
        <w:t>e 2019).</w:t>
      </w:r>
    </w:p>
  </w:footnote>
  <w:footnote w:id="67">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Belgie a Maďarsko provedly směrnici částečně (stav ke dni 24. července 2019).</w:t>
      </w:r>
    </w:p>
  </w:footnote>
  <w:footnote w:id="68">
    <w:p w:rsidR="00530477" w:rsidRDefault="00600272">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ab/>
        <w:t xml:space="preserve">Belgie, Bulharsko, Česko, Dánsko, Německo, Estonsko, Irsko, Španělsko, Francie, Itálie, Kypr, Lotyšsko, Litva, Maďarsko, Nizozemsko, Rakousko, Polsko, Portugalsko, </w:t>
      </w:r>
      <w:r>
        <w:rPr>
          <w:rFonts w:ascii="Times New Roman" w:hAnsi="Times New Roman"/>
        </w:rPr>
        <w:t>Rumunsko, Slovinsko, Slovensko, Finsko, Švédsko a Spojené království (stav ke dni 24. července 2019).</w:t>
      </w:r>
    </w:p>
  </w:footnote>
  <w:footnote w:id="69">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Viz akční plán proti dezinformacím (JOIN(2018) 36 final ze dne 5. prosince 2018).</w:t>
      </w:r>
    </w:p>
  </w:footnote>
  <w:footnote w:id="70">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JOIN(2019) 12 final ze dne 14. června 2019.</w:t>
      </w:r>
    </w:p>
  </w:footnote>
  <w:footnote w:id="71">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5" w:history="1">
        <w:r>
          <w:rPr>
            <w:rStyle w:val="Hyperlink"/>
            <w:rFonts w:ascii="Times New Roman" w:hAnsi="Times New Roman"/>
          </w:rPr>
          <w:t>https://www.consilium.europa.eu/media/39922/20-21-euco-final-conclusions-cs.pdf</w:t>
        </w:r>
      </w:hyperlink>
      <w:r>
        <w:rPr>
          <w:rFonts w:ascii="Times New Roman" w:hAnsi="Times New Roman"/>
        </w:rPr>
        <w:t xml:space="preserve"> Výzva Evropské rady navazuje na příspěvky rumunského předsednictví Rady, Komise a </w:t>
      </w:r>
      <w:r>
        <w:rPr>
          <w:rFonts w:ascii="Times New Roman" w:hAnsi="Times New Roman"/>
        </w:rPr>
        <w:t>vysoké představitelky Unie pro zahraniční věci a bezpečnostní politiku, jež vycházejí ze zkušeností s dezinformacemi a zajištěním svobodných a spravedlivých voleb a mezi které patří i společné sdělení o provádění akčního plánu proti dezinformacím.</w:t>
      </w:r>
    </w:p>
  </w:footnote>
  <w:footnote w:id="72">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Kodex</w:t>
      </w:r>
      <w:r>
        <w:rPr>
          <w:rFonts w:ascii="Times New Roman" w:hAnsi="Times New Roman"/>
        </w:rPr>
        <w:t xml:space="preserve"> zásad podepsaly online platformy Facebook, Google, Twitter a Mozilla, jakož i inzerenti a zástupci reklamního průmyslu v říjnu 2018, a jsou v něm stanoveny samoregulační normy pro boj proti dezinformacím. Kodex usiluje o dosažení cílů stanovených ve sděle</w:t>
      </w:r>
      <w:r>
        <w:rPr>
          <w:rFonts w:ascii="Times New Roman" w:hAnsi="Times New Roman"/>
        </w:rPr>
        <w:t>ní Komise o boji proti dezinformacím na internetu z dubna 2018 (COM(2018) 236 final ze dne 26. dubna 2018) a vytyčuje řadu závazků od transparentnosti v politické reklamě přes uzavírání falešných účtů až po omezování příjmů šiřitelů dezinformací.</w:t>
      </w:r>
    </w:p>
  </w:footnote>
  <w:footnote w:id="73">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Evrops</w:t>
      </w:r>
      <w:r>
        <w:rPr>
          <w:rFonts w:ascii="Times New Roman" w:hAnsi="Times New Roman"/>
        </w:rPr>
        <w:t>ká síť pro volební spolupráci sdružuje kontaktní místa národních sítí pro spolupráci při volbách, jež působí v rámci orgánů s pravomocemi pro volební záležitosti a orgánů odpovědných za monitorování a prosazování pravidel týkajících se online činností v so</w:t>
      </w:r>
      <w:r>
        <w:rPr>
          <w:rFonts w:ascii="Times New Roman" w:hAnsi="Times New Roman"/>
        </w:rPr>
        <w:t>uvislosti s volbami. Slouží jako platforma pro upozorňování na hrozby, výměnu osvědčených postupů mezi vnitrostátními sítěmi, diskusi o jednotných řešeních zjištěných problémů a podporu společných projektů a akcí národních sítí.</w:t>
      </w:r>
    </w:p>
  </w:footnote>
  <w:footnote w:id="74">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Skupina evropských regul</w:t>
      </w:r>
      <w:r>
        <w:rPr>
          <w:rFonts w:ascii="Times New Roman" w:hAnsi="Times New Roman"/>
        </w:rPr>
        <w:t>ačních orgánů pro audiovizuální mediální služby sdružuje vedoucí nebo zástupce na vysoké úrovni z vnitrostátních nezávislých regulačních orgánů v oblasti audiovizuálních služeb, kteří mají Komisi poskytovat poradenství ohledně provádění směrnice EU o audio</w:t>
      </w:r>
      <w:r>
        <w:rPr>
          <w:rFonts w:ascii="Times New Roman" w:hAnsi="Times New Roman"/>
        </w:rPr>
        <w:t>vizuálních mediálních službách (směrnice 2010/13/EU ze dne 10. března 2010). Na svém posledním zasedání ve dnech 20.– 21. června 2019 v Bratislavě skupina představila výsledky dosavadní práce v oblasti dezinformací, přičemž se zaměřila na volby do Evropské</w:t>
      </w:r>
      <w:r>
        <w:rPr>
          <w:rFonts w:ascii="Times New Roman" w:hAnsi="Times New Roman"/>
        </w:rPr>
        <w:t>ho parlamentu v roce 2019 a na související oblasti politické a tematické reklamy.</w:t>
      </w:r>
    </w:p>
  </w:footnote>
  <w:footnote w:id="75">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Viz „osvědčené postupy pro veřejné orgány a soukromé subjekty k posílení bezpečnosti veřejných prostor“ stanovené v Osmnácté zprávě o pokroku na cestě k účinné a skutečné </w:t>
      </w:r>
      <w:r>
        <w:rPr>
          <w:rFonts w:ascii="Times New Roman" w:hAnsi="Times New Roman"/>
        </w:rPr>
        <w:t>bezpečnostní unii (COM(2019) 145 final ze dne 20. března 2019). Tyto postupy vycházejí z akčního plánu na podporu ochrany veřejných prostor z října 2017 (COM(2017) 612 final ze dne 18. října 2017). Dne 5. června 2019 proběhla třetí schůzka fóra provozovate</w:t>
      </w:r>
      <w:r>
        <w:rPr>
          <w:rFonts w:ascii="Times New Roman" w:hAnsi="Times New Roman"/>
        </w:rPr>
        <w:t xml:space="preserve">lů v rámci fóra EU pro ochranu veřejných prostor. Sešli se na ní zástupci členských států EU a soukromí provozovatelé veřejných prostor zastoupení prostřednictvím 14 evropských sdružení působících v odvětví pohostinství, živých vystoupení, hudby a zábavy, </w:t>
      </w:r>
      <w:r>
        <w:rPr>
          <w:rFonts w:ascii="Times New Roman" w:hAnsi="Times New Roman"/>
        </w:rPr>
        <w:t>zábavních parků a atrakcí, letecké dopravy, železniční dopravy, nákupních center, telekomunikací, jakož i soukromé bezpečnostní služby a výrobci bezpečnostních zařízení.</w:t>
      </w:r>
    </w:p>
  </w:footnote>
  <w:footnote w:id="76">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Zejména prováděním akčního plánu pro zlepšení připravenosti na chemická, biologická</w:t>
      </w:r>
      <w:r>
        <w:rPr>
          <w:rFonts w:ascii="Times New Roman" w:hAnsi="Times New Roman"/>
        </w:rPr>
        <w:t>, radiologická a jaderná bezpečnostní rizika z října 2017 (COM (2017) 610 final ze dne 18. října 2017).</w:t>
      </w:r>
    </w:p>
  </w:footnote>
  <w:footnote w:id="77">
    <w:p w:rsidR="00530477" w:rsidRDefault="00600272">
      <w:pPr>
        <w:pStyle w:val="FootnoteText"/>
        <w:ind w:left="426" w:hanging="426"/>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Viz čl. 12 odst. 2 rozhodnutí č. 1313/2013/EU ze dne 17. prosince 2013 o mechanismu civilní ochrany Unie ve znění rozhodnutí (EU) 2019/420 ze dne13.</w:t>
      </w:r>
      <w:r>
        <w:rPr>
          <w:rFonts w:ascii="Times New Roman" w:hAnsi="Times New Roman"/>
        </w:rPr>
        <w:t xml:space="preserve"> března 2019.</w:t>
      </w:r>
    </w:p>
  </w:footnote>
  <w:footnote w:id="78">
    <w:p w:rsidR="00530477" w:rsidRDefault="00600272">
      <w:pPr>
        <w:pStyle w:val="Footnote10"/>
        <w:shd w:val="clear" w:color="auto" w:fill="auto"/>
        <w:tabs>
          <w:tab w:val="left" w:pos="432"/>
        </w:tabs>
        <w:ind w:left="460" w:hanging="460"/>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ab/>
        <w:t>Viz posílená opatření proti chemickým hrozbám stanovená v Patnácté zprávě o pokroku na cestě k účinné a skutečné bezpečnostní unii (COM(2018) 470 final ze dne 13. června 2018).</w:t>
      </w:r>
    </w:p>
  </w:footnote>
  <w:footnote w:id="79">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Prováděcí nařízení Komise (EU) 2019/947 ze dne 24. května 20</w:t>
      </w:r>
      <w:r>
        <w:rPr>
          <w:rFonts w:ascii="Times New Roman" w:hAnsi="Times New Roman"/>
        </w:rPr>
        <w:t xml:space="preserve">19 o pravidlech a postupech pro provoz bezpilotních letadel (Úř. věst. L 152, 11.6.2019). </w:t>
      </w:r>
    </w:p>
  </w:footnote>
  <w:footnote w:id="80">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 potřebu vnímat politiku EU v oblasti ochrany kritické infrastruktury v širších souvislostech poukázalo komplexní posouzení bezpečnostní politiky EU z roku 2017</w:t>
      </w:r>
      <w:r>
        <w:rPr>
          <w:rFonts w:ascii="Times New Roman" w:hAnsi="Times New Roman"/>
        </w:rPr>
        <w:t xml:space="preserve"> (SWD(2017) 278 final ze dne 26. července 2017).</w:t>
      </w:r>
    </w:p>
  </w:footnote>
  <w:footnote w:id="81">
    <w:p w:rsidR="00530477" w:rsidRDefault="00600272">
      <w:pPr>
        <w:pStyle w:val="FootnoteText"/>
        <w:spacing w:beforeLines="1" w:before="2"/>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Cílem směrnice Rady 2008/114/ES ze dne 8. prosince 2008 o určování a označování evropských kritických infrastruktur a o posouzení potřeby zvýšit jejich ochranu je zlepšit ochranu kritické infrastruktury v</w:t>
      </w:r>
      <w:r>
        <w:rPr>
          <w:rFonts w:ascii="Times New Roman" w:hAnsi="Times New Roman"/>
        </w:rPr>
        <w:t> Evropské unii.</w:t>
      </w:r>
    </w:p>
  </w:footnote>
  <w:footnote w:id="82">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Zejména nařízení (EU) 2017/1938 ze dne 25. října 2017 o opatřeních na zajištění bezpečnosti dodávek zemního plynu a nařízení (EU) 2019/941 ze dne 5. června 2019 o rizikové připravenosti v odvětví elektroenergetiky.</w:t>
      </w:r>
    </w:p>
  </w:footnote>
  <w:footnote w:id="83">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6" w:history="1">
        <w:r>
          <w:rPr>
            <w:rStyle w:val="Hyperlink"/>
            <w:rFonts w:ascii="Times New Roman" w:hAnsi="Times New Roman"/>
          </w:rPr>
          <w:t>https://eeas.europa.eu/sites/eeas/files/2019042019_un-eu_framework_on_counter-terrorism.pdf</w:t>
        </w:r>
      </w:hyperlink>
    </w:p>
  </w:footnote>
  <w:footnote w:id="84">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65 final ze dne 6. února 2018.</w:t>
      </w:r>
    </w:p>
  </w:footnote>
  <w:footnote w:id="85">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7" w:history="1">
        <w:r>
          <w:rPr>
            <w:rStyle w:val="Hyperlink"/>
            <w:rFonts w:ascii="Times New Roman" w:hAnsi="Times New Roman"/>
          </w:rPr>
          <w:t>https://ec.europa.eu/home-affairs/sites/homeaffairs/files/what-we-do/policies/european-agend</w:t>
        </w:r>
        <w:r>
          <w:rPr>
            <w:rStyle w:val="Hyperlink"/>
            <w:rFonts w:ascii="Times New Roman" w:hAnsi="Times New Roman"/>
          </w:rPr>
          <w:t>a-security/20190627_com-2019-293-commission-report_cs.pdf</w:t>
        </w:r>
      </w:hyperlink>
    </w:p>
  </w:footnote>
  <w:footnote w:id="86">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Úř. věst. L 215, 11.8.2012, s. 5.</w:t>
      </w:r>
    </w:p>
  </w:footnote>
  <w:footnote w:id="87">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Úř. věst. L 195, 27.7. 2010, s. 5.</w:t>
      </w:r>
    </w:p>
  </w:footnote>
  <w:footnote w:id="88">
    <w:p w:rsidR="00530477" w:rsidRDefault="00600272">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342 final ze dne 22. července 2019.</w:t>
      </w:r>
    </w:p>
  </w:footnote>
  <w:footnote w:id="89">
    <w:p w:rsidR="00530477" w:rsidRDefault="00600272">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Úř. věst. L 186, 14.7.2012, s.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77" w:rsidRDefault="00530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CF1"/>
    <w:multiLevelType w:val="hybridMultilevel"/>
    <w:tmpl w:val="E69A4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8F686F"/>
    <w:multiLevelType w:val="hybridMultilevel"/>
    <w:tmpl w:val="71BCB600"/>
    <w:lvl w:ilvl="0" w:tplc="91248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A5515C"/>
    <w:multiLevelType w:val="multilevel"/>
    <w:tmpl w:val="EFFA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D4DB2"/>
    <w:multiLevelType w:val="hybridMultilevel"/>
    <w:tmpl w:val="2D3E159C"/>
    <w:lvl w:ilvl="0" w:tplc="7554B212">
      <w:start w:val="1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38C6"/>
    <w:multiLevelType w:val="hybridMultilevel"/>
    <w:tmpl w:val="ADF40502"/>
    <w:lvl w:ilvl="0" w:tplc="833E69A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0C44A9"/>
    <w:multiLevelType w:val="hybridMultilevel"/>
    <w:tmpl w:val="65CA8E72"/>
    <w:lvl w:ilvl="0" w:tplc="70D28B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C5BB5"/>
    <w:multiLevelType w:val="hybridMultilevel"/>
    <w:tmpl w:val="C736F902"/>
    <w:lvl w:ilvl="0" w:tplc="60E6C22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790A24"/>
    <w:multiLevelType w:val="hybridMultilevel"/>
    <w:tmpl w:val="559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E37D2A"/>
    <w:multiLevelType w:val="hybridMultilevel"/>
    <w:tmpl w:val="D792BC4A"/>
    <w:lvl w:ilvl="0" w:tplc="03A055B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BF39C0"/>
    <w:multiLevelType w:val="multilevel"/>
    <w:tmpl w:val="900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10C0A"/>
    <w:multiLevelType w:val="hybridMultilevel"/>
    <w:tmpl w:val="6C9C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E4719"/>
    <w:multiLevelType w:val="hybridMultilevel"/>
    <w:tmpl w:val="A584401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6" w15:restartNumberingAfterBreak="0">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FD0C73"/>
    <w:multiLevelType w:val="hybridMultilevel"/>
    <w:tmpl w:val="A09C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9" w15:restartNumberingAfterBreak="0">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406A8"/>
    <w:multiLevelType w:val="hybridMultilevel"/>
    <w:tmpl w:val="A4F855B0"/>
    <w:lvl w:ilvl="0" w:tplc="C5D4F71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0"/>
  </w:num>
  <w:num w:numId="3">
    <w:abstractNumId w:val="5"/>
  </w:num>
  <w:num w:numId="4">
    <w:abstractNumId w:val="12"/>
  </w:num>
  <w:num w:numId="5">
    <w:abstractNumId w:val="3"/>
  </w:num>
  <w:num w:numId="6">
    <w:abstractNumId w:val="10"/>
  </w:num>
  <w:num w:numId="7">
    <w:abstractNumId w:val="23"/>
  </w:num>
  <w:num w:numId="8">
    <w:abstractNumId w:val="8"/>
  </w:num>
  <w:num w:numId="9">
    <w:abstractNumId w:val="26"/>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0"/>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2"/>
  </w:num>
  <w:num w:numId="21">
    <w:abstractNumId w:val="13"/>
  </w:num>
  <w:num w:numId="22">
    <w:abstractNumId w:val="17"/>
  </w:num>
  <w:num w:numId="23">
    <w:abstractNumId w:val="19"/>
  </w:num>
  <w:num w:numId="24">
    <w:abstractNumId w:val="4"/>
  </w:num>
  <w:num w:numId="25">
    <w:abstractNumId w:val="21"/>
  </w:num>
  <w:num w:numId="26">
    <w:abstractNumId w:val="27"/>
  </w:num>
  <w:num w:numId="27">
    <w:abstractNumId w:val="18"/>
  </w:num>
  <w:num w:numId="28">
    <w:abstractNumId w:val="24"/>
  </w:num>
  <w:num w:numId="29">
    <w:abstractNumId w:val="14"/>
  </w:num>
  <w:num w:numId="30">
    <w:abstractNumId w:val="30"/>
  </w:num>
  <w:num w:numId="31">
    <w:abstractNumId w:val="7"/>
  </w:num>
  <w:num w:numId="32">
    <w:abstractNumId w:val="9"/>
  </w:num>
  <w:num w:numId="33">
    <w:abstractNumId w:val="11"/>
  </w:num>
  <w:num w:numId="34">
    <w:abstractNumId w:val="16"/>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0D155C3-E13F-43C8-B8C2-021F1E478076"/>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V Bruselu dne "/>
    <w:docVar w:name="LW_EMISSION_SUFFIX" w:val=" "/>
    <w:docVar w:name="LW_ID_DOCTYPE_NONLW" w:val="CP-035"/>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evatenáctá zpráva o pokroku na cest\u283? k ú\u269?inné a skute\u269?né bezpe\u269?nostní unii"/>
    <w:docVar w:name="LW_TYPE.DOC.CP" w:val="SD\u282?LENÍ KOMISE EVROPSKÉMU PARLAMENTU, EVROPSKÉ RAD\u282? A RAD\u282?"/>
  </w:docVars>
  <w:rsids>
    <w:rsidRoot w:val="00530477"/>
    <w:rsid w:val="00530477"/>
    <w:rsid w:val="0060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528B179-3463-4B3B-A2B5-8EE4EFBB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cs-CZ"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89">
      <w:bodyDiv w:val="1"/>
      <w:marLeft w:val="0"/>
      <w:marRight w:val="0"/>
      <w:marTop w:val="0"/>
      <w:marBottom w:val="0"/>
      <w:divBdr>
        <w:top w:val="none" w:sz="0" w:space="0" w:color="auto"/>
        <w:left w:val="none" w:sz="0" w:space="0" w:color="auto"/>
        <w:bottom w:val="none" w:sz="0" w:space="0" w:color="auto"/>
        <w:right w:val="none" w:sz="0" w:space="0" w:color="auto"/>
      </w:divBdr>
    </w:div>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31848075">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0774864">
      <w:bodyDiv w:val="1"/>
      <w:marLeft w:val="0"/>
      <w:marRight w:val="0"/>
      <w:marTop w:val="0"/>
      <w:marBottom w:val="0"/>
      <w:divBdr>
        <w:top w:val="none" w:sz="0" w:space="0" w:color="auto"/>
        <w:left w:val="none" w:sz="0" w:space="0" w:color="auto"/>
        <w:bottom w:val="none" w:sz="0" w:space="0" w:color="auto"/>
        <w:right w:val="none" w:sz="0" w:space="0" w:color="auto"/>
      </w:divBdr>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640815063">
      <w:bodyDiv w:val="1"/>
      <w:marLeft w:val="0"/>
      <w:marRight w:val="0"/>
      <w:marTop w:val="0"/>
      <w:marBottom w:val="0"/>
      <w:divBdr>
        <w:top w:val="none" w:sz="0" w:space="0" w:color="auto"/>
        <w:left w:val="none" w:sz="0" w:space="0" w:color="auto"/>
        <w:bottom w:val="none" w:sz="0" w:space="0" w:color="auto"/>
        <w:right w:val="none" w:sz="0" w:space="0" w:color="auto"/>
      </w:divBdr>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793250097">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0114363">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689019385">
      <w:bodyDiv w:val="1"/>
      <w:marLeft w:val="0"/>
      <w:marRight w:val="0"/>
      <w:marTop w:val="0"/>
      <w:marBottom w:val="0"/>
      <w:divBdr>
        <w:top w:val="none" w:sz="0" w:space="0" w:color="auto"/>
        <w:left w:val="none" w:sz="0" w:space="0" w:color="auto"/>
        <w:bottom w:val="none" w:sz="0" w:space="0" w:color="auto"/>
        <w:right w:val="none" w:sz="0" w:space="0" w:color="auto"/>
      </w:divBdr>
    </w:div>
    <w:div w:id="1789884564">
      <w:bodyDiv w:val="1"/>
      <w:marLeft w:val="0"/>
      <w:marRight w:val="0"/>
      <w:marTop w:val="0"/>
      <w:marBottom w:val="0"/>
      <w:divBdr>
        <w:top w:val="none" w:sz="0" w:space="0" w:color="auto"/>
        <w:left w:val="none" w:sz="0" w:space="0" w:color="auto"/>
        <w:bottom w:val="none" w:sz="0" w:space="0" w:color="auto"/>
        <w:right w:val="none" w:sz="0" w:space="0" w:color="auto"/>
      </w:divBdr>
      <w:divsChild>
        <w:div w:id="1923643036">
          <w:marLeft w:val="0"/>
          <w:marRight w:val="0"/>
          <w:marTop w:val="0"/>
          <w:marBottom w:val="0"/>
          <w:divBdr>
            <w:top w:val="none" w:sz="0" w:space="0" w:color="auto"/>
            <w:left w:val="none" w:sz="0" w:space="0" w:color="auto"/>
            <w:bottom w:val="none" w:sz="0" w:space="0" w:color="auto"/>
            <w:right w:val="none" w:sz="0" w:space="0" w:color="auto"/>
          </w:divBdr>
        </w:div>
        <w:div w:id="1547790993">
          <w:marLeft w:val="0"/>
          <w:marRight w:val="0"/>
          <w:marTop w:val="0"/>
          <w:marBottom w:val="0"/>
          <w:divBdr>
            <w:top w:val="none" w:sz="0" w:space="0" w:color="auto"/>
            <w:left w:val="none" w:sz="0" w:space="0" w:color="auto"/>
            <w:bottom w:val="none" w:sz="0" w:space="0" w:color="auto"/>
            <w:right w:val="none" w:sz="0" w:space="0" w:color="auto"/>
          </w:divBdr>
        </w:div>
        <w:div w:id="1608807805">
          <w:marLeft w:val="0"/>
          <w:marRight w:val="0"/>
          <w:marTop w:val="0"/>
          <w:marBottom w:val="0"/>
          <w:divBdr>
            <w:top w:val="none" w:sz="0" w:space="0" w:color="auto"/>
            <w:left w:val="none" w:sz="0" w:space="0" w:color="auto"/>
            <w:bottom w:val="none" w:sz="0" w:space="0" w:color="auto"/>
            <w:right w:val="none" w:sz="0" w:space="0" w:color="auto"/>
          </w:divBdr>
        </w:div>
        <w:div w:id="1564220127">
          <w:marLeft w:val="0"/>
          <w:marRight w:val="0"/>
          <w:marTop w:val="0"/>
          <w:marBottom w:val="0"/>
          <w:divBdr>
            <w:top w:val="none" w:sz="0" w:space="0" w:color="auto"/>
            <w:left w:val="none" w:sz="0" w:space="0" w:color="auto"/>
            <w:bottom w:val="none" w:sz="0" w:space="0" w:color="auto"/>
            <w:right w:val="none" w:sz="0" w:space="0" w:color="auto"/>
          </w:divBdr>
        </w:div>
      </w:divsChild>
    </w:div>
    <w:div w:id="1825731861">
      <w:bodyDiv w:val="1"/>
      <w:marLeft w:val="0"/>
      <w:marRight w:val="0"/>
      <w:marTop w:val="0"/>
      <w:marBottom w:val="0"/>
      <w:divBdr>
        <w:top w:val="none" w:sz="0" w:space="0" w:color="auto"/>
        <w:left w:val="none" w:sz="0" w:space="0" w:color="auto"/>
        <w:bottom w:val="none" w:sz="0" w:space="0" w:color="auto"/>
        <w:right w:val="none" w:sz="0" w:space="0" w:color="auto"/>
      </w:divBdr>
    </w:div>
    <w:div w:id="1828355933">
      <w:bodyDiv w:val="1"/>
      <w:marLeft w:val="0"/>
      <w:marRight w:val="0"/>
      <w:marTop w:val="0"/>
      <w:marBottom w:val="0"/>
      <w:divBdr>
        <w:top w:val="none" w:sz="0" w:space="0" w:color="auto"/>
        <w:left w:val="none" w:sz="0" w:space="0" w:color="auto"/>
        <w:bottom w:val="none" w:sz="0" w:space="0" w:color="auto"/>
        <w:right w:val="none" w:sz="0" w:space="0" w:color="auto"/>
      </w:divBdr>
    </w:div>
    <w:div w:id="1853258915">
      <w:bodyDiv w:val="1"/>
      <w:marLeft w:val="0"/>
      <w:marRight w:val="0"/>
      <w:marTop w:val="0"/>
      <w:marBottom w:val="0"/>
      <w:divBdr>
        <w:top w:val="none" w:sz="0" w:space="0" w:color="auto"/>
        <w:left w:val="none" w:sz="0" w:space="0" w:color="auto"/>
        <w:bottom w:val="none" w:sz="0" w:space="0" w:color="auto"/>
        <w:right w:val="none" w:sz="0" w:space="0" w:color="auto"/>
      </w:divBdr>
    </w:div>
    <w:div w:id="1863857146">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10-million-eu-funding-available-projects-stepping-eus-cybersecurity-capabilities-and-cross" TargetMode="External"/><Relationship Id="rId13" Type="http://schemas.openxmlformats.org/officeDocument/2006/relationships/hyperlink" Target="https://www.consilium.europa.eu/cs/press/press-releases/2018/12/14/european-council-conclusions-13-14-december-2018/" TargetMode="External"/><Relationship Id="rId3" Type="http://schemas.openxmlformats.org/officeDocument/2006/relationships/hyperlink" Target="https://www.elysee.fr/emmanuel-macron/2019/05/15/the-christchurch-call-to-action-to-eliminate-terrorist-and-violent-extremist-content-online.en" TargetMode="External"/><Relationship Id="rId7" Type="http://schemas.openxmlformats.org/officeDocument/2006/relationships/hyperlink" Target="https://ec.europa.eu/digital-single-market/en/news/building-strong-cybersecurity-european-union-resilience-deterence-defence" TargetMode="External"/><Relationship Id="rId12" Type="http://schemas.openxmlformats.org/officeDocument/2006/relationships/hyperlink" Target="https://www.consilium.europa.eu/cs/press/press-releases/2019/06/06/council-gives-mandate-to-commission-to-negotiate-international-agreements-on-e-evidence-in-criminal-matters/" TargetMode="External"/><Relationship Id="rId17" Type="http://schemas.openxmlformats.org/officeDocument/2006/relationships/hyperlink" Target="https://ec.europa.eu/home-affairs/sites/homeaffairs/files/what-we-do/policies/european-agenda-security/20190627_com-2019-293-commission-report_cs.pdf" TargetMode="External"/><Relationship Id="rId2" Type="http://schemas.openxmlformats.org/officeDocument/2006/relationships/hyperlink" Target="https://ec.europa.eu/commission/sites/beta-political/files/euco-sibiu-security-union_cs.pdf" TargetMode="External"/><Relationship Id="rId16" Type="http://schemas.openxmlformats.org/officeDocument/2006/relationships/hyperlink" Target="https://eeas.europa.eu/sites/eeas/files/2019042019_un-eu_framework_on_counter-terrorism.pdf" TargetMode="External"/><Relationship Id="rId1" Type="http://schemas.openxmlformats.org/officeDocument/2006/relationships/hyperlink" Target="https://www.consilium.europa.eu/media/39924/a-new-strategic-agenda-2019-2024-cs.pdf" TargetMode="External"/><Relationship Id="rId6" Type="http://schemas.openxmlformats.org/officeDocument/2006/relationships/hyperlink" Target="https://ec.europa.eu/home-affairs/what-we-do/networks/radicalisation_awareness_network_en" TargetMode="External"/><Relationship Id="rId11" Type="http://schemas.openxmlformats.org/officeDocument/2006/relationships/hyperlink" Target="https://www.consilium.europa.eu/media/39922/20-21-euco-final-conclusions-cs.pdf" TargetMode="External"/><Relationship Id="rId5" Type="http://schemas.openxmlformats.org/officeDocument/2006/relationships/hyperlink" Target="https://g20.org/pdf/documents/en/FINAL_G20_Statement_on_Preventing_Terrorist_and_VECT.pdf" TargetMode="External"/><Relationship Id="rId15" Type="http://schemas.openxmlformats.org/officeDocument/2006/relationships/hyperlink" Target="https://www.consilium.europa.eu/media/39922/20-21-euco-final-conclusions-cs.pdf" TargetMode="External"/><Relationship Id="rId10" Type="http://schemas.openxmlformats.org/officeDocument/2006/relationships/hyperlink" Target="http://data.consilium.europa.eu/doc/document/ST-9916-2017-INIT/cs/pdf" TargetMode="External"/><Relationship Id="rId4" Type="http://schemas.openxmlformats.org/officeDocument/2006/relationships/hyperlink" Target="https://www.elysee.fr/en/g7/2019/04/06/g7-interior-ministers-meeting-what-are-the-outcomes" TargetMode="External"/><Relationship Id="rId9" Type="http://schemas.openxmlformats.org/officeDocument/2006/relationships/hyperlink" Target="https://ec.europa.eu/programmes/horizon2020/en/h2020-section/cross-cutting-activities-focus-areas" TargetMode="External"/><Relationship Id="rId14" Type="http://schemas.openxmlformats.org/officeDocument/2006/relationships/hyperlink" Target="https://data.consilium.europa.eu/doc/document/ST-1-2019-INIT/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83E1-9BEE-4533-8F99-A5CC11CE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7892</Words>
  <Characters>41749</Characters>
  <Application>Microsoft Office Word</Application>
  <DocSecurity>0</DocSecurity>
  <Lines>605</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HEILEMANN Stefanie (SG)</cp:lastModifiedBy>
  <cp:revision>21</cp:revision>
  <cp:lastPrinted>2019-07-15T12:49:00Z</cp:lastPrinted>
  <dcterms:created xsi:type="dcterms:W3CDTF">2019-07-22T09:29:00Z</dcterms:created>
  <dcterms:modified xsi:type="dcterms:W3CDTF">2019-09-11T13:56:00Z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CP-035</vt:lpwstr>
  </property>
</Properties>
</file>