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5D98EA29-88CE-4BFD-9F5F-EB59A7EF83B3" style="width:450.8pt;height:320.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Oznámenie Komisie Európskemu parlamentu a Rade</w:t>
      </w:r>
    </w:p>
    <w:p>
      <w:pPr>
        <w:spacing w:after="720"/>
        <w:jc w:val="center"/>
        <w:rPr>
          <w:b/>
          <w:noProof/>
        </w:rPr>
      </w:pPr>
      <w:r>
        <w:rPr>
          <w:b/>
          <w:noProof/>
        </w:rPr>
        <w:t>Pravidlá ochrany údajov ako nástroj budovania dôvery v EÚ a mimo nej – celkové hodnotenie</w:t>
      </w:r>
    </w:p>
    <w:p>
      <w:pPr>
        <w:pStyle w:val="ListParagraph"/>
        <w:numPr>
          <w:ilvl w:val="0"/>
          <w:numId w:val="71"/>
        </w:numPr>
        <w:spacing w:after="240" w:line="240" w:lineRule="auto"/>
        <w:jc w:val="left"/>
        <w:rPr>
          <w:b/>
          <w:noProof/>
        </w:rPr>
      </w:pPr>
      <w:r>
        <w:rPr>
          <w:b/>
          <w:noProof/>
        </w:rPr>
        <w:t>Úvod</w:t>
      </w:r>
    </w:p>
    <w:p>
      <w:pPr>
        <w:rPr>
          <w:noProof/>
          <w:spacing w:val="-2"/>
        </w:rPr>
      </w:pPr>
      <w:r>
        <w:rPr>
          <w:noProof/>
          <w:spacing w:val="-2"/>
        </w:rPr>
        <w:t>Všeobecné nariadenie o ochrane údajov</w:t>
      </w:r>
      <w:r>
        <w:rPr>
          <w:rStyle w:val="FootnoteReference"/>
          <w:noProof/>
          <w:spacing w:val="-2"/>
        </w:rPr>
        <w:footnoteReference w:id="2"/>
      </w:r>
      <w:r>
        <w:rPr>
          <w:noProof/>
          <w:spacing w:val="-2"/>
        </w:rPr>
        <w:t xml:space="preserve"> (ďalej len „nariadenie“) sa uplatňuje v celej Európskej únii už viac ako jeden rok. Nachádza sa v centre koherentného a modernizovaného prostredia ochrany údajov EÚ, ktoré zahŕňa aj smernicu o presadzovaní práva</w:t>
      </w:r>
      <w:r>
        <w:rPr>
          <w:rStyle w:val="FootnoteReference"/>
          <w:noProof/>
          <w:spacing w:val="-2"/>
        </w:rPr>
        <w:footnoteReference w:id="3"/>
      </w:r>
      <w:r>
        <w:rPr>
          <w:noProof/>
          <w:spacing w:val="-2"/>
        </w:rPr>
        <w:t xml:space="preserve"> a nariadenie o ochrane údajov v prípade inštitúcií a orgánov EÚ</w:t>
      </w:r>
      <w:r>
        <w:rPr>
          <w:rStyle w:val="FootnoteReference"/>
          <w:noProof/>
          <w:spacing w:val="-2"/>
        </w:rPr>
        <w:footnoteReference w:id="4"/>
      </w:r>
      <w:r>
        <w:rPr>
          <w:noProof/>
          <w:spacing w:val="-2"/>
        </w:rPr>
        <w:t>. Tento rámec sa má doplniť nariadením o súkromí a elektronických komunikáciách, ktoré sa v súčasnosti nachádza v legislatívnom procese.</w:t>
      </w:r>
    </w:p>
    <w:p>
      <w:pPr>
        <w:rPr>
          <w:noProof/>
        </w:rPr>
      </w:pPr>
      <w:r>
        <w:rPr>
          <w:noProof/>
        </w:rPr>
        <w:t>Na zaručenie základného práva na ochranu osobných údajov sú nevyhnutné prísne pravidlá ochrany údajov. Sú ústredným prvkom demokratickej spoločnosti</w:t>
      </w:r>
      <w:r>
        <w:rPr>
          <w:rStyle w:val="FootnoteReference"/>
          <w:noProof/>
        </w:rPr>
        <w:footnoteReference w:id="5"/>
      </w:r>
      <w:r>
        <w:rPr>
          <w:noProof/>
        </w:rPr>
        <w:t xml:space="preserve"> a dôležitou súčasťou hospodárstva čoraz väčšmi založeného na údajoch. Európska únia sa usiluje využívať množstvo príležitostí, ktoré ponúka digitálna transformácia z hľadiska služieb, pracovných miest a inovácií, a zároveň riešiť problémy, ktoré tieto príležitosti so sebou prinášajú. Krádež totožnosti, úniky citlivých údajov, diskriminácia jednotlivcov, integrovaná zaujatosť, zdieľanie nezákonného obsahu a vývoj rušivých nástrojov na sledovanie sú len niekoľkými príkladmi problémov, ktoré sa čoraz častejšie vyskytujú vo verejnej diskusii, pričom je zrejmé, že ľudia očakávajú, že ich údaje budú chránené.</w:t>
      </w:r>
    </w:p>
    <w:p>
      <w:pPr>
        <w:rPr>
          <w:noProof/>
        </w:rPr>
      </w:pPr>
      <w:r>
        <w:rPr>
          <w:noProof/>
        </w:rPr>
        <w:t>Ochrana údajov sa stala skutočne globálnym javom, pretože ľudia na celom svete si čoraz väčšmi strážia a vážia ochranu a bezpečnosť svojich údajov. Mnoho krajín prijalo alebo práve prijíma komplexné pravidlá ochrany údajov vychádzajúce z podobných zásad, aké sa uvádzajú v nariadení, výsledkom čoho je globálna konvergencia pravidiel ochrany údajov. Naskytujú sa tak nové príležitosti na zjednodušenie toku údajov medzi komerčnými prevádzkovateľmi alebo orgánmi verejnej moci a zároveň sa zvyšuje úroveň ochrany osobných údajov v EÚ a na celom svete.</w:t>
      </w:r>
    </w:p>
    <w:p>
      <w:pPr>
        <w:rPr>
          <w:noProof/>
        </w:rPr>
      </w:pPr>
      <w:r>
        <w:rPr>
          <w:noProof/>
        </w:rPr>
        <w:lastRenderedPageBreak/>
        <w:t>Ochrana údajov sa berie vážnejšie než kedykoľvek predtým a má rozsiahly vplyv na rôzne zainteresované strany a sektory. Komisia je odhodlaná viesť EÚ k úspešnému vykonávaniu nového režimu ochrany údajov a podporovať všetky aspekty jeho úplného fungovania. Týmto oznámením Komisia hodnotí doposiaľ dosiahnuté výsledky v súvislosti s jednotným vykonávaním pravidiel ochrany údajov v celej EÚ, fungovanie nového systému riadenia, vplyv na občanov a podniky a úsilie EÚ pri presadzovaní globálnej konvergencie režimov ochrany údajov. Toto oznámenie nadväzuje na oznámenie Komisie o uplatňovaní nariadenia z januára 2018</w:t>
      </w:r>
      <w:r>
        <w:rPr>
          <w:rStyle w:val="FootnoteReference"/>
          <w:noProof/>
        </w:rPr>
        <w:footnoteReference w:id="6"/>
      </w:r>
      <w:r>
        <w:rPr>
          <w:noProof/>
        </w:rPr>
        <w:t xml:space="preserve"> a vychádza z informácií o práci skupiny viacerých zainteresovaných strán</w:t>
      </w:r>
      <w:r>
        <w:rPr>
          <w:rStyle w:val="FootnoteReference"/>
          <w:noProof/>
        </w:rPr>
        <w:footnoteReference w:id="7"/>
      </w:r>
      <w:r>
        <w:rPr>
          <w:noProof/>
        </w:rPr>
        <w:t>, najmä z jej prínosu k jednoročnému hodnoteniu, ako aj z diskusií na hodnotiacom podujatí, ktoré Komisia organizovala 13. júna 2019</w:t>
      </w:r>
      <w:r>
        <w:rPr>
          <w:rStyle w:val="FootnoteReference"/>
          <w:noProof/>
        </w:rPr>
        <w:footnoteReference w:id="8"/>
      </w:r>
      <w:r>
        <w:rPr>
          <w:noProof/>
        </w:rPr>
        <w:t>. Toto oznámenie je takisto príspevkom k preskúmaniu, ktoré Komisia plánuje vykonať do mája 2020</w:t>
      </w:r>
      <w:r>
        <w:rPr>
          <w:rStyle w:val="FootnoteReference"/>
          <w:noProof/>
        </w:rPr>
        <w:footnoteReference w:id="9"/>
      </w:r>
      <w:r>
        <w:rPr>
          <w:noProof/>
        </w:rPr>
        <w:t>.</w:t>
      </w:r>
    </w:p>
    <w:p>
      <w:pPr>
        <w:rPr>
          <w:noProof/>
        </w:rPr>
      </w:pPr>
      <w:r>
        <w:rPr>
          <w:noProof/>
        </w:rPr>
        <w:t>Právny rámec EÚ v oblasti ochrany údajov je základným kameňom európskeho prístupu k inováciám sústredeného na človeka. Stáva sa súčasťou regulačného základu pre čoraz širšie spektrum politík vrátane zdravia a výskumu, umelej inteligencie, dopravy, energetiky, hospodárskej súťaže a presadzovania práva. Komisia neustále zdôrazňovala význam riadneho vykonávania a presadzovania nových pravidiel ochrany údajov, ako to podotýka vo svojom oznámení o uplatňovaní nariadenia vydanom v januári 2018 a vo svojom usmernení k používaniu osobných údajov v kontexte volieb uverejnenom v septembri 2018</w:t>
      </w:r>
      <w:r>
        <w:rPr>
          <w:rStyle w:val="FootnoteReference"/>
          <w:noProof/>
        </w:rPr>
        <w:footnoteReference w:id="10"/>
      </w:r>
      <w:r>
        <w:rPr>
          <w:noProof/>
        </w:rPr>
        <w:t>. V čase uvedeného oznámenia sa dosiahol značný pokrok smerom k tomuto cieľu, hoci na to, aby sa nariadenie uplatňovalo v plnom rozsahu, je určite potrebné vykonať viac práce.</w:t>
      </w:r>
    </w:p>
    <w:p>
      <w:pPr>
        <w:pStyle w:val="Heading1"/>
        <w:numPr>
          <w:ilvl w:val="0"/>
          <w:numId w:val="71"/>
        </w:numPr>
        <w:rPr>
          <w:rFonts w:ascii="Times New Roman" w:hAnsi="Times New Roman"/>
          <w:noProof/>
        </w:rPr>
      </w:pPr>
      <w:r>
        <w:rPr>
          <w:rFonts w:ascii="Times New Roman" w:hAnsi="Times New Roman"/>
          <w:noProof/>
        </w:rPr>
        <w:t>Jeden kontinent, jeden predpis: v členských štátoch je zavedený rámec ochrany údajov</w:t>
      </w:r>
    </w:p>
    <w:p>
      <w:pPr>
        <w:rPr>
          <w:noProof/>
          <w:spacing w:val="-6"/>
        </w:rPr>
      </w:pPr>
      <w:r>
        <w:rPr>
          <w:noProof/>
          <w:spacing w:val="-6"/>
        </w:rPr>
        <w:t>Jedným z hlavných cieľov nariadenia bolo odstrániť nejednotnosť 28 rôznych vnútroštátnych právnych predpisov, ktoré existovali v rámci predchádzajúcej smernice o ochrane údajov</w:t>
      </w:r>
      <w:r>
        <w:rPr>
          <w:rStyle w:val="FootnoteReference"/>
          <w:noProof/>
          <w:spacing w:val="-6"/>
        </w:rPr>
        <w:footnoteReference w:id="11"/>
      </w:r>
      <w:r>
        <w:rPr>
          <w:noProof/>
          <w:spacing w:val="-6"/>
        </w:rPr>
        <w:t>, a poskytnúť jednotlivcom a podnikom v celej EÚ právnu istotu. Tento cieľ sa do značnej miery splnil.</w:t>
      </w:r>
    </w:p>
    <w:p>
      <w:pPr>
        <w:jc w:val="left"/>
        <w:rPr>
          <w:i/>
          <w:iCs/>
          <w:noProof/>
        </w:rPr>
      </w:pPr>
      <w:r>
        <w:rPr>
          <w:noProof/>
        </w:rPr>
        <w:br w:type="page"/>
      </w:r>
    </w:p>
    <w:p>
      <w:pPr>
        <w:rPr>
          <w:i/>
          <w:iCs/>
          <w:noProof/>
        </w:rPr>
      </w:pPr>
      <w:r>
        <w:rPr>
          <w:i/>
          <w:iCs/>
          <w:noProof/>
        </w:rPr>
        <w:t>Harmonizácia právneho rámca</w:t>
      </w:r>
    </w:p>
    <w:p>
      <w:pPr>
        <w:rPr>
          <w:noProof/>
          <w:spacing w:val="-6"/>
        </w:rPr>
      </w:pPr>
      <w:r>
        <w:rPr>
          <w:noProof/>
          <w:spacing w:val="-6"/>
        </w:rPr>
        <w:t>Hoci je nariadenie priamo uplatniteľné v členských štátoch, zaviazali sa ním k tomu, aby na vnútroštátnej úrovni podnikli niekoľko právnych krokov, najmä aby stanovili a pridelili právomoci vnútroštátnym orgánom pre ochranu osobných údajov</w:t>
      </w:r>
      <w:r>
        <w:rPr>
          <w:rStyle w:val="FootnoteReference"/>
          <w:noProof/>
          <w:spacing w:val="-6"/>
        </w:rPr>
        <w:footnoteReference w:id="12"/>
      </w:r>
      <w:r>
        <w:rPr>
          <w:noProof/>
          <w:spacing w:val="-6"/>
        </w:rPr>
        <w:t>, stanovili pravidlá týkajúce sa konkrétnych otázok, akými sú napríklad zosúladenie ochrany osobných údajov so slobodou prejavu a s právom na informácie a zmena alebo zrušenie odvetvových právnych predpisov s aspektmi ochrany údajov. V čase tohto oznámenia aktualizovali svoje vnútroštátne právne predpisy o ochrane údajov všetky členské štáty s výnimkou troch</w:t>
      </w:r>
      <w:r>
        <w:rPr>
          <w:rStyle w:val="FootnoteReference"/>
          <w:noProof/>
          <w:spacing w:val="-6"/>
        </w:rPr>
        <w:footnoteReference w:id="13"/>
      </w:r>
      <w:r>
        <w:rPr>
          <w:noProof/>
          <w:spacing w:val="-6"/>
        </w:rPr>
        <w:t>. Na vnútroštátnej úrovni sa naďalej pracuje na úprave odvetvových právnych predpisov. Po začlenení nariadenia do Dohody o Európskom hospodárskom priestore sa uplatňovanie nariadenia rozšírilo na Island, Lichtenštajnsko a Nórsko, ktoré takisto prijali svoje vnútroštátne právne predpisy o ochrane údajov.</w:t>
      </w:r>
    </w:p>
    <w:p>
      <w:pPr>
        <w:rPr>
          <w:noProof/>
          <w:spacing w:val="-2"/>
        </w:rPr>
      </w:pPr>
      <w:r>
        <w:rPr>
          <w:noProof/>
          <w:spacing w:val="-2"/>
        </w:rPr>
        <w:t>Zainteresované strany však v niektorých oblastiach</w:t>
      </w:r>
      <w:r>
        <w:rPr>
          <w:rStyle w:val="FootnoteReference"/>
          <w:noProof/>
          <w:spacing w:val="-2"/>
        </w:rPr>
        <w:footnoteReference w:id="14"/>
      </w:r>
      <w:r>
        <w:rPr>
          <w:noProof/>
          <w:spacing w:val="-2"/>
        </w:rPr>
        <w:t xml:space="preserve"> požadujú ešte vyššiu mieru harmonizácie. V nariadení sa členským štátom skutočne poskytuje istý priestor na bližšiu špecifikáciu jeho uplatňovania v určitých oblastiach, ako je napríklad vek, v ktorom môže dieťa poskytnúť súhlas v súvislosti s online službami</w:t>
      </w:r>
      <w:r>
        <w:rPr>
          <w:rStyle w:val="FootnoteReference"/>
          <w:noProof/>
          <w:spacing w:val="-2"/>
        </w:rPr>
        <w:footnoteReference w:id="15"/>
      </w:r>
      <w:r>
        <w:rPr>
          <w:noProof/>
          <w:spacing w:val="-2"/>
        </w:rPr>
        <w:t>, alebo spracúvanie osobných údajov v oblastiach ako medicína a verejné zdravie. V tomto prípade sa činnosť členských štátov vymedzuje dvoma prvkami:</w:t>
      </w:r>
    </w:p>
    <w:p>
      <w:pPr>
        <w:pStyle w:val="ListParagraph"/>
        <w:numPr>
          <w:ilvl w:val="0"/>
          <w:numId w:val="70"/>
        </w:numPr>
        <w:ind w:left="567" w:hanging="425"/>
        <w:rPr>
          <w:noProof/>
        </w:rPr>
      </w:pPr>
      <w:r>
        <w:rPr>
          <w:noProof/>
        </w:rPr>
        <w:t>každý vnútroštátny špecifikačný zákon musí spĺňať požiadavky charty základných práv</w:t>
      </w:r>
      <w:r>
        <w:rPr>
          <w:rStyle w:val="FootnoteReference"/>
          <w:noProof/>
        </w:rPr>
        <w:footnoteReference w:id="16"/>
      </w:r>
      <w:r>
        <w:rPr>
          <w:noProof/>
        </w:rPr>
        <w:t xml:space="preserve"> (a nesmie prekročiť hranice stanovené v nariadení, ktoré z charty vychádza);</w:t>
      </w:r>
    </w:p>
    <w:p>
      <w:pPr>
        <w:pStyle w:val="ListParagraph"/>
        <w:numPr>
          <w:ilvl w:val="0"/>
          <w:numId w:val="70"/>
        </w:numPr>
        <w:ind w:left="567" w:hanging="425"/>
        <w:rPr>
          <w:noProof/>
        </w:rPr>
      </w:pPr>
      <w:r>
        <w:rPr>
          <w:noProof/>
        </w:rPr>
        <w:t>nesmie zasahovať do voľného pohybu osobných údajov v rámci EÚ</w:t>
      </w:r>
      <w:r>
        <w:rPr>
          <w:rStyle w:val="FootnoteReference"/>
          <w:noProof/>
        </w:rPr>
        <w:footnoteReference w:id="17"/>
      </w:r>
      <w:r>
        <w:rPr>
          <w:noProof/>
        </w:rPr>
        <w:t>.</w:t>
      </w:r>
    </w:p>
    <w:p>
      <w:pPr>
        <w:rPr>
          <w:noProof/>
        </w:rPr>
      </w:pPr>
      <w:r>
        <w:rPr>
          <w:noProof/>
        </w:rPr>
        <w:t>V niektorých prípadoch členské štáty zaviedli nad rámec nariadenia aj vnútroštátne požiadavky, najmä prostredníctvom mnohých odvetvových právnych predpisov, čo vedie k fragmentácii a výsledkom je vytvorenie zbytočného zaťaženia. Príkladom dodatočnej požiadavky zavedenej členskými štátmi nad rámec nariadenia je v rámci nemeckých právnych predpisov povinnosť určiť zodpovednú osobu v spoločnostiach s počtom zamestnancov 20 alebo viac, ktoré sa permanentne podieľajú na automatizovanom spracúvaní osobných údajov.</w:t>
      </w:r>
    </w:p>
    <w:p>
      <w:pPr>
        <w:rPr>
          <w:i/>
          <w:iCs/>
          <w:noProof/>
        </w:rPr>
      </w:pPr>
      <w:r>
        <w:rPr>
          <w:i/>
          <w:iCs/>
          <w:noProof/>
        </w:rPr>
        <w:t>Pretrvávajúce úsilie o väčšiu harmonizáciu</w:t>
      </w:r>
    </w:p>
    <w:p>
      <w:pPr>
        <w:rPr>
          <w:noProof/>
        </w:rPr>
      </w:pPr>
      <w:r>
        <w:rPr>
          <w:noProof/>
        </w:rPr>
        <w:t>Komisia sa zapája do dvojstranných dialógov s vnútroštátnymi orgánmi, pričom venuje osobitnú pozornosť vnútroštátnym opatreniam, ktoré sa týkajú:</w:t>
      </w:r>
    </w:p>
    <w:p>
      <w:pPr>
        <w:pStyle w:val="ListParagraph"/>
        <w:numPr>
          <w:ilvl w:val="0"/>
          <w:numId w:val="65"/>
        </w:numPr>
        <w:ind w:left="426" w:hanging="284"/>
        <w:rPr>
          <w:noProof/>
        </w:rPr>
      </w:pPr>
      <w:r>
        <w:rPr>
          <w:noProof/>
        </w:rPr>
        <w:t>účinnej nezávislosti orgánov pre ochranu osobných údajov, a to aj prostredníctvom primeraných finančných, ľudských a technických zdrojov,</w:t>
      </w:r>
    </w:p>
    <w:p>
      <w:pPr>
        <w:pStyle w:val="ListParagraph"/>
        <w:numPr>
          <w:ilvl w:val="0"/>
          <w:numId w:val="65"/>
        </w:numPr>
        <w:ind w:left="426" w:hanging="284"/>
        <w:rPr>
          <w:noProof/>
        </w:rPr>
      </w:pPr>
      <w:r>
        <w:rPr>
          <w:noProof/>
        </w:rPr>
        <w:t>spôsobu, akým vnútroštátne právne predpisy obmedzujú práva dotknutých osôb,</w:t>
      </w:r>
    </w:p>
    <w:p>
      <w:pPr>
        <w:pStyle w:val="ListParagraph"/>
        <w:numPr>
          <w:ilvl w:val="0"/>
          <w:numId w:val="65"/>
        </w:numPr>
        <w:ind w:left="426" w:hanging="284"/>
        <w:rPr>
          <w:noProof/>
        </w:rPr>
      </w:pPr>
      <w:r>
        <w:rPr>
          <w:noProof/>
        </w:rPr>
        <w:t>skutočnosti, že vo vnútroštátnych právnych predpisoch by sa nemali zavádzať požiadavky, ktoré idú nad rámec nariadenia, ak neexistuje priestor na špecifikáciu, ako sú napríklad dodatočné podmienky spracúvania,</w:t>
      </w:r>
    </w:p>
    <w:p>
      <w:pPr>
        <w:pStyle w:val="ListParagraph"/>
        <w:numPr>
          <w:ilvl w:val="0"/>
          <w:numId w:val="65"/>
        </w:numPr>
        <w:ind w:left="426" w:hanging="284"/>
        <w:rPr>
          <w:noProof/>
        </w:rPr>
      </w:pPr>
      <w:r>
        <w:rPr>
          <w:noProof/>
        </w:rPr>
        <w:t>splnenia povinnosti zosúladiť právo na ochranu osobných údajov so slobodou prejavu a s právom na informácie, pričom treba zohľadniť, že táto povinnosť by sa nemala zneužívať na vytvorenie zastrašovacieho účinku na novinársku prácu.</w:t>
      </w:r>
    </w:p>
    <w:p>
      <w:pPr>
        <w:rPr>
          <w:noProof/>
        </w:rPr>
      </w:pPr>
      <w:r>
        <w:rPr>
          <w:noProof/>
        </w:rPr>
        <w:t>Činnosť orgánov pre ochranu osobných údajov, ktoré spolupracujú v rámci Európskeho výboru pre ochranu údajov (ďalej len „výbor“), je kľúčovým stimulom konzistentného uplatňovania nových pravidiel: opatrenia v oblasti presadzovania, ktoré ovplyvňujú viacero členských štátov, prechádzajú v rámci výboru mechanizmom spolupráce a mechanizmom konzistentnosti</w:t>
      </w:r>
      <w:r>
        <w:rPr>
          <w:rStyle w:val="FootnoteReference"/>
          <w:noProof/>
        </w:rPr>
        <w:footnoteReference w:id="18"/>
      </w:r>
      <w:r>
        <w:rPr>
          <w:noProof/>
        </w:rPr>
        <w:t xml:space="preserve"> a usmernenia prijaté výborom prispievajú k harmonizovanému chápaniu nariadenia. Zainteresované strany však očakávajú, že orgány pre ochranu osobných údajov urobia v tomto smere ešte viac.</w:t>
      </w:r>
    </w:p>
    <w:p>
      <w:pPr>
        <w:rPr>
          <w:noProof/>
          <w:spacing w:val="-2"/>
        </w:rPr>
      </w:pPr>
      <w:r>
        <w:rPr>
          <w:noProof/>
          <w:spacing w:val="-2"/>
        </w:rPr>
        <w:t>Konzistentný výklad pravidiel ochrany údajov pomáha vytvárať aj činnosť vnútroštátnych súdov a Súdneho dvora Európskej únie. Vnútroštátne súdy nedávno vydali rozsudky zrušujúce ustanovenia vnútroštátnych právnych predpisov, ktoré sa odchyľujú od nariadenia</w:t>
      </w:r>
      <w:r>
        <w:rPr>
          <w:rStyle w:val="FootnoteReference"/>
          <w:noProof/>
          <w:spacing w:val="-2"/>
        </w:rPr>
        <w:footnoteReference w:id="19"/>
      </w:r>
      <w:r>
        <w:rPr>
          <w:noProof/>
          <w:spacing w:val="-2"/>
        </w:rPr>
        <w:t>.</w:t>
      </w:r>
    </w:p>
    <w:p>
      <w:pPr>
        <w:pStyle w:val="Heading1"/>
        <w:numPr>
          <w:ilvl w:val="0"/>
          <w:numId w:val="71"/>
        </w:numPr>
        <w:rPr>
          <w:rFonts w:ascii="Times New Roman" w:hAnsi="Times New Roman"/>
          <w:noProof/>
        </w:rPr>
      </w:pPr>
      <w:r>
        <w:rPr>
          <w:rFonts w:ascii="Times New Roman" w:hAnsi="Times New Roman"/>
          <w:noProof/>
        </w:rPr>
        <w:t>Všetky súčasti nového systému riadenia do seba zapadajú</w:t>
      </w:r>
    </w:p>
    <w:p>
      <w:pPr>
        <w:rPr>
          <w:noProof/>
        </w:rPr>
      </w:pPr>
      <w:r>
        <w:rPr>
          <w:noProof/>
        </w:rPr>
        <w:t>Nariadením sa vytvorila nová štruktúra riadenia a do jej centra sa postavili nezávislé vnútroštátne orgány pre ochranu osobných údajov ako subjekty zodpovedné za presadzovanie nariadenia a priamy kontakt so zainteresovanými stranami. Hoci väčšina orgánov pre ochranu osobných údajov v poslednom roku čerpala výhody zo zvýšených zdrojov, medzi členskými štátmi naďalej existujú veľké rozdiely</w:t>
      </w:r>
      <w:r>
        <w:rPr>
          <w:rStyle w:val="FootnoteReference"/>
          <w:noProof/>
        </w:rPr>
        <w:footnoteReference w:id="20"/>
      </w:r>
      <w:r>
        <w:rPr>
          <w:noProof/>
        </w:rPr>
        <w:t>.</w:t>
      </w:r>
    </w:p>
    <w:p>
      <w:pPr>
        <w:pStyle w:val="Heading3"/>
        <w:rPr>
          <w:noProof/>
        </w:rPr>
      </w:pPr>
      <w:r>
        <w:rPr>
          <w:noProof/>
        </w:rPr>
        <w:t>Orgány pre ochranu osobných údajov využívajú svoje nové právomoci</w:t>
      </w:r>
    </w:p>
    <w:p>
      <w:pPr>
        <w:rPr>
          <w:noProof/>
        </w:rPr>
      </w:pPr>
      <w:r>
        <w:rPr>
          <w:noProof/>
        </w:rPr>
        <w:t>Nariadením sa posilňujú právomoci orgánov pre ochranu osobných údajov v oblasti presadzovania. Napriek obavám, ktoré vyjadrili niektoré zainteresované strany pred májom 2018, prijali vnútroštátne orgány pre ochranu osobných údajov vyvážený prístup k právomociam v oblasti presadzovania. Zamerali sa skôr na dialóg než na sankcie, a to najmä v prípade najmenších prevádzkovateľov, ktorých hlavnou činnosťou nie je spracúvanie osobných údajov. Zároveň sa nevyhýbali účinnému využívaniu svojich nových právomocí, kedykoľvek to bolo potrebné, vrátane začatia vyšetrovania v oblasti sociálnych médií</w:t>
      </w:r>
      <w:r>
        <w:rPr>
          <w:rStyle w:val="FootnoteReference"/>
          <w:noProof/>
        </w:rPr>
        <w:footnoteReference w:id="21"/>
      </w:r>
      <w:r>
        <w:rPr>
          <w:noProof/>
        </w:rPr>
        <w:t xml:space="preserve"> a ukladania správnych pokút vo výške od niekoľko tisíc do niekoľko miliónov eur v závislosti od závažnosti porušenia pravidiel ochrany údajov.</w:t>
      </w:r>
    </w:p>
    <w:p>
      <w:pPr>
        <w:rPr>
          <w:noProof/>
        </w:rPr>
      </w:pPr>
      <w:r>
        <w:rPr>
          <w:noProof/>
        </w:rPr>
        <w:t>Príklady pokút uložených orgánmi pre ochranu osobných údajov</w:t>
      </w:r>
      <w:r>
        <w:rPr>
          <w:rStyle w:val="FootnoteReference"/>
          <w:noProof/>
        </w:rPr>
        <w:footnoteReference w:id="22"/>
      </w:r>
      <w:r>
        <w:rPr>
          <w:noProof/>
        </w:rPr>
        <w:t>:</w:t>
      </w:r>
    </w:p>
    <w:p>
      <w:pPr>
        <w:pStyle w:val="ListParagraph"/>
        <w:numPr>
          <w:ilvl w:val="0"/>
          <w:numId w:val="65"/>
        </w:numPr>
        <w:ind w:left="426" w:hanging="283"/>
        <w:rPr>
          <w:noProof/>
        </w:rPr>
      </w:pPr>
      <w:r>
        <w:rPr>
          <w:noProof/>
        </w:rPr>
        <w:t>5 000 EUR pre športovú stávkovú kaviareň v Rakúsku za nezákonné monitorovanie kamerovým systémom,</w:t>
      </w:r>
    </w:p>
    <w:p>
      <w:pPr>
        <w:pStyle w:val="ListParagraph"/>
        <w:numPr>
          <w:ilvl w:val="0"/>
          <w:numId w:val="65"/>
        </w:numPr>
        <w:ind w:left="426" w:hanging="283"/>
        <w:rPr>
          <w:noProof/>
        </w:rPr>
      </w:pPr>
      <w:r>
        <w:rPr>
          <w:noProof/>
        </w:rPr>
        <w:t>220 000 EUR pre spoločnosť sprostredkujúcu údaje v Poľsku za neinformovanie jednotlivcov o tom, že sa ich údaje spracúvajú,</w:t>
      </w:r>
    </w:p>
    <w:p>
      <w:pPr>
        <w:pStyle w:val="ListParagraph"/>
        <w:numPr>
          <w:ilvl w:val="0"/>
          <w:numId w:val="65"/>
        </w:numPr>
        <w:ind w:left="426" w:hanging="283"/>
        <w:rPr>
          <w:noProof/>
        </w:rPr>
      </w:pPr>
      <w:r>
        <w:rPr>
          <w:noProof/>
        </w:rPr>
        <w:t>250 000 EUR uložených španielskej futbalovej lige LaLiga z dôvodu nedostatočnej transparentnosti návrhu jej aplikácie pre smartfóny,</w:t>
      </w:r>
    </w:p>
    <w:p>
      <w:pPr>
        <w:pStyle w:val="ListParagraph"/>
        <w:numPr>
          <w:ilvl w:val="0"/>
          <w:numId w:val="65"/>
        </w:numPr>
        <w:ind w:left="426" w:hanging="283"/>
        <w:rPr>
          <w:noProof/>
        </w:rPr>
      </w:pPr>
      <w:r>
        <w:rPr>
          <w:noProof/>
        </w:rPr>
        <w:t>50 miliónov EUR pre spoločnosť Google vo Francúzsku za podmienky získavania súhlasu od používateľov.</w:t>
      </w:r>
    </w:p>
    <w:p>
      <w:pPr>
        <w:rPr>
          <w:noProof/>
        </w:rPr>
      </w:pPr>
      <w:r>
        <w:rPr>
          <w:noProof/>
        </w:rPr>
        <w:t>Počas vedenia vyšetrovaní je nevyhnutné, aby orgány pre ochranu osobných údajov zhromažďovali relevantné dôkazy, dodržiavali všetky procesné kroky podľa vnútroštátnych právnych predpisov a zabezpečovali riadny postup pri často zložitých súboroch. Vyžaduje si to čas a zahŕňa značné množstvo práce, čo vysvetľuje, prečo väčšina vyšetrovaní začatých po nadobudnutí účinnosti nariadenia ešte stále prebieha.</w:t>
      </w:r>
    </w:p>
    <w:p>
      <w:pPr>
        <w:rPr>
          <w:noProof/>
        </w:rPr>
      </w:pPr>
      <w:r>
        <w:rPr>
          <w:noProof/>
        </w:rPr>
        <w:t>Vzhľadom na uvedené by sa úspešnosť nariadenia nemala merať počtom uložených pokút, ale zmenami v kultúre a správaní všetkých zúčastnených aktérov. V tejto súvislosti majú orgány pre ochranu osobných údajov k dispozícii ďalšie nástroje, ako napríklad dočasné alebo definitívne obmedzenie spracúvania vrátane zákazu alebo nariadenie pozastavenia tokov údajov príjemcovi v tretej krajine</w:t>
      </w:r>
      <w:r>
        <w:rPr>
          <w:rStyle w:val="FootnoteReference"/>
          <w:noProof/>
        </w:rPr>
        <w:footnoteReference w:id="23"/>
      </w:r>
      <w:r>
        <w:rPr>
          <w:noProof/>
        </w:rPr>
        <w:t>.</w:t>
      </w:r>
    </w:p>
    <w:p>
      <w:pPr>
        <w:rPr>
          <w:noProof/>
        </w:rPr>
      </w:pPr>
      <w:r>
        <w:rPr>
          <w:noProof/>
        </w:rPr>
        <w:t>Niektoré orgány pre ochranu osobných údajov vytvorili nové nástroje, ako napríklad linky pomoci a súbory nástrojov pre podniky, zatiaľ čo iné vyvinuli nové prístupy, ako napríklad regulačné prostredia</w:t>
      </w:r>
      <w:r>
        <w:rPr>
          <w:rStyle w:val="FootnoteReference"/>
          <w:noProof/>
        </w:rPr>
        <w:footnoteReference w:id="24"/>
      </w:r>
      <w:r>
        <w:rPr>
          <w:noProof/>
        </w:rPr>
        <w:t xml:space="preserve"> na pomoc spoločnostiam v ich úsilí o dosiahnutie súladu. Mnohé zainteresované strany, najmä malé a stredné podniky v niektorých členských štátoch</w:t>
      </w:r>
      <w:r>
        <w:rPr>
          <w:rStyle w:val="FootnoteReference"/>
          <w:noProof/>
        </w:rPr>
        <w:footnoteReference w:id="25"/>
      </w:r>
      <w:r>
        <w:rPr>
          <w:noProof/>
        </w:rPr>
        <w:t>, však stále zastávajú názor, že nedostali dostatočnú podporu a informácie. S cieľom pomôcť pri náprave tejto situácie Komisia poskytuje orgánom pre ochranu osobných údajov granty, aby mohli osloviť zainteresované strany, a to najmä jednotlivcov a malé a stredné podniky</w:t>
      </w:r>
      <w:r>
        <w:rPr>
          <w:rStyle w:val="FootnoteReference"/>
          <w:noProof/>
        </w:rPr>
        <w:footnoteReference w:id="26"/>
      </w:r>
      <w:r>
        <w:rPr>
          <w:noProof/>
        </w:rPr>
        <w:t>.</w:t>
      </w:r>
    </w:p>
    <w:p>
      <w:pPr>
        <w:jc w:val="left"/>
        <w:rPr>
          <w:i/>
          <w:noProof/>
        </w:rPr>
      </w:pPr>
      <w:r>
        <w:rPr>
          <w:noProof/>
        </w:rPr>
        <w:br w:type="page"/>
      </w:r>
    </w:p>
    <w:p>
      <w:pPr>
        <w:pStyle w:val="Heading3"/>
        <w:rPr>
          <w:noProof/>
        </w:rPr>
      </w:pPr>
      <w:r>
        <w:rPr>
          <w:noProof/>
        </w:rPr>
        <w:t>Európsky výbor pre ochranu údajov je funkčný</w:t>
      </w:r>
    </w:p>
    <w:p>
      <w:pPr>
        <w:rPr>
          <w:noProof/>
        </w:rPr>
      </w:pPr>
      <w:r>
        <w:rPr>
          <w:noProof/>
        </w:rPr>
        <w:t>Orgány pre ochranu osobných údajov zintenzívnili svoju prácu v Európskom výbore pre ochranu údajov</w:t>
      </w:r>
      <w:r>
        <w:rPr>
          <w:rStyle w:val="FootnoteReference"/>
          <w:noProof/>
        </w:rPr>
        <w:footnoteReference w:id="27"/>
      </w:r>
      <w:r>
        <w:rPr>
          <w:noProof/>
        </w:rPr>
        <w:t>. Touto intenzívnou prácou sa výboru umožnilo prijať približne 20 usmernení, ktoré sa týkajú kľúčových aspektov nariadenia</w:t>
      </w:r>
      <w:r>
        <w:rPr>
          <w:rStyle w:val="FootnoteReference"/>
          <w:noProof/>
        </w:rPr>
        <w:footnoteReference w:id="28"/>
      </w:r>
      <w:r>
        <w:rPr>
          <w:noProof/>
        </w:rPr>
        <w:t>. Budúce oblasti činnosti výboru sú uvedené v dvojročnom programe</w:t>
      </w:r>
      <w:r>
        <w:rPr>
          <w:rStyle w:val="FootnoteReference"/>
          <w:noProof/>
        </w:rPr>
        <w:footnoteReference w:id="29"/>
      </w:r>
      <w:r>
        <w:rPr>
          <w:noProof/>
        </w:rPr>
        <w:t>, ako sa vyžaduje v nariadení.</w:t>
      </w:r>
    </w:p>
    <w:p>
      <w:pPr>
        <w:rPr>
          <w:noProof/>
          <w:spacing w:val="-4"/>
        </w:rPr>
      </w:pPr>
      <w:r>
        <w:rPr>
          <w:noProof/>
          <w:spacing w:val="-4"/>
        </w:rPr>
        <w:t>V cezhraničných prípadoch už každý orgán pre ochranu osobných údajov nepôsobí iba ako vnútroštátny orgán, ale je súčasťou skutočného postupu na úrovni celej EÚ vo všetkých fázach od vyšetrovania až po rozhodnutie. Takáto úzka spolupráca sa stala každodennou praxou: ku koncu júna 2019 sa prostredníctvom mechanizmu spolupráce vyriešilo 516 cezhraničných prípadov.</w:t>
      </w:r>
    </w:p>
    <w:p>
      <w:pPr>
        <w:rPr>
          <w:noProof/>
        </w:rPr>
      </w:pPr>
      <w:r>
        <w:rPr>
          <w:noProof/>
        </w:rPr>
        <w:t>Komisia aktívne prispieva k práci výboru</w:t>
      </w:r>
      <w:r>
        <w:rPr>
          <w:rStyle w:val="FootnoteReference"/>
          <w:noProof/>
        </w:rPr>
        <w:footnoteReference w:id="30"/>
      </w:r>
      <w:r>
        <w:rPr>
          <w:noProof/>
        </w:rPr>
        <w:t xml:space="preserve"> s cieľom propagovať znenie a zmysel nariadenia a pripomína všeobecné zásady práva EÚ</w:t>
      </w:r>
      <w:r>
        <w:rPr>
          <w:rStyle w:val="FootnoteReference"/>
          <w:noProof/>
        </w:rPr>
        <w:footnoteReference w:id="31"/>
      </w:r>
      <w:r>
        <w:rPr>
          <w:noProof/>
        </w:rPr>
        <w:t>.</w:t>
      </w:r>
    </w:p>
    <w:p>
      <w:pPr>
        <w:rPr>
          <w:i/>
          <w:iCs/>
          <w:noProof/>
        </w:rPr>
      </w:pPr>
      <w:r>
        <w:rPr>
          <w:i/>
          <w:iCs/>
          <w:noProof/>
        </w:rPr>
        <w:t>Na ceste k vytvoreniu kultúry ochrany osobných údajov EÚ</w:t>
      </w:r>
    </w:p>
    <w:p>
      <w:pPr>
        <w:rPr>
          <w:noProof/>
        </w:rPr>
      </w:pPr>
      <w:r>
        <w:rPr>
          <w:noProof/>
        </w:rPr>
        <w:t>Nový systém riadenia ešte stále musí ukázať svoj plný potenciál. Je dôležité, aby výbor ďalej zefektívňoval svoje rozhodovanie a rozvíjal spoločnú kultúru ochrany osobných údajov EÚ medzi jej členmi. Orgány pre ochranu osobných údajov majú možnosti sústrediť svoje úsilie</w:t>
      </w:r>
      <w:r>
        <w:rPr>
          <w:rStyle w:val="FootnoteReference"/>
          <w:noProof/>
        </w:rPr>
        <w:footnoteReference w:id="32"/>
      </w:r>
      <w:r>
        <w:rPr>
          <w:noProof/>
        </w:rPr>
        <w:t xml:space="preserve"> na záležitosti, ktoré sa týkajú viac ako jedného členského štátu, napríklad vykonávať spoločné vyšetrovania a opatrenia v oblasti presadzovania, ktorými možno k takémuto cieľu prispieť a zároveň zmierniť obmedzenia z hľadiska zdrojov.</w:t>
      </w:r>
    </w:p>
    <w:p>
      <w:pPr>
        <w:rPr>
          <w:noProof/>
          <w:color w:val="000000" w:themeColor="text1"/>
        </w:rPr>
      </w:pPr>
      <w:r>
        <w:rPr>
          <w:noProof/>
        </w:rPr>
        <w:t>Mnoho zainteresovaných strán si želá ešte väčšiu spoluprácu a jednotný prístup vnútroštátnych orgánov pre ochranu osobných údajov</w:t>
      </w:r>
      <w:r>
        <w:rPr>
          <w:rStyle w:val="FootnoteReference"/>
          <w:noProof/>
        </w:rPr>
        <w:footnoteReference w:id="33"/>
      </w:r>
      <w:r>
        <w:rPr>
          <w:noProof/>
        </w:rPr>
        <w:t>. Žiadajú aj väčšiu konzistentnosť v poradenstve poskytovanom orgánmi pre ochranu osobných údajov</w:t>
      </w:r>
      <w:r>
        <w:rPr>
          <w:rStyle w:val="FootnoteReference"/>
          <w:noProof/>
        </w:rPr>
        <w:footnoteReference w:id="34"/>
      </w:r>
      <w:r>
        <w:rPr>
          <w:noProof/>
        </w:rPr>
        <w:t xml:space="preserve"> a úplné zosúladenie vnútroštátnych usmernení s usmerneniami výboru. Niektoré očakávajú aj bližšie objasnenie kľúčových pojmov nariadenia, akým je napríklad prístup založený na rizikách, pričom sa osobitne zohľadňujú najmä obavy malých a stredných podnikov.</w:t>
      </w:r>
    </w:p>
    <w:p>
      <w:pPr>
        <w:rPr>
          <w:noProof/>
        </w:rPr>
      </w:pPr>
      <w:r>
        <w:rPr>
          <w:noProof/>
        </w:rPr>
        <w:t>V tejto súvislosti je nevyhnutné umožniť zainteresovaným stranám lepšie sa zapojiť do práce výboru. Z tohto dôvodu Komisia víta systematické verejné konzultácie o usmerneniach, ktoré organizuje výbor. Spolu s organizovaním seminárov zainteresovaných strán o cielených témach v ranom štádiu úvah by sa v takejto činnosti malo pokračovať a mala by sa posilňovať v záujme zaistenia transparentnosti, inkluzívnosti a relevantnosti práce výboru.</w:t>
      </w:r>
    </w:p>
    <w:p>
      <w:pPr>
        <w:pStyle w:val="Heading1"/>
        <w:numPr>
          <w:ilvl w:val="0"/>
          <w:numId w:val="71"/>
        </w:numPr>
        <w:rPr>
          <w:rFonts w:ascii="Times New Roman" w:hAnsi="Times New Roman"/>
          <w:noProof/>
        </w:rPr>
      </w:pPr>
      <w:r>
        <w:rPr>
          <w:rFonts w:ascii="Times New Roman" w:hAnsi="Times New Roman"/>
          <w:noProof/>
        </w:rPr>
        <w:t>Jednotlivci využívajú svoje práva, ale v zvyšovaní informovanosti by sa malo pokračovať</w:t>
      </w:r>
    </w:p>
    <w:p>
      <w:pPr>
        <w:rPr>
          <w:noProof/>
        </w:rPr>
      </w:pPr>
      <w:r>
        <w:rPr>
          <w:noProof/>
        </w:rPr>
        <w:t>Ďalším kľúčovým cieľom nariadenia bolo posilnenie práv jednotlivcov. Združenia pre občianske práva a spotrebiteľské organizácie vo všeobecnosti považujú nariadenie za dôležitý prínos k spravodlivej digitálnej spoločnosti vybudovanej na vzájomnej dôvere.</w:t>
      </w:r>
    </w:p>
    <w:p>
      <w:pPr>
        <w:keepNext/>
        <w:rPr>
          <w:i/>
          <w:iCs/>
          <w:noProof/>
        </w:rPr>
      </w:pPr>
      <w:r>
        <w:rPr>
          <w:i/>
          <w:iCs/>
          <w:noProof/>
        </w:rPr>
        <w:t>Lepšia informovanosť o právach súvisiacich s ochranou osobných údajov</w:t>
      </w:r>
    </w:p>
    <w:p>
      <w:pPr>
        <w:rPr>
          <w:noProof/>
        </w:rPr>
      </w:pPr>
      <w:r>
        <w:rPr>
          <w:noProof/>
        </w:rPr>
        <w:t>Jednotlivci v EÚ sú v čoraz väčšej miere informovaní o pravidlách ochrany údajov a o svojich právach. Podľa Eurobarometra z mája 2019</w:t>
      </w:r>
      <w:r>
        <w:rPr>
          <w:rStyle w:val="FootnoteReference"/>
          <w:noProof/>
        </w:rPr>
        <w:footnoteReference w:id="35"/>
      </w:r>
      <w:r>
        <w:rPr>
          <w:noProof/>
        </w:rPr>
        <w:t xml:space="preserve"> je o nariadení informovaných 67 % respondentov a 57 % vie, že existuje vnútroštátny orgán pre ochranu osobných údajov, na ktorý sa môžu obrátiť s cieľom získať informácie alebo podávať sťažnosti. Aspoň o jednom z práv zaručených nariadením počulo 73 % respondentov. Značný počet jednotlivcov v EÚ však ešte stále nepodniká aktívne kroky na ochranu svojich osobných údajov pri vstupe do online priestoru. Až 44 % jednotlivcov si napríklad nezmenilo predvolené nastavenie ochrany osobných údajov na sociálnych sieťach.</w:t>
      </w:r>
    </w:p>
    <w:p>
      <w:pPr>
        <w:rPr>
          <w:i/>
          <w:iCs/>
          <w:noProof/>
        </w:rPr>
      </w:pPr>
      <w:r>
        <w:rPr>
          <w:i/>
          <w:iCs/>
          <w:noProof/>
        </w:rPr>
        <w:t>Jednotlivci uplatňujú svoje práva v čoraz väčšom rozsahu</w:t>
      </w:r>
    </w:p>
    <w:p>
      <w:pPr>
        <w:rPr>
          <w:noProof/>
          <w:spacing w:val="-4"/>
        </w:rPr>
      </w:pPr>
      <w:r>
        <w:rPr>
          <w:noProof/>
          <w:spacing w:val="-4"/>
        </w:rPr>
        <w:t>Táto zvýšená informovanosť o právach viedla jednotlivcov k tomu, aby ich uplatňovali intenzívnejšie prostredníctvom kladenia zákazníckych otázok a prostredníctvom toho, že sa častejšie obracajú na orgány pre ochranu osobných údajov s cieľom požiadať o informácie alebo podať sťažnosť</w:t>
      </w:r>
      <w:r>
        <w:rPr>
          <w:rStyle w:val="FootnoteReference"/>
          <w:noProof/>
          <w:spacing w:val="-4"/>
        </w:rPr>
        <w:footnoteReference w:id="36"/>
      </w:r>
      <w:r>
        <w:rPr>
          <w:noProof/>
          <w:spacing w:val="-4"/>
        </w:rPr>
        <w:t>. Podniky takisto uvádzajú, že počet žiadostí o prístup k osobným údajom sa zvýšil vo viacerých sektoroch, napríklad v bankovníctve a telekomunikáciách. Jednotlivci takisto častejšie odvolávali svoj súhlas a uplatňovali si právo namietať proti komerčnej komunikácii</w:t>
      </w:r>
      <w:r>
        <w:rPr>
          <w:rStyle w:val="FootnoteReference"/>
          <w:noProof/>
          <w:spacing w:val="-4"/>
        </w:rPr>
        <w:footnoteReference w:id="37"/>
      </w:r>
      <w:r>
        <w:rPr>
          <w:noProof/>
          <w:spacing w:val="-4"/>
        </w:rPr>
        <w:t>.</w:t>
      </w:r>
    </w:p>
    <w:p>
      <w:pPr>
        <w:rPr>
          <w:noProof/>
          <w:spacing w:val="-2"/>
        </w:rPr>
      </w:pPr>
      <w:r>
        <w:rPr>
          <w:noProof/>
          <w:spacing w:val="-2"/>
        </w:rPr>
        <w:t>Niektorí prevádzkovatelia však informovali o prípadoch nesprávneho pochopenia pravidiel ochrany osobných údajov zo strany jednotlivcov, akým je napríklad presvedčenie, že jednotlivci by mali súhlasiť so všetkými typmi spracúvania, alebo že právo na vymazanie je absolútne (hoci napríklad osobné údaje si prevádzkovatelia niekedy musia uchovávať zo zákonnej povinnosti)</w:t>
      </w:r>
      <w:r>
        <w:rPr>
          <w:rStyle w:val="FootnoteReference"/>
          <w:noProof/>
          <w:spacing w:val="-2"/>
        </w:rPr>
        <w:footnoteReference w:id="38"/>
      </w:r>
      <w:r>
        <w:rPr>
          <w:noProof/>
          <w:spacing w:val="-2"/>
        </w:rPr>
        <w:t>. Organizácie občianskej spoločnosti sa na druhej strane sťažujú na veľmi oneskorené reakcie niektorých obchodných orgánov a orgánov pre ochranu osobných údajov.</w:t>
      </w:r>
    </w:p>
    <w:p>
      <w:pPr>
        <w:rPr>
          <w:noProof/>
          <w:spacing w:val="-4"/>
        </w:rPr>
      </w:pPr>
      <w:r>
        <w:rPr>
          <w:noProof/>
          <w:spacing w:val="-4"/>
        </w:rPr>
        <w:t>Dôležité však je, že mimovládne organizácie iniciovali po poverení jednotlivcami niekoľko žalôb v zastúpení, pričom využili novú možnosť podľa nariadenia</w:t>
      </w:r>
      <w:r>
        <w:rPr>
          <w:rStyle w:val="FootnoteReference"/>
          <w:noProof/>
          <w:spacing w:val="-4"/>
        </w:rPr>
        <w:footnoteReference w:id="39"/>
      </w:r>
      <w:r>
        <w:rPr>
          <w:noProof/>
          <w:spacing w:val="-4"/>
        </w:rPr>
        <w:t>. Uplatňovanie žalôb v zastúpení by bolo jednoduchšie, keby viac členských štátov využilo možnosť umožniť mimovládnym organizáciám iniciovať konanie bez poverenia, ktorá sa stanovuje v nariadení</w:t>
      </w:r>
      <w:r>
        <w:rPr>
          <w:rStyle w:val="FootnoteReference"/>
          <w:noProof/>
          <w:spacing w:val="-4"/>
        </w:rPr>
        <w:footnoteReference w:id="40"/>
      </w:r>
      <w:r>
        <w:rPr>
          <w:noProof/>
          <w:spacing w:val="-4"/>
        </w:rPr>
        <w:t>.</w:t>
      </w:r>
    </w:p>
    <w:p>
      <w:pPr>
        <w:jc w:val="left"/>
        <w:rPr>
          <w:i/>
          <w:iCs/>
          <w:noProof/>
        </w:rPr>
      </w:pPr>
      <w:r>
        <w:rPr>
          <w:noProof/>
        </w:rPr>
        <w:br w:type="page"/>
      </w:r>
    </w:p>
    <w:p>
      <w:pPr>
        <w:rPr>
          <w:i/>
          <w:iCs/>
          <w:noProof/>
        </w:rPr>
      </w:pPr>
      <w:r>
        <w:rPr>
          <w:i/>
          <w:iCs/>
          <w:noProof/>
        </w:rPr>
        <w:t>Potreba pokračovať v úsilí o zvyšovanie informovanosti</w:t>
      </w:r>
    </w:p>
    <w:p>
      <w:pPr>
        <w:rPr>
          <w:noProof/>
        </w:rPr>
      </w:pPr>
      <w:r>
        <w:rPr>
          <w:noProof/>
        </w:rPr>
        <w:t>Úsilie o dialóg a zvyšovanie informovanosti zamerané na širokú verejnosť preto musí pokračovať na vnútroštátnej úrovni i na úrovni EÚ. Na tento účel Komisia začala v júli 2019 novú online kampaň</w:t>
      </w:r>
      <w:r>
        <w:rPr>
          <w:rStyle w:val="FootnoteReference"/>
          <w:noProof/>
        </w:rPr>
        <w:footnoteReference w:id="41"/>
      </w:r>
      <w:r>
        <w:rPr>
          <w:noProof/>
        </w:rPr>
        <w:t xml:space="preserve"> s cieľom povzbudiť jednotlivcov, aby čítali vyhlásenia o ochrane osobných údajov a optimalizovali si nastavenia ochrany osobných údajov.</w:t>
      </w:r>
    </w:p>
    <w:p>
      <w:pPr>
        <w:pStyle w:val="Heading1"/>
        <w:numPr>
          <w:ilvl w:val="0"/>
          <w:numId w:val="71"/>
        </w:numPr>
        <w:rPr>
          <w:rFonts w:ascii="Times New Roman" w:hAnsi="Times New Roman"/>
          <w:noProof/>
        </w:rPr>
      </w:pPr>
      <w:r>
        <w:rPr>
          <w:rFonts w:ascii="Times New Roman" w:hAnsi="Times New Roman"/>
          <w:noProof/>
        </w:rPr>
        <w:t>Podniky prispôsobujú svoje postupy</w:t>
      </w:r>
    </w:p>
    <w:p>
      <w:pPr>
        <w:rPr>
          <w:noProof/>
        </w:rPr>
      </w:pPr>
      <w:r>
        <w:rPr>
          <w:noProof/>
        </w:rPr>
        <w:t xml:space="preserve">Cieľom nariadenia je podporovať podnikanie v digitálnom hospodárstve prostredníctvom ponúkania nadčasových riešení. Podniky vo všeobecnosti vítajú zásadu zodpovednosti podľa nariadenia, ktorá sa vzďaľuje od predchádzajúceho zaťažujúceho prístupu </w:t>
      </w:r>
      <w:r>
        <w:rPr>
          <w:i/>
          <w:noProof/>
        </w:rPr>
        <w:t>ex ante</w:t>
      </w:r>
      <w:r>
        <w:rPr>
          <w:noProof/>
        </w:rPr>
        <w:t xml:space="preserve"> (zrušenie oznamovacích povinností, škálovateľnosť povinností a flexibilita špecificky navrhnutej a štandardnej ochrany údajov, ktorá umožňuje hospodársku súťaž na základe riešení orientovaných na ochranu súkromia). Niektoré zároveň od orgánov pre ochranu osobných údajov požadujú väčšiu právnu istotu a ďalšie alebo jednoznačnejšie usmernenia</w:t>
      </w:r>
      <w:r>
        <w:rPr>
          <w:rStyle w:val="FootnoteReference"/>
          <w:noProof/>
        </w:rPr>
        <w:footnoteReference w:id="42"/>
      </w:r>
      <w:r>
        <w:rPr>
          <w:noProof/>
        </w:rPr>
        <w:t>.</w:t>
      </w:r>
    </w:p>
    <w:p>
      <w:pPr>
        <w:pStyle w:val="Heading3"/>
        <w:rPr>
          <w:noProof/>
        </w:rPr>
      </w:pPr>
      <w:r>
        <w:rPr>
          <w:noProof/>
        </w:rPr>
        <w:t>Správne riadenie údajov</w:t>
      </w:r>
    </w:p>
    <w:p>
      <w:pPr>
        <w:rPr>
          <w:noProof/>
        </w:rPr>
      </w:pPr>
      <w:r>
        <w:rPr>
          <w:noProof/>
        </w:rPr>
        <w:t>Hoci spoločnosti hlásia v rámci prispôsobovania sa novým pravidlám</w:t>
      </w:r>
      <w:r>
        <w:rPr>
          <w:rStyle w:val="FootnoteReference"/>
          <w:noProof/>
        </w:rPr>
        <w:footnoteReference w:id="43"/>
      </w:r>
      <w:r>
        <w:rPr>
          <w:noProof/>
        </w:rPr>
        <w:t xml:space="preserve"> viacero ťažkostí, mnohé zdôrazňujú, že zároveň získali príležitosť upozorniť výkonné orgány spoločností na otázku ochrany osobných údajov a usporiadať si vlastné záležitosti v súvislosti s údajmi, ktoré uchovávajú, posilniť bezpečnosť, lepšie sa pripraviť na incidenty, zmierniť vystavovanie sa zbytočným rizikám a vybudovať si dôveryhodnejšie vzťahy so zákazníkmi a s obchodnými partnermi. Z hľadiska transparentnosti uvádzajú obchodné organizácie a organizácie občianskej spoločnosti nastolenie krehkej rovnováhy medzi poskytovaním všetkých požadovaných informácií jednotlivcom podľa nariadenia pri súčasnom využívaní zrozumiteľného a jednoduchého jazyka a formy, ktorej môžu jednotlivci porozumieť. Prevádzkovatelia vyvíjajú inovatívne riešenia v tomto duchu.</w:t>
      </w:r>
    </w:p>
    <w:p>
      <w:pPr>
        <w:rPr>
          <w:noProof/>
        </w:rPr>
      </w:pPr>
      <w:r>
        <w:rPr>
          <w:noProof/>
        </w:rPr>
        <w:t>Podniky vo všeobecnosti uvádzali, že nové práva dotknutých osôb dokázali implementovať, hoci niekedy bolo náročné dodržať lehoty z dôvodu zvýšeného počtu žiadostí a ich rozsiahlejšieho charakteru</w:t>
      </w:r>
      <w:r>
        <w:rPr>
          <w:rStyle w:val="FootnoteReference"/>
          <w:noProof/>
        </w:rPr>
        <w:footnoteReference w:id="44"/>
      </w:r>
      <w:r>
        <w:rPr>
          <w:noProof/>
        </w:rPr>
        <w:t xml:space="preserve"> alebo overiť totožnosť osoby, ktorá žiadosť podáva.</w:t>
      </w:r>
    </w:p>
    <w:p>
      <w:pPr>
        <w:jc w:val="left"/>
        <w:rPr>
          <w:i/>
          <w:noProof/>
        </w:rPr>
      </w:pPr>
      <w:r>
        <w:rPr>
          <w:noProof/>
        </w:rPr>
        <w:br w:type="page"/>
      </w:r>
    </w:p>
    <w:p>
      <w:pPr>
        <w:pStyle w:val="Heading3"/>
        <w:rPr>
          <w:noProof/>
        </w:rPr>
      </w:pPr>
      <w:r>
        <w:rPr>
          <w:noProof/>
        </w:rPr>
        <w:t>Vplyv na inovácie</w:t>
      </w:r>
    </w:p>
    <w:p>
      <w:pPr>
        <w:rPr>
          <w:noProof/>
        </w:rPr>
      </w:pPr>
      <w:r>
        <w:rPr>
          <w:noProof/>
        </w:rPr>
        <w:t>Nariadením sa nielen umožňuje, ale aj podporuje vývoj nových technológií pri súčasnom rešpektovaní základného práva na ochranu osobných údajov. Platí to aj v oblastiach, akou je napríklad umelá inteligencia.</w:t>
      </w:r>
    </w:p>
    <w:p>
      <w:pPr>
        <w:rPr>
          <w:noProof/>
        </w:rPr>
      </w:pPr>
      <w:r>
        <w:rPr>
          <w:noProof/>
        </w:rPr>
        <w:t>Podniky začali rozvíjať svoju ponuku nových služieb väčšmi orientovaných na súkromie. V niektorých členských štátoch sa napríklad na trhu postupne zvyšuje podiel vyhľadávačov, ktoré nesledujú používateľov či nevyužívajú behaviorálnu reklamu. Iné spoločnosti vyvíjajú služby založené na nových právach, ktoré boli jednotlivcom priznané, napríklad na prenosnosti ich osobných údajov. Rastúci počet podnikov presadzuje rešpektovanie osobných údajov ako spôsob odlíšenia sa od konkurencie a prvok, ktorý podporuje predaj. Tieto vývoje sa nevzťahujú iba na EÚ, ale týkajú sa aj veľmi inovačných zahraničných ekonomík</w:t>
      </w:r>
      <w:r>
        <w:rPr>
          <w:rStyle w:val="FootnoteReference"/>
          <w:noProof/>
        </w:rPr>
        <w:footnoteReference w:id="45"/>
      </w:r>
      <w:r>
        <w:rPr>
          <w:noProof/>
        </w:rPr>
        <w:t>.</w:t>
      </w:r>
    </w:p>
    <w:p>
      <w:pPr>
        <w:pStyle w:val="Heading3"/>
        <w:rPr>
          <w:noProof/>
        </w:rPr>
      </w:pPr>
      <w:r>
        <w:rPr>
          <w:noProof/>
        </w:rPr>
        <w:t>Osobitná situácia „nízkorizikových“ mikropodnikov a malých podnikov</w:t>
      </w:r>
    </w:p>
    <w:p>
      <w:pPr>
        <w:rPr>
          <w:noProof/>
          <w:spacing w:val="-4"/>
        </w:rPr>
      </w:pPr>
      <w:r>
        <w:rPr>
          <w:noProof/>
          <w:spacing w:val="-4"/>
        </w:rPr>
        <w:t>Hoci sa situácia v jednotlivých členských štátoch líši, medzi zainteresované strany s najväčším počtom otázok týkajúcich sa uplatňovania nariadenia patria mikropodniky a malé podniky</w:t>
      </w:r>
      <w:r>
        <w:rPr>
          <w:rStyle w:val="FootnoteReference"/>
          <w:noProof/>
          <w:spacing w:val="-4"/>
        </w:rPr>
        <w:footnoteReference w:id="46"/>
      </w:r>
      <w:r>
        <w:rPr>
          <w:noProof/>
          <w:spacing w:val="-4"/>
        </w:rPr>
        <w:t>, ktorých hlavnou činnosťou nie je spracúvanie osobných údajov. Aj keď sa zdá, že otázky sčasti vyplývajú z nedostatočnej informovanosti o pravidlách ochrany údajov, ich obavy niekedy zhoršujú aj kampane poradenských spoločností zameraných na poskytovanie plateného poradenstva, šírenie nesprávnych informácií, napríklad týkajúcich sa potreby systematického získavania súhlasu od jednotlivcov</w:t>
      </w:r>
      <w:r>
        <w:rPr>
          <w:rStyle w:val="FootnoteReference"/>
          <w:noProof/>
          <w:spacing w:val="-4"/>
        </w:rPr>
        <w:footnoteReference w:id="47"/>
      </w:r>
      <w:r>
        <w:rPr>
          <w:noProof/>
          <w:spacing w:val="-4"/>
        </w:rPr>
        <w:t>, a dodatočné požiadavky stanovené na vnútroštátnej úrovni.</w:t>
      </w:r>
    </w:p>
    <w:p>
      <w:pPr>
        <w:rPr>
          <w:noProof/>
          <w:spacing w:val="-4"/>
        </w:rPr>
      </w:pPr>
      <w:r>
        <w:rPr>
          <w:noProof/>
          <w:spacing w:val="-4"/>
        </w:rPr>
        <w:t>V tejto súvislosti sa mikropodniky a malé podniky dožadujú usmernení, ktoré budú prispôsobené ich osobitnej situácii a v ktorých sa poskytnú veľmi praktické informácie. Niektoré orgány pre ochranu osobných údajov tak už urobili na vnútroštátnej úrovni</w:t>
      </w:r>
      <w:r>
        <w:rPr>
          <w:rStyle w:val="FootnoteReference"/>
          <w:noProof/>
          <w:spacing w:val="-4"/>
        </w:rPr>
        <w:footnoteReference w:id="48"/>
      </w:r>
      <w:r>
        <w:rPr>
          <w:noProof/>
          <w:spacing w:val="-4"/>
        </w:rPr>
        <w:t>. V záujme doplnenia vnútroštátnych iniciatív vydala Komisia informačné materiály, ktoré takýmto spoločnostiam pomáhajú dodržiavať nové pravidlá prostredníctvom série praktických krokov</w:t>
      </w:r>
      <w:r>
        <w:rPr>
          <w:rStyle w:val="FootnoteReference"/>
          <w:noProof/>
          <w:spacing w:val="-4"/>
        </w:rPr>
        <w:footnoteReference w:id="49"/>
      </w:r>
      <w:r>
        <w:rPr>
          <w:noProof/>
          <w:spacing w:val="-4"/>
        </w:rPr>
        <w:t>.</w:t>
      </w:r>
    </w:p>
    <w:p>
      <w:pPr>
        <w:pStyle w:val="Heading3"/>
        <w:rPr>
          <w:noProof/>
        </w:rPr>
      </w:pPr>
      <w:r>
        <w:rPr>
          <w:noProof/>
        </w:rPr>
        <w:t>Využívanie súboru nástrojov v rámci nariadenia</w:t>
      </w:r>
    </w:p>
    <w:p>
      <w:pPr>
        <w:rPr>
          <w:noProof/>
        </w:rPr>
      </w:pPr>
      <w:r>
        <w:rPr>
          <w:noProof/>
        </w:rPr>
        <w:t>V nariadení sa stanovujú nástroje na preukázanie súladu, ako napríklad štandardné zmluvné doložky, kódexy správania a novozavedené certifikačné mechanizmy.</w:t>
      </w:r>
    </w:p>
    <w:p>
      <w:pPr>
        <w:rPr>
          <w:noProof/>
        </w:rPr>
      </w:pPr>
      <w:r>
        <w:rPr>
          <w:noProof/>
        </w:rPr>
        <w:t>Štandardné zmluvné doložky sú modelové doložky, ktoré možno na dobrovoľnej báze zahrnúť do zmluvy, napríklad medzi prevádzkovateľom a sprostredkovateľom, a v ktorých sa stanovujú povinnosti zmluvných strán podľa nariadenia. Nariadením sa rozširujú možnosti používania štandardných zmluvných doložiek tak na medzinárodné prenosy, ako aj prenosy v rámci EÚ</w:t>
      </w:r>
      <w:r>
        <w:rPr>
          <w:rStyle w:val="FootnoteReference"/>
          <w:noProof/>
        </w:rPr>
        <w:footnoteReference w:id="50"/>
      </w:r>
      <w:r>
        <w:rPr>
          <w:noProof/>
        </w:rPr>
        <w:t>. Ich rozšírené využívanie v oblasti medzinárodných prenosov naznačuje</w:t>
      </w:r>
      <w:r>
        <w:rPr>
          <w:rStyle w:val="FootnoteReference"/>
          <w:noProof/>
        </w:rPr>
        <w:footnoteReference w:id="51"/>
      </w:r>
      <w:r>
        <w:rPr>
          <w:noProof/>
        </w:rPr>
        <w:t>, že sú podnikom značne nápomocné pri úsilí o dosiahnutie súladu a predstavujú obzvlášť veľký prínos pre spoločnosti, ktoré nemajú zdroje na rokovanie o individuálnych zmluvách s každým zo svojich zmluvných sprostredkovateľov.</w:t>
      </w:r>
    </w:p>
    <w:p>
      <w:pPr>
        <w:rPr>
          <w:noProof/>
        </w:rPr>
      </w:pPr>
      <w:r>
        <w:rPr>
          <w:noProof/>
        </w:rPr>
        <w:t>V niekoľkých sektoroch sa prijímanie štandardných zmluvných doložiek zároveň považuje za užitočný spôsob podpory harmonizácie, najmä ak ich prijíma Komisia. Komisia bude so zainteresovanými stranami spolupracovať na využívaní možností stanovených v nariadení a na aktualizácii existujúcich ustanovení.</w:t>
      </w:r>
    </w:p>
    <w:p>
      <w:pPr>
        <w:rPr>
          <w:noProof/>
        </w:rPr>
      </w:pPr>
      <w:r>
        <w:rPr>
          <w:noProof/>
        </w:rPr>
        <w:t>Ďalším prevádzkovým a praktickým nástrojom, ktorý má odvetvie k dispozícii na uľahčenie preukazovania súladu s nariadením, je dodržiavanie kódexov správania</w:t>
      </w:r>
      <w:r>
        <w:rPr>
          <w:rStyle w:val="FootnoteReference"/>
          <w:noProof/>
        </w:rPr>
        <w:footnoteReference w:id="52"/>
      </w:r>
      <w:r>
        <w:rPr>
          <w:noProof/>
        </w:rPr>
        <w:t>. Tieto kódexy by mali vypracovať odborové združenia alebo subjekty zastupujúce kategórie prevádzkovateľov a sprostredkovateľov a malo by sa v nich uvádzať, ako možno pravidlá ochrany údajov implementovať v konkrétnom sektore. Nastavením povinností so zreteľom na riziko</w:t>
      </w:r>
      <w:r>
        <w:rPr>
          <w:rStyle w:val="FootnoteReference"/>
          <w:noProof/>
        </w:rPr>
        <w:footnoteReference w:id="53"/>
      </w:r>
      <w:r>
        <w:rPr>
          <w:noProof/>
        </w:rPr>
        <w:t xml:space="preserve"> sa môžu tieto kódexy osvedčiť aj ako veľmi užitočný a nákladovo efektívny spôsob plnenia povinností v prípade malých a stredných podnikov.</w:t>
      </w:r>
    </w:p>
    <w:p>
      <w:pPr>
        <w:rPr>
          <w:noProof/>
        </w:rPr>
      </w:pPr>
      <w:r>
        <w:rPr>
          <w:noProof/>
        </w:rPr>
        <w:t>A napokon môže byť užitočným nástrojom na preukázanie súladu so špecifickými požiadavkami nariadenia aj certifikácia. Možno pomocou nej zvyšovať právnu istotu podnikov a propagovať nariadenie na globálnej úrovni. Európsky výbor pre ochranu údajov nedávno prijal usmernenia</w:t>
      </w:r>
      <w:r>
        <w:rPr>
          <w:rStyle w:val="FootnoteReference"/>
          <w:noProof/>
        </w:rPr>
        <w:footnoteReference w:id="54"/>
      </w:r>
      <w:r>
        <w:rPr>
          <w:noProof/>
        </w:rPr>
        <w:t xml:space="preserve"> týkajúce sa certifikácie a akreditácie, ktorými sa umožní vypracovanie certifikačných systémov v rámci EÚ. Komisia bude tento vývoj monitorovať a podľa potreby využije právomoc skoncipovať požiadavky certifikácie, ktorá sa stanovuje v nariadení. Komisia zároveň môže vydať žiadosť o normalizáciu európskym normalizačným organizáciám týkajúcu sa prvkov relevantných pre toto nariadenie.</w:t>
      </w:r>
    </w:p>
    <w:p>
      <w:pPr>
        <w:pStyle w:val="Heading1"/>
        <w:numPr>
          <w:ilvl w:val="0"/>
          <w:numId w:val="71"/>
        </w:numPr>
        <w:rPr>
          <w:rFonts w:ascii="Times New Roman" w:hAnsi="Times New Roman"/>
          <w:noProof/>
        </w:rPr>
      </w:pPr>
      <w:r>
        <w:rPr>
          <w:rFonts w:ascii="Times New Roman" w:hAnsi="Times New Roman"/>
          <w:noProof/>
        </w:rPr>
        <w:t>Vzostupná konvergencia postupuje na medzinárodnej úrovni</w:t>
      </w:r>
    </w:p>
    <w:p>
      <w:pPr>
        <w:rPr>
          <w:noProof/>
        </w:rPr>
      </w:pPr>
      <w:r>
        <w:rPr>
          <w:noProof/>
        </w:rPr>
        <w:t>Požiadavky na ochranu osobných údajov nie sú obmedzené len na EÚ. Ako vyplýva z nedávneho globálneho prieskumu o bezpečnosti na internete, nedostatok dôvery sa na celom svete prehlbuje, v dôsledku čoho ľudia menia spôsob svojho správania v online prostredí</w:t>
      </w:r>
      <w:r>
        <w:rPr>
          <w:rStyle w:val="FootnoteReference"/>
          <w:noProof/>
        </w:rPr>
        <w:footnoteReference w:id="55"/>
      </w:r>
      <w:r>
        <w:rPr>
          <w:noProof/>
        </w:rPr>
        <w:t>. Čoraz väčší počet spoločností rieši takéto nedostatky dobrovoľným rozširovaním práv vytvorených nariadením na svojich zákazníkov pôsobiacich mimo EÚ.</w:t>
      </w:r>
    </w:p>
    <w:p>
      <w:pPr>
        <w:rPr>
          <w:noProof/>
          <w:spacing w:val="-6"/>
        </w:rPr>
      </w:pPr>
      <w:r>
        <w:rPr>
          <w:noProof/>
          <w:spacing w:val="-6"/>
        </w:rPr>
        <w:t>Okrem toho, keďže podobné výzvy rieši čoraz viac krajín na celom svete, vybavujú sa novými pravidlami ochrany údajov alebo modernizujú existujúce pravidlá. Tieto právne predpisy majú často niekoľko spoločných znakov s režimom ochrany údajov EÚ, ako napríklad uprednostňovanie všeobecných právnych predpisov pred odvetvovými pravidlami, vymožiteľné individuálne práva a nezávislý dozorný orgán. Tento trend je skutočne globálny a vyskytuje sa od Južnej Kórey po Brazíliu, od Čile po Thajsko, od Indie po Indonéziu. Ďalším jasným znakom tohto trendu vzostupnej konvergencie je celosvetovo čoraz väčší počet krajín pristupujúcich k Dohovoru Rady Európy č. 108</w:t>
      </w:r>
      <w:r>
        <w:rPr>
          <w:rStyle w:val="FootnoteReference"/>
          <w:noProof/>
          <w:spacing w:val="-6"/>
        </w:rPr>
        <w:footnoteReference w:id="56"/>
      </w:r>
      <w:r>
        <w:rPr>
          <w:noProof/>
          <w:spacing w:val="-6"/>
        </w:rPr>
        <w:t>, ktorý bol nedávno so značnou zásluhou Komisie modernizovaný</w:t>
      </w:r>
      <w:r>
        <w:rPr>
          <w:rStyle w:val="FootnoteReference"/>
          <w:noProof/>
          <w:spacing w:val="-6"/>
        </w:rPr>
        <w:footnoteReference w:id="57"/>
      </w:r>
      <w:r>
        <w:rPr>
          <w:noProof/>
          <w:spacing w:val="-6"/>
        </w:rPr>
        <w:t>.</w:t>
      </w:r>
    </w:p>
    <w:p>
      <w:pPr>
        <w:rPr>
          <w:i/>
          <w:iCs/>
          <w:noProof/>
        </w:rPr>
      </w:pPr>
      <w:r>
        <w:rPr>
          <w:i/>
          <w:iCs/>
          <w:noProof/>
        </w:rPr>
        <w:t>Podpora bezpečných a voľných tokov údajov prostredníctvom rozhodnutí o primeranosti a ďalších nástrojov</w:t>
      </w:r>
    </w:p>
    <w:p>
      <w:pPr>
        <w:rPr>
          <w:noProof/>
        </w:rPr>
      </w:pPr>
      <w:r>
        <w:rPr>
          <w:noProof/>
        </w:rPr>
        <w:t>V rámci tejto rozvíjajúcej sa konvergencie sa ponúkajú nové príležitosti na uľahčenie tokov údajov, a teda aj obchodovania, ako aj spolupráce medzi orgánmi verejnej moci a zároveň sa zvyšuje úroveň ochrany údajov jednotlivcov v EÚ pri ich prenose do zahraničia.</w:t>
      </w:r>
    </w:p>
    <w:p>
      <w:pPr>
        <w:rPr>
          <w:noProof/>
          <w:spacing w:val="-2"/>
        </w:rPr>
      </w:pPr>
      <w:r>
        <w:rPr>
          <w:noProof/>
          <w:spacing w:val="-2"/>
        </w:rPr>
        <w:t>Komisia pri vykonávaní stratégie stanovenej v jej oznámení z roku 2017 o výmene a ochrane osobných údajov v globalizovanom svete</w:t>
      </w:r>
      <w:r>
        <w:rPr>
          <w:rStyle w:val="FootnoteReference"/>
          <w:noProof/>
          <w:spacing w:val="-2"/>
        </w:rPr>
        <w:footnoteReference w:id="58"/>
      </w:r>
      <w:r>
        <w:rPr>
          <w:noProof/>
          <w:spacing w:val="-2"/>
        </w:rPr>
        <w:t xml:space="preserve"> zintenzívnila svoju spoluprácu s tretími krajinami a ďalšími medzinárodnými partnermi, pričom vychádzala z prvkov konvergencie medzi systémami ochrany súkromia a ďalej ich rozvíjala. To zahŕňalo preskúmanie možnosti prijímania záverov o primeranosti s vybranými tretími krajinami</w:t>
      </w:r>
      <w:r>
        <w:rPr>
          <w:rStyle w:val="FootnoteReference"/>
          <w:noProof/>
          <w:spacing w:val="-2"/>
        </w:rPr>
        <w:footnoteReference w:id="59"/>
      </w:r>
      <w:r>
        <w:rPr>
          <w:noProof/>
          <w:spacing w:val="-2"/>
        </w:rPr>
        <w:t>. Táto práca priniesla významné výsledky, najmä nadobudnutie platnosti dohody o vzájomnej primeranosti medzi EÚ a Japonskom vo februári 2019, čím sa vytvorila najväčšia oblasť voľných a bezpečných tokov údajov na svete. Rokovania s Južnou Kóreou o primeranosti sa nachádzajú v pokročilom štádiu a prebiehajú prieskumné činnosti s cieľom iniciovať diskusie o primeranosti s viacerými krajinami Latinskej Ameriky – napríklad s Čile alebo Brazíliou – v závislosti od ukončenia prebiehajúcich legislatívnych procesov. Situácia sa vyvíja sľubne aj v niektorých častiach Ázie, ako napríklad v Indii, Indonézii a na Taiwane, ako aj v európskom východnom a južnom susedstve, čo by mohlo otvoriť dvere budúcim rozhodnutiam o primeranosti.</w:t>
      </w:r>
    </w:p>
    <w:p>
      <w:pPr>
        <w:rPr>
          <w:noProof/>
        </w:rPr>
      </w:pPr>
      <w:r>
        <w:rPr>
          <w:noProof/>
        </w:rPr>
        <w:t>Komisia zároveň víta skutočnosť, že ostatné krajiny, ktoré zaviedli nástroje prenosu podobné primeranosti nariadenia, uznali, že EÚ, ako aj krajiny, ktoré EÚ uznala za „primerané“, zabezpečujú požadovanú úroveň ochrany</w:t>
      </w:r>
      <w:r>
        <w:rPr>
          <w:rStyle w:val="FootnoteReference"/>
          <w:noProof/>
        </w:rPr>
        <w:footnoteReference w:id="60"/>
      </w:r>
      <w:r>
        <w:rPr>
          <w:noProof/>
        </w:rPr>
        <w:t>. Existuje tak potenciál vytvoriť sieť krajín, v ktorých môžu údaje voľne prúdiť.</w:t>
      </w:r>
    </w:p>
    <w:p>
      <w:pPr>
        <w:rPr>
          <w:noProof/>
        </w:rPr>
      </w:pPr>
      <w:r>
        <w:rPr>
          <w:noProof/>
        </w:rPr>
        <w:t>Súčasne prebiehajú intenzívne práce s inými tretími krajinami, ako sú Kanada, Nový Zéland, Argentína a Izrael, s cieľom zaistiť kontinuitu rozhodnutí o primeranosti prijatých na základe smernice o ochrane údajov z roku 1995 podľa nariadenia. Medzičasom sa štít na ochranu osobných údajov medzi EÚ a USA osvedčil ako užitočný nástroj na zabezpečovanie transatlantických tokov údajov na základe vysokej úrovne ochrany a zapojilo sa doň viac ako 4 700 spoločností</w:t>
      </w:r>
      <w:r>
        <w:rPr>
          <w:rStyle w:val="FootnoteReference"/>
          <w:noProof/>
        </w:rPr>
        <w:footnoteReference w:id="61"/>
      </w:r>
      <w:r>
        <w:rPr>
          <w:noProof/>
        </w:rPr>
        <w:t>. Jeho každoročným preskúmavaním sa zabezpečuje pravidelná kontrola správneho fungovania rámca a včasné riešenie nových problémov.</w:t>
      </w:r>
    </w:p>
    <w:p>
      <w:pPr>
        <w:rPr>
          <w:noProof/>
          <w:spacing w:val="-2"/>
        </w:rPr>
      </w:pPr>
      <w:r>
        <w:rPr>
          <w:noProof/>
          <w:spacing w:val="-2"/>
        </w:rPr>
        <w:t>Keďže v prípade tokov údajov neexistuje nijaké univerzálne riešenie, Komisia spolupracuje aj so zainteresovanými stranami a s výborom s cieľom naplno využiť potenciál súboru nástrojov nariadenia na medzinárodné prenosy. Ide o nástroje, ako sú štandardné zmluvné doložky, tvorba systémov certifikácie, kódexy správania alebo administratívne dojednania v prípade orgánov verejnej moci. V tejto súvislosti sa Komisia zaujíma o výmenu skúseností a najlepších postupov s inými systémami, ktoré mohli v rámci niektorých z týchto nástrojov nadobudnúť osobitné odborné znalosti. Komisia zváži využitie právomocí udelených podľa nariadenia v súvislosti s týmito nástrojmi prenosu, najmä pokiaľ ide o štandardné zmluvné doložky.</w:t>
      </w:r>
    </w:p>
    <w:p>
      <w:pPr>
        <w:rPr>
          <w:i/>
          <w:iCs/>
          <w:noProof/>
          <w:spacing w:val="-2"/>
        </w:rPr>
      </w:pPr>
      <w:r>
        <w:rPr>
          <w:noProof/>
          <w:spacing w:val="-2"/>
        </w:rPr>
        <w:t>Okrem čisto dvojstranných nástrojov by sa takisto oplatilo preskúmať, či by podobne zmýšľajúce krajiny mohli v tejto oblasti vytvoriť nadnárodný rámec v čase, keď sa toky údajov stávajú čoraz významnejšou súčasťou obchodovania, komunikácie a sociálnych interakcií. Pomocou takého nástroja by sa umožnil voľný tok údajov medzi zmluvnými stranami a zároveň by sa zabezpečila požadovaná úroveň ochrany na základe spoločných hodnôt a zbližujúcich sa systémov. Nástroj by sa dal vytvoriť napríklad na základe modernizovaného Dohovoru č. 108 alebo čerpaním inšpirácie z iniciatívy spoľahlivého voľného toku údajov „Data Free Flow with Trust“, ktorú iniciovalo Japonsko začiatkom tohto roka.</w:t>
      </w:r>
    </w:p>
    <w:p>
      <w:pPr>
        <w:rPr>
          <w:i/>
          <w:noProof/>
        </w:rPr>
      </w:pPr>
      <w:r>
        <w:rPr>
          <w:i/>
          <w:noProof/>
        </w:rPr>
        <w:t>Rozvoj nových synergií medzi obchodnými nástrojmi a nástrojmi na ochranu údajov</w:t>
      </w:r>
    </w:p>
    <w:p>
      <w:pPr>
        <w:rPr>
          <w:noProof/>
        </w:rPr>
      </w:pPr>
      <w:r>
        <w:rPr>
          <w:noProof/>
        </w:rPr>
        <w:t>Hoci Komisia podporuje konvergenciu noriem v oblasti ochrany údajov na medzinárodnej úrovni, zároveň je odhodlaná bojovať proti digitálnemu protekcionizmu. Na tento účel vypracovala osobitné ustanovenia týkajúce sa tokov údajov a ochrany údajov v obchodných dohodách, ktoré systematicky predkladá v rámci svojich dvojstranných a mnohostranných rokovaní, ako sú súčasné rozhovory so Svetovou obchodnou organizáciou o elektronickom obchode. Týmito horizontálnymi ustanoveniami sa zabraňuje čisto protekcionistickým opatreniam, napríklad požiadavkám na vynútenú lokalizáciu údajov, a zároveň sa zachováva regulačná autonómia strán pri ochrane základného práva na ochranu údajov.</w:t>
      </w:r>
    </w:p>
    <w:p>
      <w:pPr>
        <w:rPr>
          <w:noProof/>
        </w:rPr>
      </w:pPr>
      <w:r>
        <w:rPr>
          <w:noProof/>
        </w:rPr>
        <w:t>Hoci musia dialógy o ochrane údajov a obchodné rokovanie prebiehať oddelene, môžu sa vzájomne dopĺňať. Najlepším príkladom takýchto synergií je dohoda o vzájomnej primeranosti medzi EÚ a Japonskom, ktorou sa ešte väčšmi zjednodušujú obchodné výmeny, čím sa zároveň posilňujú výhody dohody o hospodárskom partnerstve. Tento typ konvergencie, založený na spoločných hodnotách a prísnych normách a podporený účinným presadzovaním, v skutočnosti poskytuje najsilnejší základ v oblasti výmeny osobných údajov, čo naši medzinárodní partneri čoraz väčšmi oceňujú</w:t>
      </w:r>
      <w:r>
        <w:rPr>
          <w:rStyle w:val="FootnoteReference"/>
          <w:noProof/>
        </w:rPr>
        <w:footnoteReference w:id="62"/>
      </w:r>
      <w:r>
        <w:rPr>
          <w:noProof/>
        </w:rPr>
        <w:t>. Vzhľadom na to, že spoločnosti rozširujú svoje cezhraničné pôsobenie a uprednostňujú uplatňovanie podobných súborov pravidiel v rámci všetkých svojich obchodných operácií na celom svete, takáto konvergencia pomáha vytvárať prostredie vedúce k priamym investíciám, zjednodušovaniu obchodovania a zvyšovaniu dôvery medzi obchodnými partnermi.</w:t>
      </w:r>
    </w:p>
    <w:p>
      <w:pPr>
        <w:pStyle w:val="Heading3"/>
        <w:rPr>
          <w:noProof/>
        </w:rPr>
      </w:pPr>
      <w:r>
        <w:rPr>
          <w:noProof/>
        </w:rPr>
        <w:t>Uľahčenie výmeny informácií v záujme boja proti zločinu a terorizmu na základe primeraných záruk</w:t>
      </w:r>
    </w:p>
    <w:p>
      <w:pPr>
        <w:rPr>
          <w:noProof/>
        </w:rPr>
      </w:pPr>
      <w:r>
        <w:rPr>
          <w:noProof/>
        </w:rPr>
        <w:t>Väčšou kompatibilitou medzi režimami ochrany údajov sa môžu značne zjednodušiť veľmi potrebné výmeny informácií medzi regulačnými orgánmi EÚ a zahraničnými regulačnými orgánmi, policajnými a súdnymi orgánmi, čím sa prispeje k účinnejšej a rýchlejšej spolupráci pri presadzovaní práva</w:t>
      </w:r>
      <w:r>
        <w:rPr>
          <w:rStyle w:val="FootnoteReference"/>
          <w:noProof/>
        </w:rPr>
        <w:footnoteReference w:id="63"/>
      </w:r>
      <w:r>
        <w:rPr>
          <w:noProof/>
        </w:rPr>
        <w:t>. Na tento účel Komisia zamýšľa využiť možnosť prijímania rozhodnutí o primeranosti podľa smernice o presadzovaní práva s cieľom prehĺbiť spoluprácu s kľúčovými partnermi v boji proti zločinu a terorizmu. Okrem toho možno „zastrešujúcu dohodu“ medzi EÚ a USA</w:t>
      </w:r>
      <w:r>
        <w:rPr>
          <w:rStyle w:val="FootnoteReference"/>
          <w:noProof/>
        </w:rPr>
        <w:footnoteReference w:id="64"/>
      </w:r>
      <w:r>
        <w:rPr>
          <w:noProof/>
        </w:rPr>
        <w:t>, ktorá nadobudla platnosť vo februári 2017, využiť ako vzor pre podobné dohody s ďalšími významnými bezpečnostnými partnermi.</w:t>
      </w:r>
    </w:p>
    <w:p>
      <w:pPr>
        <w:rPr>
          <w:noProof/>
        </w:rPr>
      </w:pPr>
      <w:r>
        <w:rPr>
          <w:noProof/>
        </w:rPr>
        <w:t>Ďalšími príkladmi, ktoré poukazujú na význam prísnych noriem v oblasti ochrany údajov ako na základ stabilnej spolupráce pri presadzovaní práva s tretími krajinami, sú prenos záznamov o cestujúcich (PNR)</w:t>
      </w:r>
      <w:r>
        <w:rPr>
          <w:rStyle w:val="FootnoteReference"/>
          <w:noProof/>
        </w:rPr>
        <w:footnoteReference w:id="65"/>
      </w:r>
      <w:r>
        <w:rPr>
          <w:noProof/>
        </w:rPr>
        <w:t xml:space="preserve"> a výmena operačných informácií medzi Europolom a významnými medzinárodnými partnermi. V tejto súvislosti v súčasnosti prebiehajú alebo sú pripravené rokovania o medzinárodných dohodách s niekoľkými krajinami južného susedstva</w:t>
      </w:r>
      <w:r>
        <w:rPr>
          <w:rStyle w:val="FootnoteReference"/>
          <w:noProof/>
        </w:rPr>
        <w:footnoteReference w:id="66"/>
      </w:r>
      <w:r>
        <w:rPr>
          <w:noProof/>
        </w:rPr>
        <w:t>.</w:t>
      </w:r>
    </w:p>
    <w:p>
      <w:pPr>
        <w:rPr>
          <w:noProof/>
        </w:rPr>
      </w:pPr>
      <w:r>
        <w:rPr>
          <w:noProof/>
        </w:rPr>
        <w:t>Nevyhnutnou súčasťou každej budúcej dohody o cezhraničnom prístupe k elektronickým dôkazom pri vyšetrovaní trestných činov na bilaterálnej úrovni (dohoda medzi EÚ a USA) či na multilaterálnej úrovni (Druhý dodatkový protokol k Budapeštianskemu dohovoru Rady Európy o počítačovej kriminalite)</w:t>
      </w:r>
      <w:r>
        <w:rPr>
          <w:rStyle w:val="FootnoteReference"/>
          <w:noProof/>
        </w:rPr>
        <w:footnoteReference w:id="67"/>
      </w:r>
      <w:r>
        <w:rPr>
          <w:noProof/>
        </w:rPr>
        <w:t xml:space="preserve"> budú aj silné záruky ochrany údajov.</w:t>
      </w:r>
    </w:p>
    <w:p>
      <w:pPr>
        <w:rPr>
          <w:i/>
          <w:iCs/>
          <w:noProof/>
        </w:rPr>
      </w:pPr>
      <w:r>
        <w:rPr>
          <w:i/>
          <w:iCs/>
          <w:noProof/>
        </w:rPr>
        <w:t>Podpora spolupráce medzi orgánmi presadzovania ochrany údajov</w:t>
      </w:r>
    </w:p>
    <w:p>
      <w:pPr>
        <w:rPr>
          <w:noProof/>
        </w:rPr>
      </w:pPr>
      <w:r>
        <w:rPr>
          <w:noProof/>
        </w:rPr>
        <w:t>V čase, keď môžu problémy s dodržiavaním ochrany súkromia alebo bezpečnostné incidenty ovplyvniť veľký počet jednotlivcov súčasne vo viacerých jurisdikciách, môžu užšie formy spolupráce medzi dozornými orgánmi na medzinárodnej úrovni pomôcť zabezpečiť účinnejšiu ochranu individuálnych práv a stabilnejšie prostredie pre prevádzkovateľov podnikov. Komisia bude v tejto súvislosti a v úzkom kontakte s výborom pracovať na spôsoboch, ako uľahčiť spoluprácu pri presadzovaní a vzájomnú pomoc medzi dozornými orgánmi EÚ a zahraničnými dozornými orgánmi, a to aj pomocou využitia nových právomocí, ktoré sa v tejto oblasti stanovujú nariadením</w:t>
      </w:r>
      <w:r>
        <w:rPr>
          <w:rStyle w:val="FootnoteReference"/>
          <w:noProof/>
        </w:rPr>
        <w:footnoteReference w:id="68"/>
      </w:r>
      <w:r>
        <w:rPr>
          <w:noProof/>
        </w:rPr>
        <w:t>. Mohlo by ísť o rôzne formy spolupráce od vypracovania spoločných výkladových či praktických nástrojov</w:t>
      </w:r>
      <w:r>
        <w:rPr>
          <w:rStyle w:val="FootnoteReference"/>
          <w:noProof/>
        </w:rPr>
        <w:footnoteReference w:id="69"/>
      </w:r>
      <w:r>
        <w:rPr>
          <w:noProof/>
        </w:rPr>
        <w:t xml:space="preserve"> až po výmenu informácií o prebiehajúcich vyšetrovaniach.</w:t>
      </w:r>
    </w:p>
    <w:p>
      <w:pPr>
        <w:rPr>
          <w:noProof/>
        </w:rPr>
      </w:pPr>
      <w:r>
        <w:rPr>
          <w:noProof/>
        </w:rPr>
        <w:t>A napokon má Komisia takisto v úmysle zintenzívniť dialóg s regionálnymi organizáciami a sieťami, ako sú napríklad Združenie národov juhovýchodnej Ázie (ASEAN), Africká únia, Ázijsko-tichomorské fórum orgánov ochrany súkromia (APPA) alebo Iberoamerická sieť na ochranu údajov, ktoré zohrávajú čoraz významnejšiu úlohu pri formovaní spoločných noriem v oblasti ochrany údajov a zároveň presadzujú výmenu najlepších postupov a podporujú spoluprácu medzi orgánmi presadzovania. Komisia bude spolupracovať aj s Organizáciou pre hospodársku spoluprácu a rozvoj a organizáciou Ázijsko-tichomorskej hospodárskej spolupráce s cieľom dosiahnuť konvergenciu v záujme vysokej úrovne ochrany osobných údajov.</w:t>
      </w:r>
    </w:p>
    <w:p>
      <w:pPr>
        <w:pStyle w:val="Heading1"/>
        <w:numPr>
          <w:ilvl w:val="0"/>
          <w:numId w:val="71"/>
        </w:numPr>
        <w:rPr>
          <w:rFonts w:ascii="Times New Roman" w:hAnsi="Times New Roman"/>
          <w:noProof/>
        </w:rPr>
      </w:pPr>
      <w:r>
        <w:rPr>
          <w:rFonts w:ascii="Times New Roman" w:hAnsi="Times New Roman"/>
          <w:noProof/>
        </w:rPr>
        <w:t>Právne predpisy na ochranu údajov ako neoddeliteľná súčasť širokej škály politík</w:t>
      </w:r>
    </w:p>
    <w:p>
      <w:pPr>
        <w:rPr>
          <w:noProof/>
        </w:rPr>
      </w:pPr>
      <w:r>
        <w:rPr>
          <w:noProof/>
        </w:rPr>
        <w:t>Ochrana osobných údajov je zaručená viacerými politikami Únie a je do nich začlenená.</w:t>
      </w:r>
    </w:p>
    <w:p>
      <w:pPr>
        <w:pStyle w:val="Heading3"/>
        <w:rPr>
          <w:noProof/>
        </w:rPr>
      </w:pPr>
      <w:r>
        <w:rPr>
          <w:noProof/>
        </w:rPr>
        <w:t>Telekomunikačné a elektronické komunikačné služby</w:t>
      </w:r>
    </w:p>
    <w:p>
      <w:pPr>
        <w:rPr>
          <w:noProof/>
        </w:rPr>
      </w:pPr>
      <w:r>
        <w:rPr>
          <w:noProof/>
        </w:rPr>
        <w:t>Komisia prijala svoj návrh nariadenia o súkromí a elektronických komunikáciách v januári 2017</w:t>
      </w:r>
      <w:r>
        <w:rPr>
          <w:rStyle w:val="FootnoteReference"/>
          <w:noProof/>
        </w:rPr>
        <w:footnoteReference w:id="70"/>
      </w:r>
      <w:r>
        <w:rPr>
          <w:noProof/>
        </w:rPr>
        <w:t>. Cieľom návrhu je chrániť dôvernosť komunikácií v súlade s Chartou základných práv, ale aj chrániť osobné údaje, ktoré môžu byť súčasťou komunikácie, ako aj koncové zariadenia koncových používateľov.</w:t>
      </w:r>
    </w:p>
    <w:p>
      <w:pPr>
        <w:rPr>
          <w:noProof/>
          <w:spacing w:val="-2"/>
        </w:rPr>
      </w:pPr>
      <w:r>
        <w:rPr>
          <w:noProof/>
          <w:spacing w:val="-2"/>
        </w:rPr>
        <w:t>Navrhovaným nariadením o súkromí a elektronických komunikáciách sa nariadenie špecifikuje a dopĺňa ustanovením konkrétnych pravidiel na uvedené účely. Modernizujú sa ním súčasné pravidlá EÚ týkajúce sa súkromia na internete</w:t>
      </w:r>
      <w:r>
        <w:rPr>
          <w:rStyle w:val="FootnoteReference"/>
          <w:noProof/>
          <w:spacing w:val="-2"/>
        </w:rPr>
        <w:footnoteReference w:id="71"/>
      </w:r>
      <w:r>
        <w:rPr>
          <w:noProof/>
          <w:spacing w:val="-2"/>
        </w:rPr>
        <w:t>, aby sa v nich odrážal technologický a právny vývoj. Nariadením sa zvyšuje súkromie jednotlivcov prostredníctvom rozšírenia rozsahu pôsobnosti nových pravidiel tak, aby sa vzťahovali aj na poskytovateľov internetových komunikačných (over-the-top) služieb, čím sa vytvárajú rovnaké podmienky pre všetky elektronické komunikačné služby. Hoci Európsky parlament v októbri 2017 prijal mandát na začatie trialógov, Rada sa ešte nedohodla na všeobecnom smerovaní. Komisia sa bude naďalej plne angažovať, pokiaľ ide o nariadenie o súkromí a elektronických komunikáciách, a bude podporovať spoluzákonodarcov v ich úsilí dosiahnuť rýchle prijatie navrhovaného nariadenia.</w:t>
      </w:r>
    </w:p>
    <w:p>
      <w:pPr>
        <w:pStyle w:val="Heading3"/>
        <w:rPr>
          <w:noProof/>
        </w:rPr>
      </w:pPr>
      <w:r>
        <w:rPr>
          <w:noProof/>
        </w:rPr>
        <w:t>Zdravie a výskum</w:t>
      </w:r>
    </w:p>
    <w:p>
      <w:pPr>
        <w:rPr>
          <w:noProof/>
          <w:spacing w:val="-4"/>
        </w:rPr>
      </w:pPr>
      <w:r>
        <w:rPr>
          <w:noProof/>
          <w:spacing w:val="-4"/>
        </w:rPr>
        <w:t>Zjednodušenie výmeny údajov týkajúcich sa zdravia, ktoré sú podľa nariadenia citlivými údajmi, medzi členskými štátmi</w:t>
      </w:r>
      <w:r>
        <w:rPr>
          <w:noProof/>
          <w:spacing w:val="-4"/>
          <w:szCs w:val="22"/>
        </w:rPr>
        <w:t xml:space="preserve"> </w:t>
      </w:r>
      <w:r>
        <w:rPr>
          <w:noProof/>
          <w:spacing w:val="-4"/>
        </w:rPr>
        <w:t>nadobúda v oblasti verejného zdravia čoraz väčší význam z dôvodov všeobecného záujmu. Patrí sem poskytovanie zdravotnej starostlivosti alebo liečby, ochrana pred závažnými cezhraničnými ohrozeniami zdravia a zaisťovanie vysokých štandardov kvality a bezpečnosti zdravotnej starostlivosti a liekov alebo zdravotníckych pomôcok. V nariadení sa stanovujú pravidlá, ktorými sa zaisťuje zákonné a dôveryhodné spracúvanie a výmena údajov týkajúcich sa zdravia v celej EÚ. Tieto pravidlá sa vzťahujú aj na prístup tretích strán k zdravotným údajom pacientov, a to vrátane prístupu k údajom uchovávaným v záznamoch pacientov, elektronických predpisoch a z dlhodobého hľadiska v komplexných elektronických zdravotných záznamoch, a na ich použitie na účely vedeckého výskumu. V špecifickej oblasti klinického skúšania Komisia pripravila aj konkrétne otázky a odpovede týkajúce sa súhry medzi nariadením o klinickom skúšaní</w:t>
      </w:r>
      <w:r>
        <w:rPr>
          <w:rStyle w:val="FootnoteReference"/>
          <w:noProof/>
          <w:spacing w:val="-4"/>
        </w:rPr>
        <w:footnoteReference w:id="72"/>
      </w:r>
      <w:r>
        <w:rPr>
          <w:noProof/>
          <w:spacing w:val="-4"/>
        </w:rPr>
        <w:t xml:space="preserve"> a všeobecným nariadením o ochrane údajov</w:t>
      </w:r>
      <w:r>
        <w:rPr>
          <w:rStyle w:val="FootnoteReference"/>
          <w:noProof/>
          <w:spacing w:val="-4"/>
        </w:rPr>
        <w:footnoteReference w:id="73"/>
      </w:r>
      <w:r>
        <w:rPr>
          <w:noProof/>
          <w:spacing w:val="-4"/>
        </w:rPr>
        <w:t>.</w:t>
      </w:r>
    </w:p>
    <w:p>
      <w:pPr>
        <w:pStyle w:val="Heading3"/>
        <w:rPr>
          <w:noProof/>
        </w:rPr>
      </w:pPr>
      <w:r>
        <w:rPr>
          <w:noProof/>
        </w:rPr>
        <w:t>Umelá inteligencia</w:t>
      </w:r>
    </w:p>
    <w:p>
      <w:pPr>
        <w:rPr>
          <w:noProof/>
          <w:spacing w:val="-2"/>
        </w:rPr>
      </w:pPr>
      <w:r>
        <w:rPr>
          <w:noProof/>
          <w:spacing w:val="-2"/>
        </w:rPr>
        <w:t>Keďže umelá inteligencia získava strategický význam, je nevyhnutné formovať globálne pravidlá týkajúce sa jej vývoja a používania. V rámci presadzovania rozvoja a využívania umelej inteligencie sa Komisia rozhodla pre prístup sústredený na človeka, čo znamená, že aplikácie umelej inteligencie musia byť v súlade so základnými právami</w:t>
      </w:r>
      <w:r>
        <w:rPr>
          <w:rStyle w:val="FootnoteReference"/>
          <w:noProof/>
          <w:spacing w:val="-2"/>
        </w:rPr>
        <w:footnoteReference w:id="74"/>
      </w:r>
      <w:r>
        <w:rPr>
          <w:noProof/>
          <w:spacing w:val="-2"/>
        </w:rPr>
        <w:t>. V tejto súvislosti sa pravidlami uvedenými v nariadení stanovuje všeobecný rámec a obsahujú konkrétne povinnosti a práva, ktoré sú obzvlášť relevantné pri spracúvaní osobných údajov v rámci umelej inteligencie. V nariadení je napríklad zahrnuté právo na to, aby sa na dotknutú osobu nevzťahovalo rozhodnutie, ktoré je založené výlučne na automatizovanom spracúvaní s výnimkou určitých situácií</w:t>
      </w:r>
      <w:r>
        <w:rPr>
          <w:rStyle w:val="FootnoteReference"/>
          <w:noProof/>
          <w:spacing w:val="-2"/>
        </w:rPr>
        <w:footnoteReference w:id="75"/>
      </w:r>
      <w:r>
        <w:rPr>
          <w:noProof/>
          <w:spacing w:val="-2"/>
        </w:rPr>
        <w:t>. Sú v ňom zahrnuté aj osobitné požiadavky na transparentnosť používania automatizovaného rozhodovania, konkrétne povinnosť informovať o existencii takýchto rozhodnutí a poskytovať zmysluplné informácie a vysvetľovať ich význam a predpokladané dôsledky spracovania pre jednotlivca</w:t>
      </w:r>
      <w:r>
        <w:rPr>
          <w:rStyle w:val="FootnoteReference"/>
          <w:noProof/>
          <w:spacing w:val="-2"/>
        </w:rPr>
        <w:footnoteReference w:id="76"/>
      </w:r>
      <w:r>
        <w:rPr>
          <w:noProof/>
          <w:spacing w:val="-2"/>
        </w:rPr>
        <w:t>. Expertná skupina na vysokej úrovni pre umelú inteligenciu</w:t>
      </w:r>
      <w:r>
        <w:rPr>
          <w:rStyle w:val="FootnoteReference"/>
          <w:noProof/>
          <w:spacing w:val="-2"/>
        </w:rPr>
        <w:footnoteReference w:id="77"/>
      </w:r>
      <w:r>
        <w:rPr>
          <w:noProof/>
          <w:spacing w:val="-2"/>
        </w:rPr>
        <w:t>, Organizácia pre hospodársku spoluprácu a rozvoj</w:t>
      </w:r>
      <w:r>
        <w:rPr>
          <w:rStyle w:val="FootnoteReference"/>
          <w:noProof/>
          <w:spacing w:val="-2"/>
        </w:rPr>
        <w:footnoteReference w:id="78"/>
      </w:r>
      <w:r>
        <w:rPr>
          <w:noProof/>
          <w:spacing w:val="-2"/>
        </w:rPr>
        <w:t xml:space="preserve"> a skupina G20</w:t>
      </w:r>
      <w:r>
        <w:rPr>
          <w:rStyle w:val="FootnoteReference"/>
          <w:noProof/>
          <w:spacing w:val="-2"/>
        </w:rPr>
        <w:footnoteReference w:id="79"/>
      </w:r>
      <w:r>
        <w:rPr>
          <w:noProof/>
          <w:spacing w:val="-2"/>
        </w:rPr>
        <w:t xml:space="preserve"> považujú tieto hlavné zásady nariadenia za obzvlášť relevantné pri riešení výziev a príležitostí, ktoré z umelej inteligencie vyplývajú. Európsky výbor pre ochranu údajov označil umelú inteligenciu za jednu z možných tém svojho pracovného programu na roky 2019 – 2020</w:t>
      </w:r>
      <w:r>
        <w:rPr>
          <w:rStyle w:val="FootnoteReference"/>
          <w:noProof/>
          <w:spacing w:val="-2"/>
        </w:rPr>
        <w:footnoteReference w:id="80"/>
      </w:r>
      <w:r>
        <w:rPr>
          <w:noProof/>
          <w:spacing w:val="-2"/>
        </w:rPr>
        <w:t>.</w:t>
      </w:r>
    </w:p>
    <w:p>
      <w:pPr>
        <w:pStyle w:val="Heading3"/>
        <w:rPr>
          <w:noProof/>
          <w:spacing w:val="-2"/>
        </w:rPr>
      </w:pPr>
      <w:r>
        <w:rPr>
          <w:noProof/>
          <w:spacing w:val="-2"/>
        </w:rPr>
        <w:t>Doprava</w:t>
      </w:r>
    </w:p>
    <w:p>
      <w:pPr>
        <w:rPr>
          <w:noProof/>
          <w:spacing w:val="-2"/>
        </w:rPr>
      </w:pPr>
      <w:r>
        <w:rPr>
          <w:noProof/>
          <w:spacing w:val="-2"/>
        </w:rPr>
        <w:t>Vývoj prepojených áut a inteligentných miest sa čoraz väčšmi opiera o spracúvanie a výmenu veľkých množstiev osobných údajov medzi viacerými stranami vrátane automobilov, výrobcov automobilov, poskytovateľov telematických služieb a orgánov verejnej moci zodpovedných za cestnú infraštruktúru. Toto mnohostranné prostredie so sebou prináša určitú komplexnosť týkajúcu sa rozdelenia úloh a zodpovedností rôznych subjektov zapojených do spracúvania osobných údajov a spôsobu, ako zaistiť zákonnosť spracúvania zo strany všetkých aktérov. Dodržiavanie nariadenia a právnych predpisov v oblasti súkromia na internete je nevyhnutné na úspešné zavedenie inteligentných dopravných systémov vo všetkých druhoch dopravy a na šírenie digitálnych nástrojov a služieb umožňujúcich väčšiu mobilitu jednotlivcov a tovaru</w:t>
      </w:r>
      <w:r>
        <w:rPr>
          <w:rStyle w:val="FootnoteReference"/>
          <w:noProof/>
          <w:spacing w:val="-2"/>
        </w:rPr>
        <w:footnoteReference w:id="81"/>
      </w:r>
      <w:r>
        <w:rPr>
          <w:noProof/>
          <w:spacing w:val="-2"/>
        </w:rPr>
        <w:t>.</w:t>
      </w:r>
    </w:p>
    <w:p>
      <w:pPr>
        <w:pStyle w:val="Heading3"/>
        <w:rPr>
          <w:noProof/>
          <w:spacing w:val="-2"/>
        </w:rPr>
      </w:pPr>
      <w:r>
        <w:rPr>
          <w:noProof/>
          <w:spacing w:val="-2"/>
        </w:rPr>
        <w:t>Energia</w:t>
      </w:r>
    </w:p>
    <w:p>
      <w:pPr>
        <w:rPr>
          <w:noProof/>
          <w:spacing w:val="-2"/>
        </w:rPr>
      </w:pPr>
      <w:r>
        <w:rPr>
          <w:noProof/>
          <w:spacing w:val="-2"/>
        </w:rPr>
        <w:t>Vývoj digitálnych riešení v sektore energetiky sa čoraz väčšmi opiera o spracúvanie osobných údajov. V právnych predpisoch, ktoré sa prijali v rámci balíka opatrení v oblasti čistej energie pre všetkých Európanov</w:t>
      </w:r>
      <w:r>
        <w:rPr>
          <w:rStyle w:val="FootnoteReference"/>
          <w:noProof/>
          <w:spacing w:val="-2"/>
        </w:rPr>
        <w:footnoteReference w:id="82"/>
      </w:r>
      <w:r>
        <w:rPr>
          <w:noProof/>
          <w:spacing w:val="-2"/>
        </w:rPr>
        <w:t xml:space="preserve"> sú zahrnuté nové ustanovenia, ktorými sa umožňuje digitalizácia odvetvia elektrickej energie, a pravidlá týkajúce sa prístupu k údajom, správy údajov a interoperability, ktorými sa umožňuje spracúvať údaje spotrebiteľov v reálnom čase na dosiahnutie úspor a na podporu vlastnej výroby a účasti na trhu s energiou. Dodržiavanie pravidiel ochrany údajov má preto veľký význam z hľadiska úspešného vykonávania týchto ustanovení.</w:t>
      </w:r>
    </w:p>
    <w:p>
      <w:pPr>
        <w:jc w:val="left"/>
        <w:rPr>
          <w:i/>
          <w:noProof/>
        </w:rPr>
      </w:pPr>
      <w:r>
        <w:rPr>
          <w:noProof/>
        </w:rPr>
        <w:br w:type="page"/>
      </w:r>
    </w:p>
    <w:p>
      <w:pPr>
        <w:pStyle w:val="Heading3"/>
        <w:rPr>
          <w:noProof/>
        </w:rPr>
      </w:pPr>
      <w:r>
        <w:rPr>
          <w:noProof/>
        </w:rPr>
        <w:t>Hospodárska súťaž</w:t>
      </w:r>
    </w:p>
    <w:p>
      <w:pPr>
        <w:rPr>
          <w:noProof/>
        </w:rPr>
      </w:pPr>
      <w:r>
        <w:rPr>
          <w:noProof/>
        </w:rPr>
        <w:t>Spracúvanie osobných údajov je čoraz častejšie prvkom, ktorý treba zohľadniť v politike hospodárskej súťaže</w:t>
      </w:r>
      <w:r>
        <w:rPr>
          <w:rStyle w:val="FootnoteReference"/>
          <w:noProof/>
        </w:rPr>
        <w:footnoteReference w:id="83"/>
      </w:r>
      <w:r>
        <w:rPr>
          <w:noProof/>
        </w:rPr>
        <w:t>. Vzhľadom na to, že orgány pre ochranu osobných údajov sú jediné orgány poverené posudzovaním porušovania pravidiel ochrany údajov, orgány na ochranu hospodárskej súťaže, spotrebiteľa a orgány pre ochranu osobných údajov spolupracujú a budú naďalej spolupracovať, keď to bude potrebné pri prelínaní ich príslušných právomocí. Komisia bude takúto spoluprácu podporovať a pozorne sledovať, ako sa vyvíja.</w:t>
      </w:r>
    </w:p>
    <w:p>
      <w:pPr>
        <w:pStyle w:val="Heading3"/>
        <w:rPr>
          <w:noProof/>
        </w:rPr>
      </w:pPr>
      <w:r>
        <w:rPr>
          <w:noProof/>
        </w:rPr>
        <w:t>Kontext volieb</w:t>
      </w:r>
    </w:p>
    <w:p>
      <w:pPr>
        <w:rPr>
          <w:noProof/>
        </w:rPr>
      </w:pPr>
      <w:r>
        <w:rPr>
          <w:noProof/>
        </w:rPr>
        <w:t>Komisia vo svojom usmernení o používaní osobných údajov v kontexte volieb</w:t>
      </w:r>
      <w:r>
        <w:rPr>
          <w:rStyle w:val="FootnoteReference"/>
          <w:noProof/>
        </w:rPr>
        <w:footnoteReference w:id="84"/>
      </w:r>
      <w:r>
        <w:rPr>
          <w:noProof/>
        </w:rPr>
        <w:t xml:space="preserve"> vydanom v septembri 2018 v rámci balíka predpisov týkajúcich sa volieb</w:t>
      </w:r>
      <w:r>
        <w:rPr>
          <w:rStyle w:val="FootnoteReference"/>
          <w:noProof/>
        </w:rPr>
        <w:footnoteReference w:id="85"/>
      </w:r>
      <w:r>
        <w:rPr>
          <w:noProof/>
        </w:rPr>
        <w:t xml:space="preserve"> upozornila na pravidlá, ktoré sú obzvlášť významné pre aktérov zapojených do volieb, vrátane otázok súvisiacich s mikrozacielením voličov. Toto usmernenie sa odrazilo vo vyhlásení Európskeho výboru pre ochranu údajov</w:t>
      </w:r>
      <w:r>
        <w:rPr>
          <w:rStyle w:val="FootnoteReference"/>
          <w:noProof/>
        </w:rPr>
        <w:footnoteReference w:id="86"/>
      </w:r>
      <w:r>
        <w:rPr>
          <w:noProof/>
        </w:rPr>
        <w:t xml:space="preserve"> a niekoľko orgánov pre ochranu osobných údajov vydalo usmernenie na vnútroštátnej úrovni. Súčasťou balíka predpisov týkajúcich sa volieb bola aj výzva, aby každý členský štát zriadil vnútroštátnu volebnú sieť, do ktorej by sa zapojili vnútroštátne orgány s právomocami v oblasti volebných záležitostí a orgány zodpovedné za monitorovanie a presadzovanie pravidiel, napríklad v oblasti ochrany údajov, týkajúcich sa online aktivít súvisiacich s voľbami. Prijali sa aj nové opatrenia s cieľom zaviesť sankcie za porušovanie pravidiel ochrany údajov európskymi politickými stranami a nadáciami. Komisia odporučila, aby členské štáty prijali rovnaký prístup na vnútroštátnej úrovni. V hodnotení volieb do Európskeho parlamentu v roku 2019, ktoré sa má vydať v októbri 2019, sa zohľadnia aj aspekty ochrany údajov.</w:t>
      </w:r>
    </w:p>
    <w:p>
      <w:pPr>
        <w:pStyle w:val="Heading3"/>
        <w:rPr>
          <w:noProof/>
        </w:rPr>
      </w:pPr>
      <w:r>
        <w:rPr>
          <w:noProof/>
        </w:rPr>
        <w:t>Presadzovanie práva</w:t>
      </w:r>
    </w:p>
    <w:p>
      <w:pPr>
        <w:rPr>
          <w:noProof/>
        </w:rPr>
      </w:pPr>
      <w:r>
        <w:rPr>
          <w:noProof/>
        </w:rPr>
        <w:t>Účinnú a skutočnú bezpečnostnú úniu možno vybudovať iba na úplnom súlade so základnými právami zakotvenými v charte EÚ a v sekundárnych právnych predpisoch EÚ vrátane primeraných záruk ochrany údajov v záujme bezpečnej výmeny osobných údajov na účely presadzovania práva. Akékoľvek obmedzenia základného práva na súkromie a ochranu údajov podliehajú prísnemu testu nevyhnutnosti a primeranosti.</w:t>
      </w:r>
    </w:p>
    <w:p>
      <w:pPr>
        <w:jc w:val="left"/>
        <w:rPr>
          <w:noProof/>
        </w:rPr>
      </w:pPr>
      <w:r>
        <w:rPr>
          <w:noProof/>
        </w:rPr>
        <w:br w:type="page"/>
      </w:r>
    </w:p>
    <w:p>
      <w:pPr>
        <w:pStyle w:val="Heading1"/>
        <w:numPr>
          <w:ilvl w:val="0"/>
          <w:numId w:val="71"/>
        </w:numPr>
        <w:rPr>
          <w:rFonts w:ascii="Times New Roman" w:hAnsi="Times New Roman"/>
          <w:noProof/>
        </w:rPr>
      </w:pPr>
      <w:r>
        <w:rPr>
          <w:rFonts w:ascii="Times New Roman" w:hAnsi="Times New Roman"/>
          <w:noProof/>
        </w:rPr>
        <w:t>Záver</w:t>
      </w:r>
    </w:p>
    <w:p>
      <w:pPr>
        <w:spacing w:after="120" w:line="288" w:lineRule="auto"/>
        <w:rPr>
          <w:noProof/>
        </w:rPr>
      </w:pPr>
      <w:r>
        <w:rPr>
          <w:noProof/>
        </w:rPr>
        <w:t>Na základe dostupných informácií a dialógu so zainteresovanými stranami Komisia predbežne hodnotí, že prvý rok uplatňovania nariadenia bol celkovo pozitívny. Ako však vyplýva z tohto oznámenia, vo viacerých oblastiach je potrebný ďalší pokrok.</w:t>
      </w:r>
    </w:p>
    <w:p>
      <w:pPr>
        <w:spacing w:before="240" w:after="240" w:line="288" w:lineRule="auto"/>
        <w:rPr>
          <w:i/>
          <w:iCs/>
          <w:noProof/>
        </w:rPr>
      </w:pPr>
      <w:r>
        <w:rPr>
          <w:i/>
          <w:iCs/>
          <w:noProof/>
        </w:rPr>
        <w:t>Vykonávanie a dopĺňanie právneho rámca:</w:t>
      </w:r>
    </w:p>
    <w:p>
      <w:pPr>
        <w:pStyle w:val="ListParagraph"/>
        <w:numPr>
          <w:ilvl w:val="0"/>
          <w:numId w:val="55"/>
        </w:numPr>
        <w:spacing w:before="240" w:after="240" w:line="288" w:lineRule="auto"/>
        <w:ind w:left="357" w:hanging="357"/>
        <w:contextualSpacing w:val="0"/>
        <w:rPr>
          <w:noProof/>
        </w:rPr>
      </w:pPr>
      <w:r>
        <w:rPr>
          <w:noProof/>
        </w:rPr>
        <w:t>Tri členské štáty, ktoré ešte neaktualizovali svoje vnútroštátne právne predpisy o ochrane údajov, tak musia bezodkladne urobiť. Všetky členské štáty by mali dokončiť zosúladenie svojich odvetvových právnych predpisov s požiadavkami nariadenia.</w:t>
      </w:r>
    </w:p>
    <w:p>
      <w:pPr>
        <w:pStyle w:val="ListParagraph"/>
        <w:numPr>
          <w:ilvl w:val="0"/>
          <w:numId w:val="55"/>
        </w:numPr>
        <w:spacing w:before="240" w:after="240" w:line="288" w:lineRule="auto"/>
        <w:ind w:left="357" w:hanging="357"/>
        <w:contextualSpacing w:val="0"/>
        <w:rPr>
          <w:noProof/>
        </w:rPr>
      </w:pPr>
      <w:r>
        <w:rPr>
          <w:noProof/>
        </w:rPr>
        <w:t>Komisia použije všetky nástroje, ktoré má k dispozícii, vrátane postupov v prípade nesplnenia povinnosti s cieľom zaistiť, aby členské štáty dodržiavali nariadenie a obmedzovali akúkoľvek fragmentáciu rámca ochrany údajov.</w:t>
      </w:r>
    </w:p>
    <w:p>
      <w:pPr>
        <w:spacing w:before="240" w:after="240" w:line="288" w:lineRule="auto"/>
        <w:rPr>
          <w:i/>
          <w:iCs/>
          <w:noProof/>
        </w:rPr>
      </w:pPr>
      <w:r>
        <w:rPr>
          <w:i/>
          <w:iCs/>
          <w:noProof/>
        </w:rPr>
        <w:t>Dosiahnutie plného potenciálu nového systému riadenia:</w:t>
      </w:r>
    </w:p>
    <w:p>
      <w:pPr>
        <w:pStyle w:val="ListParagraph"/>
        <w:numPr>
          <w:ilvl w:val="0"/>
          <w:numId w:val="55"/>
        </w:numPr>
        <w:spacing w:before="240" w:after="240" w:line="288" w:lineRule="auto"/>
        <w:ind w:left="357" w:hanging="357"/>
        <w:contextualSpacing w:val="0"/>
        <w:rPr>
          <w:noProof/>
        </w:rPr>
      </w:pPr>
      <w:r>
        <w:rPr>
          <w:noProof/>
        </w:rPr>
        <w:t>Členské štáty by mali vnútroštátnym orgánom pre ochranu osobných údajov prideliť dostatok ľudských, finančných a technických zdrojov.</w:t>
      </w:r>
    </w:p>
    <w:p>
      <w:pPr>
        <w:pStyle w:val="ListParagraph"/>
        <w:numPr>
          <w:ilvl w:val="0"/>
          <w:numId w:val="55"/>
        </w:numPr>
        <w:spacing w:before="240" w:after="240" w:line="288" w:lineRule="auto"/>
        <w:ind w:left="357" w:hanging="357"/>
        <w:contextualSpacing w:val="0"/>
        <w:rPr>
          <w:noProof/>
        </w:rPr>
      </w:pPr>
      <w:r>
        <w:rPr>
          <w:noProof/>
        </w:rPr>
        <w:t>Orgány pre ochranu osobných údajov by mali zintenzívniť svoju spoluprácu napríklad vedením spoločných vyšetrovaní. Členské štáty by mali uľahčiť vykonávanie takýchto vyšetrovaní.</w:t>
      </w:r>
    </w:p>
    <w:p>
      <w:pPr>
        <w:pStyle w:val="ListParagraph"/>
        <w:numPr>
          <w:ilvl w:val="0"/>
          <w:numId w:val="55"/>
        </w:numPr>
        <w:spacing w:before="240" w:after="240" w:line="288" w:lineRule="auto"/>
        <w:ind w:left="357" w:hanging="357"/>
        <w:contextualSpacing w:val="0"/>
        <w:rPr>
          <w:noProof/>
        </w:rPr>
      </w:pPr>
      <w:r>
        <w:rPr>
          <w:noProof/>
        </w:rPr>
        <w:t>Výbor by mal ďalej rozvíjať kultúru ochrany osobných údajov EÚ a plne využívať nástroje stanovené v nariadení s cieľom zaistiť harmonizované uplatňovanie pravidiel. Mal by naďalej pracovať na usmerneniach, a to najmä pre malé a stredné podniky.</w:t>
      </w:r>
    </w:p>
    <w:p>
      <w:pPr>
        <w:pStyle w:val="ListParagraph"/>
        <w:numPr>
          <w:ilvl w:val="0"/>
          <w:numId w:val="55"/>
        </w:numPr>
        <w:spacing w:before="240" w:after="240" w:line="288" w:lineRule="auto"/>
        <w:ind w:left="357" w:hanging="357"/>
        <w:contextualSpacing w:val="0"/>
        <w:rPr>
          <w:noProof/>
        </w:rPr>
      </w:pPr>
      <w:r>
        <w:rPr>
          <w:noProof/>
        </w:rPr>
        <w:t>Mali by sa posilniť odborné znalosti sekretariátu výboru s cieľom účinnejšie podporovať a viesť prácu výboru.</w:t>
      </w:r>
    </w:p>
    <w:p>
      <w:pPr>
        <w:pStyle w:val="ListParagraph"/>
        <w:numPr>
          <w:ilvl w:val="0"/>
          <w:numId w:val="55"/>
        </w:numPr>
        <w:spacing w:before="240" w:after="240" w:line="288" w:lineRule="auto"/>
        <w:ind w:left="357" w:hanging="357"/>
        <w:contextualSpacing w:val="0"/>
        <w:rPr>
          <w:noProof/>
        </w:rPr>
      </w:pPr>
      <w:r>
        <w:rPr>
          <w:noProof/>
        </w:rPr>
        <w:t>Komisia bude orgány pre ochranu osobných údajov a výbor naďalej podporovať, najmä prostredníctvom aktívnej účasti na práci výboru a upriamovaním jeho pozornosti na požiadavky právnych predpisov EÚ počas vykonávania nariadenia.</w:t>
      </w:r>
    </w:p>
    <w:p>
      <w:pPr>
        <w:pStyle w:val="ListParagraph"/>
        <w:numPr>
          <w:ilvl w:val="0"/>
          <w:numId w:val="55"/>
        </w:numPr>
        <w:spacing w:after="120" w:line="288" w:lineRule="auto"/>
        <w:ind w:left="357" w:hanging="357"/>
        <w:contextualSpacing w:val="0"/>
        <w:rPr>
          <w:noProof/>
        </w:rPr>
      </w:pPr>
      <w:r>
        <w:rPr>
          <w:noProof/>
        </w:rPr>
        <w:t>Komisia bude podporovať interakciu medzi orgánmi pre ochranu osobných údajov a ďalšími orgánmi, najmä z oblasti hospodárskej súťaže, pri plnom rešpektovaní ich príslušných právomocí.</w:t>
      </w:r>
    </w:p>
    <w:p>
      <w:pPr>
        <w:spacing w:before="240" w:after="240" w:line="288" w:lineRule="auto"/>
        <w:rPr>
          <w:i/>
          <w:iCs/>
          <w:noProof/>
        </w:rPr>
      </w:pPr>
      <w:r>
        <w:rPr>
          <w:i/>
          <w:iCs/>
          <w:noProof/>
        </w:rPr>
        <w:t>Podpora a zapájanie zainteresovaných strán:</w:t>
      </w:r>
    </w:p>
    <w:p>
      <w:pPr>
        <w:pStyle w:val="ListParagraph"/>
        <w:numPr>
          <w:ilvl w:val="0"/>
          <w:numId w:val="55"/>
        </w:numPr>
        <w:spacing w:after="120" w:line="288" w:lineRule="auto"/>
        <w:contextualSpacing w:val="0"/>
        <w:rPr>
          <w:noProof/>
        </w:rPr>
      </w:pPr>
      <w:r>
        <w:rPr>
          <w:noProof/>
        </w:rPr>
        <w:t>Výbor by mal zlepšiť spôsob, akým do svojej práce zapája zainteresované strany. Komisia bude orgány pre ochranu osobných údajov naďalej finančne podporovať, aby im pomohla osloviť zainteresované strany.</w:t>
      </w:r>
    </w:p>
    <w:p>
      <w:pPr>
        <w:pStyle w:val="ListParagraph"/>
        <w:numPr>
          <w:ilvl w:val="0"/>
          <w:numId w:val="55"/>
        </w:numPr>
        <w:spacing w:before="240" w:after="240" w:line="288" w:lineRule="auto"/>
        <w:ind w:left="357" w:hanging="357"/>
        <w:contextualSpacing w:val="0"/>
        <w:rPr>
          <w:noProof/>
        </w:rPr>
      </w:pPr>
      <w:r>
        <w:rPr>
          <w:noProof/>
        </w:rPr>
        <w:t>Komisia bude pokračovať vo svojich činnostiach zameraných na zvyšovanie informovanosti a vo svojej práci so zainteresovanými stranami.</w:t>
      </w:r>
    </w:p>
    <w:p>
      <w:pPr>
        <w:jc w:val="left"/>
        <w:rPr>
          <w:i/>
          <w:iCs/>
          <w:noProof/>
        </w:rPr>
      </w:pPr>
      <w:r>
        <w:rPr>
          <w:i/>
          <w:iCs/>
          <w:noProof/>
        </w:rPr>
        <w:t>Podpora medzinárodnej konvergencie:</w:t>
      </w:r>
    </w:p>
    <w:p>
      <w:pPr>
        <w:pStyle w:val="ListParagraph"/>
        <w:numPr>
          <w:ilvl w:val="0"/>
          <w:numId w:val="55"/>
        </w:numPr>
        <w:spacing w:after="120" w:line="288" w:lineRule="auto"/>
        <w:ind w:left="357" w:hanging="357"/>
        <w:contextualSpacing w:val="0"/>
        <w:rPr>
          <w:noProof/>
        </w:rPr>
      </w:pPr>
      <w:r>
        <w:rPr>
          <w:noProof/>
        </w:rPr>
        <w:t>Komisia bude ďalej zintenzívňovať dialóg o primeranosti s kľúčovými partnermi, ktorí spĺňajú podmienky, a to aj v oblasti presadzovania práva. V nasledujúcich mesiacoch je jej cieľom najmä uzatvorenie prebiehajúcich rokovaní s Južnou Kóreou. V roku 2020 podá správu týkajúcu sa preskúmania jedenástich rozhodnutí o primeranosti prijatých podľa smernice o ochrane údajov.</w:t>
      </w:r>
    </w:p>
    <w:p>
      <w:pPr>
        <w:pStyle w:val="ListParagraph"/>
        <w:numPr>
          <w:ilvl w:val="0"/>
          <w:numId w:val="55"/>
        </w:numPr>
        <w:spacing w:after="120" w:line="288" w:lineRule="auto"/>
        <w:contextualSpacing w:val="0"/>
        <w:rPr>
          <w:noProof/>
        </w:rPr>
      </w:pPr>
      <w:r>
        <w:rPr>
          <w:noProof/>
        </w:rPr>
        <w:t>Komisia bude pokračovať vo svojej činnosti, a to aj prostredníctvom výmeny informácií a najlepších postupov v oblasti technickej pomoci s krajinami, ktoré majú záujem o prijatie moderných zákonov na ochranu súkromia, a bude podporovať spoluprácu s dozornými orgánmi tretích krajín a regionálnymi organizáciami.</w:t>
      </w:r>
    </w:p>
    <w:p>
      <w:pPr>
        <w:pStyle w:val="ListParagraph"/>
        <w:numPr>
          <w:ilvl w:val="0"/>
          <w:numId w:val="55"/>
        </w:numPr>
        <w:spacing w:after="120" w:line="288" w:lineRule="auto"/>
        <w:ind w:left="357" w:hanging="357"/>
        <w:contextualSpacing w:val="0"/>
        <w:rPr>
          <w:noProof/>
        </w:rPr>
      </w:pPr>
      <w:r>
        <w:rPr>
          <w:noProof/>
        </w:rPr>
        <w:t>Komisia bude spolupracovať s mnohostrannými a regionálnymi organizáciami s cieľom presadzovať prísne normy v oblasti ochrany údajov ako sprostredkovateľ obchodu a spolupráce (napr. v rámci iniciatívy spoľahlivého voľného toku údajov „Data Free Flow with Trust“, ktorú iniciovalo Japonsko v súvislosti so skupinou G20).</w:t>
      </w:r>
    </w:p>
    <w:p>
      <w:pPr>
        <w:rPr>
          <w:noProof/>
        </w:rPr>
      </w:pPr>
      <w:r>
        <w:rPr>
          <w:noProof/>
        </w:rPr>
        <w:t>V nariadení</w:t>
      </w:r>
      <w:r>
        <w:rPr>
          <w:rStyle w:val="FootnoteReference"/>
          <w:noProof/>
        </w:rPr>
        <w:footnoteReference w:id="87"/>
      </w:r>
      <w:r>
        <w:rPr>
          <w:noProof/>
        </w:rPr>
        <w:t xml:space="preserve"> sa vyžaduje, aby Komisia v roku 2020 predložila správu o jeho vykonávaní. Naskytne sa tak príležitosť zhodnotiť dosiahnutý pokrok a to, či sú rôzne komponenty nového režimu ochrany údajov po dvoch rokoch uplatňovania plne funkčné. Na tento účel bude Komisia spolupracovať s Európskym parlamentom, Radou, členskými štátmi, Európskym výborom pre ochranu údajov, príslušnými zainteresovanými stranami a občanmi.</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rPr>
          <w:sz w:val="20"/>
        </w:rPr>
      </w:pPr>
      <w:r>
        <w:rPr>
          <w:sz w:val="20"/>
        </w:rPr>
        <w:separator/>
      </w:r>
    </w:p>
  </w:footnote>
  <w:footnote w:type="continuationSeparator" w:id="0">
    <w:p>
      <w:pPr>
        <w:spacing w:after="0" w:line="240" w:lineRule="auto"/>
        <w:rPr>
          <w:sz w:val="20"/>
        </w:rPr>
      </w:pPr>
      <w:r>
        <w:rPr>
          <w:sz w:val="20"/>
        </w:rPr>
        <w:continuationSeparator/>
      </w:r>
    </w:p>
  </w:footnote>
  <w:footnote w:type="continuationNotice" w:id="1">
    <w:p>
      <w:pPr>
        <w:spacing w:after="0" w:line="240" w:lineRule="auto"/>
        <w:rPr>
          <w:sz w:val="20"/>
          <w:szCs w:val="20"/>
        </w:rPr>
      </w:pPr>
    </w:p>
  </w:footnote>
  <w:footnote w:id="2">
    <w:p>
      <w:pPr>
        <w:pStyle w:val="FootnoteText"/>
        <w:tabs>
          <w:tab w:val="clear" w:pos="360"/>
          <w:tab w:val="left" w:pos="709"/>
        </w:tabs>
        <w:ind w:left="720" w:hanging="720"/>
      </w:pPr>
      <w:r>
        <w:rPr>
          <w:rStyle w:val="FootnoteReference"/>
        </w:rPr>
        <w:footnoteRef/>
      </w:r>
      <w:r>
        <w:t xml:space="preserve"> </w:t>
      </w:r>
      <w:r>
        <w:tab/>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4.5.2016, s. 1): </w:t>
      </w:r>
      <w:hyperlink r:id="rId1" w:history="1">
        <w:r>
          <w:rPr>
            <w:rStyle w:val="Hyperlink"/>
          </w:rPr>
          <w:t>https://eur-lex.europa.eu/legal-content/SK/TXT/?uri=CELEX%3A32016R0679</w:t>
        </w:r>
      </w:hyperlink>
      <w:r>
        <w:t xml:space="preserve">.  </w:t>
      </w:r>
    </w:p>
  </w:footnote>
  <w:footnote w:id="3">
    <w:p>
      <w:pPr>
        <w:pStyle w:val="FootnoteText"/>
        <w:tabs>
          <w:tab w:val="clear" w:pos="360"/>
          <w:tab w:val="left" w:pos="709"/>
        </w:tabs>
        <w:ind w:left="720" w:hanging="720"/>
        <w:rPr>
          <w:spacing w:val="-4"/>
        </w:rPr>
      </w:pPr>
      <w:r>
        <w:rPr>
          <w:rStyle w:val="FootnoteReference"/>
        </w:rPr>
        <w:footnoteRef/>
      </w:r>
      <w:r>
        <w:t xml:space="preserve"> </w:t>
      </w:r>
      <w:r>
        <w:tab/>
      </w:r>
      <w:r>
        <w:rPr>
          <w:spacing w:val="-4"/>
        </w:rPr>
        <w:t xml:space="preserve">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w:t>
      </w:r>
    </w:p>
    <w:p>
      <w:pPr>
        <w:pStyle w:val="FootnoteText"/>
        <w:tabs>
          <w:tab w:val="clear" w:pos="360"/>
          <w:tab w:val="left" w:pos="709"/>
        </w:tabs>
        <w:ind w:left="720" w:firstLine="0"/>
        <w:rPr>
          <w:spacing w:val="-4"/>
        </w:rPr>
      </w:pPr>
      <w:hyperlink r:id="rId2" w:history="1">
        <w:r>
          <w:rPr>
            <w:rStyle w:val="Hyperlink"/>
            <w:spacing w:val="-4"/>
          </w:rPr>
          <w:t>https://eur-lex.europa.eu/legal-content/SK/ALL/?uri=celex:32016L0680</w:t>
        </w:r>
      </w:hyperlink>
      <w:r>
        <w:rPr>
          <w:spacing w:val="-4"/>
        </w:rPr>
        <w:t>. Smernicu mali členské štáty transponovať do 6. mája 2018. Informácie o aktuálnom stave jej transpozície sa uvádzajú v správach o bezpečnostnej únii.</w:t>
      </w:r>
    </w:p>
  </w:footnote>
  <w:footnote w:id="4">
    <w:p>
      <w:pPr>
        <w:pStyle w:val="FootnoteText"/>
        <w:tabs>
          <w:tab w:val="clear" w:pos="360"/>
          <w:tab w:val="left" w:pos="709"/>
        </w:tabs>
        <w:ind w:left="720" w:hanging="720"/>
      </w:pPr>
      <w:r>
        <w:rPr>
          <w:rStyle w:val="FootnoteReference"/>
        </w:rPr>
        <w:footnoteRef/>
      </w:r>
      <w:r>
        <w:t xml:space="preserve"> </w:t>
      </w:r>
      <w:r>
        <w:tab/>
        <w:t xml:space="preserve">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 s. 39 – 98: </w:t>
      </w:r>
      <w:hyperlink r:id="rId3" w:history="1">
        <w:r>
          <w:rPr>
            <w:rStyle w:val="Hyperlink"/>
          </w:rPr>
          <w:t>https://eur-lex.europa.eu/legal-content/SK/TXT/?uri=CELEX%3A32018R1725</w:t>
        </w:r>
      </w:hyperlink>
      <w:r>
        <w:t>. Účinnosť nadobudlo 11. decembra 2018.</w:t>
      </w:r>
    </w:p>
  </w:footnote>
  <w:footnote w:id="5">
    <w:p>
      <w:pPr>
        <w:pStyle w:val="FootnoteText"/>
        <w:tabs>
          <w:tab w:val="clear" w:pos="360"/>
          <w:tab w:val="left" w:pos="709"/>
        </w:tabs>
        <w:ind w:left="720" w:hanging="720"/>
      </w:pPr>
      <w:r>
        <w:rPr>
          <w:rStyle w:val="FootnoteReference"/>
        </w:rPr>
        <w:footnoteRef/>
      </w:r>
      <w:r>
        <w:t xml:space="preserve"> </w:t>
      </w:r>
      <w:r>
        <w:tab/>
        <w:t>Indický Najvyšší súd v zásadnom rozsudku z 24. augusta 2017 uznal súkromie za základné právo, ktoré je „nevyhnutným aspektom ľudskej dôstojnosti“.</w:t>
      </w:r>
    </w:p>
  </w:footnote>
  <w:footnote w:id="6">
    <w:p>
      <w:pPr>
        <w:pStyle w:val="FootnoteText"/>
        <w:tabs>
          <w:tab w:val="clear" w:pos="360"/>
          <w:tab w:val="left" w:pos="709"/>
        </w:tabs>
        <w:ind w:left="720" w:hanging="720"/>
      </w:pPr>
      <w:r>
        <w:rPr>
          <w:rStyle w:val="FootnoteReference"/>
        </w:rPr>
        <w:footnoteRef/>
      </w:r>
      <w:r>
        <w:t xml:space="preserve"> </w:t>
      </w:r>
      <w:r>
        <w:tab/>
        <w:t>Oznámenie Komisie Európskemu parlamentu a Rade „Silnejšia ochrana, nové možnosti – Usmernenie Komisie o priamom uplatňovaní všeobecného nariadenia o ochrane údajov od 25. mája 2018“, COM(2018) 43 final:</w:t>
      </w:r>
    </w:p>
    <w:p>
      <w:pPr>
        <w:pStyle w:val="FootnoteText"/>
        <w:tabs>
          <w:tab w:val="clear" w:pos="360"/>
          <w:tab w:val="left" w:pos="709"/>
        </w:tabs>
        <w:ind w:left="720" w:hanging="720"/>
      </w:pPr>
      <w:r>
        <w:rPr>
          <w:rStyle w:val="FootnoteReference"/>
        </w:rPr>
        <w:footnoteRef/>
      </w:r>
      <w:r>
        <w:t xml:space="preserve"> </w:t>
      </w:r>
      <w:r>
        <w:tab/>
      </w:r>
      <w:hyperlink r:id="rId4" w:history="1">
        <w:r>
          <w:rPr>
            <w:rStyle w:val="Hyperlink"/>
          </w:rPr>
          <w:t>https://eur-lex.europa.eu/legal-content/SK/TXT/?qid=1517578296944&amp;uri=CELEX%3A52018DC0043</w:t>
        </w:r>
      </w:hyperlink>
      <w:r>
        <w:rPr>
          <w:rStyle w:val="Hyperlink"/>
        </w:rPr>
        <w:t>.</w:t>
      </w:r>
    </w:p>
  </w:footnote>
  <w:footnote w:id="7">
    <w:p>
      <w:pPr>
        <w:pStyle w:val="FootnoteText"/>
        <w:tabs>
          <w:tab w:val="clear" w:pos="360"/>
          <w:tab w:val="left" w:pos="709"/>
        </w:tabs>
        <w:ind w:left="720" w:hanging="720"/>
      </w:pPr>
      <w:r>
        <w:rPr>
          <w:rStyle w:val="FootnoteReference"/>
        </w:rPr>
        <w:footnoteRef/>
      </w:r>
      <w:r>
        <w:t xml:space="preserve"> </w:t>
      </w:r>
      <w:r>
        <w:tab/>
        <w:t>Do skupiny viacerých zainteresovaných strán, ktorú Komisia zriadila v súvislosti s nariadením, patria zástupcovia občianskej spoločnosti a podnikov, akademici i odborníci z praxe:</w:t>
      </w:r>
    </w:p>
    <w:p>
      <w:pPr>
        <w:pStyle w:val="FootnoteText"/>
        <w:tabs>
          <w:tab w:val="clear" w:pos="360"/>
          <w:tab w:val="left" w:pos="709"/>
        </w:tabs>
        <w:ind w:left="720" w:hanging="720"/>
        <w:rPr>
          <w:spacing w:val="-4"/>
        </w:rPr>
      </w:pPr>
      <w:r>
        <w:rPr>
          <w:rStyle w:val="FootnoteReference"/>
        </w:rPr>
        <w:footnoteRef/>
      </w:r>
      <w:r>
        <w:t xml:space="preserve"> </w:t>
      </w:r>
      <w:r>
        <w:tab/>
      </w:r>
      <w:hyperlink r:id="rId5" w:history="1">
        <w:r>
          <w:rPr>
            <w:rStyle w:val="Hyperlink"/>
            <w:spacing w:val="-4"/>
          </w:rPr>
          <w:t>http://ec.europa.eu/transparency/regexpert/index.cfm?do=groupDetail.groupDetail&amp;groupID=3537</w:t>
        </w:r>
      </w:hyperlink>
      <w:r>
        <w:rPr>
          <w:rStyle w:val="Hyperlink"/>
          <w:spacing w:val="-4"/>
        </w:rPr>
        <w:t xml:space="preserve"> http://ec.europa.eu/transparency/regexpert/index.cfm?do=groupDetail.groupDetail&amp;groupID=3537.</w:t>
      </w:r>
      <w:r>
        <w:rPr>
          <w:spacing w:val="-4"/>
        </w:rPr>
        <w:t xml:space="preserve"> </w:t>
      </w:r>
    </w:p>
  </w:footnote>
  <w:footnote w:id="8">
    <w:p>
      <w:pPr>
        <w:pStyle w:val="FootnoteText"/>
        <w:tabs>
          <w:tab w:val="clear" w:pos="360"/>
          <w:tab w:val="left" w:pos="709"/>
        </w:tabs>
        <w:ind w:left="720" w:hanging="720"/>
        <w:rPr>
          <w:rStyle w:val="FootnoteReference"/>
        </w:rPr>
      </w:pPr>
      <w:r>
        <w:rPr>
          <w:rStyle w:val="FootnoteReference"/>
        </w:rPr>
        <w:footnoteRef/>
      </w:r>
      <w:r>
        <w:t xml:space="preserve"> </w:t>
      </w:r>
      <w:r>
        <w:tab/>
      </w:r>
      <w:hyperlink r:id="rId6" w:history="1">
        <w:r>
          <w:rPr>
            <w:rStyle w:val="Hyperlink"/>
          </w:rPr>
          <w:t>http://europa.eu/rapid/press-release_IP-19-2956_en.htm</w:t>
        </w:r>
      </w:hyperlink>
      <w:r>
        <w:rPr>
          <w:rStyle w:val="Hyperlink"/>
        </w:rPr>
        <w:t>.</w:t>
      </w:r>
    </w:p>
  </w:footnote>
  <w:footnote w:id="9">
    <w:p>
      <w:pPr>
        <w:pStyle w:val="FootnoteText"/>
        <w:tabs>
          <w:tab w:val="clear" w:pos="360"/>
          <w:tab w:val="left" w:pos="709"/>
        </w:tabs>
        <w:ind w:left="720" w:hanging="720"/>
      </w:pPr>
      <w:r>
        <w:rPr>
          <w:rStyle w:val="FootnoteReference"/>
        </w:rPr>
        <w:footnoteRef/>
      </w:r>
      <w:r>
        <w:t xml:space="preserve"> </w:t>
      </w:r>
      <w:r>
        <w:tab/>
        <w:t>Článok 97 nariadenia.</w:t>
      </w:r>
    </w:p>
  </w:footnote>
  <w:footnote w:id="10">
    <w:p>
      <w:pPr>
        <w:pStyle w:val="FootnoteText"/>
        <w:tabs>
          <w:tab w:val="clear" w:pos="360"/>
          <w:tab w:val="left" w:pos="709"/>
        </w:tabs>
        <w:ind w:left="720" w:hanging="720"/>
        <w:rPr>
          <w:spacing w:val="-4"/>
        </w:rPr>
      </w:pPr>
      <w:r>
        <w:rPr>
          <w:rStyle w:val="FootnoteReference"/>
        </w:rPr>
        <w:footnoteRef/>
      </w:r>
      <w:r>
        <w:t xml:space="preserve"> </w:t>
      </w:r>
      <w:r>
        <w:tab/>
      </w:r>
      <w:r>
        <w:rPr>
          <w:spacing w:val="-4"/>
        </w:rPr>
        <w:t xml:space="preserve">„Usmernenie Komisie o uplatňovaní práva Únie v oblasti ochrany údajov v kontexte volieb“, COM(2018) 638 final: </w:t>
      </w:r>
      <w:hyperlink r:id="rId7" w:history="1">
        <w:r>
          <w:rPr>
            <w:rStyle w:val="Hyperlink"/>
            <w:spacing w:val="-4"/>
          </w:rPr>
          <w:t>https://ec.europa.eu/commission/sites/beta-political/files/soteu2018-data-protection-law-electoral-guidance-638_en.pdf</w:t>
        </w:r>
      </w:hyperlink>
      <w:r>
        <w:rPr>
          <w:spacing w:val="-4"/>
        </w:rPr>
        <w:t>.</w:t>
      </w:r>
    </w:p>
  </w:footnote>
  <w:footnote w:id="11">
    <w:p>
      <w:pPr>
        <w:pStyle w:val="FootnoteText"/>
        <w:tabs>
          <w:tab w:val="clear" w:pos="360"/>
          <w:tab w:val="left" w:pos="709"/>
        </w:tabs>
        <w:ind w:left="720" w:hanging="720"/>
      </w:pPr>
      <w:r>
        <w:rPr>
          <w:rStyle w:val="FootnoteReference"/>
        </w:rPr>
        <w:footnoteRef/>
      </w:r>
      <w:r>
        <w:t xml:space="preserve"> </w:t>
      </w:r>
      <w:r>
        <w:tab/>
        <w:t>Smernica Európskeho parlamentu a Rady 95/46/EHS z 24. októbra 1995 o ochrane fyzických osôb pri spracovaní osobných údajov a voľnom pohybe týchto údajov.</w:t>
      </w:r>
    </w:p>
    <w:p>
      <w:pPr>
        <w:pStyle w:val="FootnoteText"/>
        <w:tabs>
          <w:tab w:val="clear" w:pos="360"/>
          <w:tab w:val="left" w:pos="709"/>
        </w:tabs>
        <w:ind w:left="720" w:hanging="720"/>
      </w:pPr>
      <w:r>
        <w:rPr>
          <w:rStyle w:val="FootnoteReference"/>
        </w:rPr>
        <w:footnoteRef/>
      </w:r>
      <w:r>
        <w:t xml:space="preserve"> </w:t>
      </w:r>
      <w:r>
        <w:tab/>
      </w:r>
      <w:hyperlink r:id="rId8" w:history="1">
        <w:r>
          <w:rPr>
            <w:rStyle w:val="Hyperlink"/>
          </w:rPr>
          <w:t>https://eur-lex.europa.eu/legal-content/SK/TXT/?uri=celex:31995L0046</w:t>
        </w:r>
      </w:hyperlink>
      <w:r>
        <w:rPr>
          <w:rStyle w:val="Hyperlink"/>
        </w:rPr>
        <w:t>.</w:t>
      </w:r>
      <w:r>
        <w:t xml:space="preserve"> </w:t>
      </w:r>
    </w:p>
  </w:footnote>
  <w:footnote w:id="12">
    <w:p>
      <w:pPr>
        <w:pStyle w:val="FootnoteText"/>
        <w:tabs>
          <w:tab w:val="clear" w:pos="360"/>
          <w:tab w:val="left" w:pos="709"/>
        </w:tabs>
        <w:ind w:left="720" w:hanging="720"/>
      </w:pPr>
      <w:r>
        <w:rPr>
          <w:rStyle w:val="FootnoteReference"/>
        </w:rPr>
        <w:footnoteRef/>
      </w:r>
      <w:r>
        <w:t xml:space="preserve"> </w:t>
      </w:r>
      <w:r>
        <w:tab/>
        <w:t>Napríklad právomoc ukladať správne pokuty.</w:t>
      </w:r>
    </w:p>
  </w:footnote>
  <w:footnote w:id="13">
    <w:p>
      <w:pPr>
        <w:pStyle w:val="FootnoteText"/>
        <w:tabs>
          <w:tab w:val="clear" w:pos="360"/>
          <w:tab w:val="left" w:pos="709"/>
        </w:tabs>
        <w:ind w:left="720" w:hanging="720"/>
      </w:pPr>
      <w:r>
        <w:rPr>
          <w:rStyle w:val="FootnoteReference"/>
        </w:rPr>
        <w:footnoteRef/>
      </w:r>
      <w:r>
        <w:t xml:space="preserve"> </w:t>
      </w:r>
      <w:r>
        <w:tab/>
        <w:t>Stav k 23. júlu 2019: Grécko, Portugalsko a Slovinsko sa stále nachádzajú v procese prijímania svojich vnútroštátnych právnych predpisov.</w:t>
      </w:r>
    </w:p>
  </w:footnote>
  <w:footnote w:id="14">
    <w:p>
      <w:pPr>
        <w:pStyle w:val="FootnoteText"/>
        <w:tabs>
          <w:tab w:val="clear" w:pos="360"/>
          <w:tab w:val="left" w:pos="709"/>
        </w:tabs>
        <w:ind w:left="720" w:hanging="720"/>
        <w:rPr>
          <w:spacing w:val="-2"/>
        </w:rPr>
      </w:pPr>
      <w:r>
        <w:rPr>
          <w:rStyle w:val="FootnoteReference"/>
        </w:rPr>
        <w:footnoteRef/>
      </w:r>
      <w:r>
        <w:t xml:space="preserve"> </w:t>
      </w:r>
      <w:r>
        <w:tab/>
      </w:r>
      <w:r>
        <w:rPr>
          <w:spacing w:val="-2"/>
        </w:rPr>
        <w:t xml:space="preserve">Pozri správu skupiny viacerých zainteresovaných strán v súvislosti s nariadením vydanú 13. júna 2019: </w:t>
      </w:r>
      <w:hyperlink r:id="rId9" w:history="1">
        <w:r>
          <w:rPr>
            <w:rStyle w:val="Hyperlink"/>
            <w:spacing w:val="-2"/>
          </w:rPr>
          <w:t>http://ec.europa.eu/transparency/regexpert/index.cfm?do=groupDetail.groupMeeting&amp;meetingId=15670</w:t>
        </w:r>
      </w:hyperlink>
      <w:r>
        <w:rPr>
          <w:rStyle w:val="Hyperlink"/>
          <w:spacing w:val="-2"/>
        </w:rPr>
        <w:t>http://ec.europa.eu/transparency/regexpert/index.cfm?do=groupDetail.groupMeeting&amp;meetingId=15670.</w:t>
      </w:r>
      <w:r>
        <w:rPr>
          <w:spacing w:val="-2"/>
        </w:rPr>
        <w:t xml:space="preserve"> </w:t>
      </w:r>
    </w:p>
  </w:footnote>
  <w:footnote w:id="15">
    <w:p>
      <w:pPr>
        <w:pStyle w:val="FootnoteText"/>
        <w:tabs>
          <w:tab w:val="clear" w:pos="360"/>
          <w:tab w:val="left" w:pos="709"/>
        </w:tabs>
        <w:ind w:left="720" w:hanging="720"/>
        <w:rPr>
          <w:spacing w:val="-2"/>
        </w:rPr>
      </w:pPr>
      <w:r>
        <w:rPr>
          <w:rStyle w:val="FootnoteReference"/>
          <w:spacing w:val="-2"/>
        </w:rPr>
        <w:footnoteRef/>
      </w:r>
      <w:r>
        <w:rPr>
          <w:spacing w:val="-2"/>
        </w:rPr>
        <w:t xml:space="preserve"> </w:t>
      </w:r>
      <w:r>
        <w:rPr>
          <w:spacing w:val="-2"/>
        </w:rPr>
        <w:tab/>
        <w:t>V prípade Belgicka, Dánska, Estónska, Lotyšska, Malty, Fínska, Švédska a Spojeného kráľovstva 13 rokov; v prípade Bulharska, Španielska, Talianska, Cypru, Litvy a Rakúska 14 rokov; v prípade Česka a Francúzska 15 rokov; v prípade Nemecka, Írska, Chorvátska, Luxemburska, Maďarska, Holandska, Poľska, Rumunska a Slovenska 16 rokov.</w:t>
      </w:r>
    </w:p>
  </w:footnote>
  <w:footnote w:id="16">
    <w:p>
      <w:pPr>
        <w:pStyle w:val="FootnoteText"/>
        <w:tabs>
          <w:tab w:val="clear" w:pos="360"/>
          <w:tab w:val="left" w:pos="709"/>
        </w:tabs>
        <w:ind w:left="720" w:hanging="720"/>
      </w:pPr>
      <w:r>
        <w:rPr>
          <w:rStyle w:val="FootnoteReference"/>
        </w:rPr>
        <w:footnoteRef/>
      </w:r>
      <w:r>
        <w:t xml:space="preserve"> </w:t>
      </w:r>
      <w:r>
        <w:tab/>
        <w:t>Článok 8.</w:t>
      </w:r>
    </w:p>
  </w:footnote>
  <w:footnote w:id="17">
    <w:p>
      <w:pPr>
        <w:pStyle w:val="FootnoteText"/>
        <w:tabs>
          <w:tab w:val="clear" w:pos="360"/>
          <w:tab w:val="left" w:pos="709"/>
        </w:tabs>
        <w:ind w:left="720" w:hanging="720"/>
      </w:pPr>
      <w:r>
        <w:rPr>
          <w:rStyle w:val="FootnoteReference"/>
        </w:rPr>
        <w:footnoteRef/>
      </w:r>
      <w:r>
        <w:t xml:space="preserve"> </w:t>
      </w:r>
      <w:r>
        <w:tab/>
        <w:t>V súlade s článkom 16 ods. 2 Zmluvy o fungovaní Európskej únie.</w:t>
      </w:r>
    </w:p>
  </w:footnote>
  <w:footnote w:id="18">
    <w:p>
      <w:pPr>
        <w:pStyle w:val="FootnoteText"/>
        <w:tabs>
          <w:tab w:val="clear" w:pos="360"/>
          <w:tab w:val="left" w:pos="709"/>
        </w:tabs>
        <w:ind w:left="720" w:hanging="720"/>
      </w:pPr>
      <w:r>
        <w:rPr>
          <w:rStyle w:val="FootnoteReference"/>
        </w:rPr>
        <w:footnoteRef/>
      </w:r>
      <w:r>
        <w:t xml:space="preserve"> </w:t>
      </w:r>
      <w:r>
        <w:tab/>
        <w:t>V článku 60 nariadenia sa stanovuje spolupráca medzi orgánmi pre ochranu osobných údajov s cieľom uplatniť v konkrétnych prípadoch jednotný výklad nariadenia. V článku 64 sa stanovuje, že výbor v určitých prípadoch vydáva stanoviská, aby sa zabezpečilo konzistentné uplatňovanie nariadenia. A nakoniec má výbor právomoc prijímať záväzné rozhodnutia určené orgánom pre ochranu osobných údajov v prípade, ak sa medzi sebou nezhodnú.</w:t>
      </w:r>
    </w:p>
  </w:footnote>
  <w:footnote w:id="19">
    <w:p>
      <w:pPr>
        <w:pStyle w:val="FootnoteText"/>
        <w:tabs>
          <w:tab w:val="clear" w:pos="360"/>
          <w:tab w:val="left" w:pos="709"/>
        </w:tabs>
        <w:ind w:left="720" w:hanging="720"/>
      </w:pPr>
      <w:r>
        <w:rPr>
          <w:rStyle w:val="FootnoteReference"/>
        </w:rPr>
        <w:footnoteRef/>
      </w:r>
      <w:r>
        <w:t xml:space="preserve"> </w:t>
      </w:r>
      <w:r>
        <w:tab/>
        <w:t>Stalo sa tak v Nemecku a Španielsku.</w:t>
      </w:r>
    </w:p>
  </w:footnote>
  <w:footnote w:id="20">
    <w:p>
      <w:pPr>
        <w:pStyle w:val="FootnoteText"/>
        <w:tabs>
          <w:tab w:val="clear" w:pos="360"/>
          <w:tab w:val="left" w:pos="709"/>
        </w:tabs>
        <w:ind w:left="720" w:hanging="720"/>
      </w:pPr>
      <w:r>
        <w:rPr>
          <w:rStyle w:val="FootnoteReference"/>
        </w:rPr>
        <w:footnoteRef/>
      </w:r>
      <w:r>
        <w:t xml:space="preserve"> </w:t>
      </w:r>
      <w:r>
        <w:tab/>
      </w:r>
      <w:hyperlink r:id="rId10" w:history="1">
        <w:r>
          <w:rPr>
            <w:rStyle w:val="Hyperlink"/>
          </w:rPr>
          <w:t>https://edpb.europa.eu/sites/edpb/files/files/file1/19_2019_edpb_written_report_to_libe_en.pdf</w:t>
        </w:r>
      </w:hyperlink>
      <w:r>
        <w:t xml:space="preserve">. </w:t>
      </w:r>
    </w:p>
  </w:footnote>
  <w:footnote w:id="21">
    <w:p>
      <w:pPr>
        <w:pStyle w:val="FootnoteText"/>
        <w:tabs>
          <w:tab w:val="clear" w:pos="360"/>
          <w:tab w:val="left" w:pos="709"/>
        </w:tabs>
        <w:ind w:left="720" w:hanging="720"/>
      </w:pPr>
      <w:r>
        <w:rPr>
          <w:rStyle w:val="FootnoteReference"/>
        </w:rPr>
        <w:footnoteRef/>
      </w:r>
      <w:r>
        <w:t xml:space="preserve"> </w:t>
      </w:r>
      <w:r>
        <w:tab/>
      </w:r>
      <w:r>
        <w:rPr>
          <w:rStyle w:val="FootnoteReference"/>
          <w:vertAlign w:val="baseline"/>
        </w:rPr>
        <w:t>Írska Komisia pre ochranu údajov napríklad začala 15 formálnych vyšetrovaní týkajúcich sa dodržiavania súladu s nariadením nadnárodnými technologickými spoločnosťami. Pozri stranu 49 výročnej správy írskej Komisie pre ochranu údajov za rok 2018:</w:t>
      </w:r>
    </w:p>
    <w:p>
      <w:pPr>
        <w:pStyle w:val="FootnoteText"/>
        <w:tabs>
          <w:tab w:val="clear" w:pos="360"/>
          <w:tab w:val="left" w:pos="709"/>
        </w:tabs>
        <w:ind w:left="709" w:firstLine="0"/>
      </w:pPr>
      <w:hyperlink r:id="rId11" w:history="1">
        <w:r>
          <w:rPr>
            <w:rStyle w:val="Hyperlink"/>
          </w:rPr>
          <w:t>https://www.dataprotection.ie/en/news-media/press-releases/dpc-publishes-annual-report-25-may-31-december-2018</w:t>
        </w:r>
      </w:hyperlink>
      <w:r>
        <w:t>.</w:t>
      </w:r>
    </w:p>
  </w:footnote>
  <w:footnote w:id="22">
    <w:p>
      <w:pPr>
        <w:pStyle w:val="FootnoteText"/>
        <w:tabs>
          <w:tab w:val="clear" w:pos="360"/>
          <w:tab w:val="left" w:pos="709"/>
        </w:tabs>
        <w:ind w:left="720" w:hanging="720"/>
      </w:pPr>
      <w:r>
        <w:rPr>
          <w:rStyle w:val="FootnoteReference"/>
        </w:rPr>
        <w:footnoteRef/>
      </w:r>
      <w:r>
        <w:t xml:space="preserve"> </w:t>
      </w:r>
      <w:r>
        <w:tab/>
        <w:t>Niektoré z rozhodnutí, ktorými sa ukladajú pokuty, sú stále predmetom súdneho preskúmania.</w:t>
      </w:r>
    </w:p>
  </w:footnote>
  <w:footnote w:id="23">
    <w:p>
      <w:pPr>
        <w:pStyle w:val="FootnoteText"/>
        <w:tabs>
          <w:tab w:val="clear" w:pos="360"/>
          <w:tab w:val="left" w:pos="709"/>
        </w:tabs>
        <w:ind w:left="720" w:hanging="720"/>
      </w:pPr>
      <w:r>
        <w:rPr>
          <w:rStyle w:val="FootnoteReference"/>
        </w:rPr>
        <w:footnoteRef/>
      </w:r>
      <w:r>
        <w:t xml:space="preserve"> </w:t>
      </w:r>
      <w:r>
        <w:tab/>
        <w:t>Článok 58 ods. 2 písm. f) a j).</w:t>
      </w:r>
    </w:p>
  </w:footnote>
  <w:footnote w:id="24">
    <w:p>
      <w:pPr>
        <w:pStyle w:val="FootnoteText"/>
        <w:tabs>
          <w:tab w:val="clear" w:pos="360"/>
          <w:tab w:val="left" w:pos="709"/>
        </w:tabs>
        <w:ind w:left="720" w:hanging="720"/>
      </w:pPr>
      <w:r>
        <w:rPr>
          <w:rStyle w:val="FootnoteReference"/>
        </w:rPr>
        <w:footnoteRef/>
      </w:r>
      <w:r>
        <w:t xml:space="preserve"> </w:t>
      </w:r>
      <w:r>
        <w:tab/>
      </w:r>
      <w:hyperlink r:id="rId12" w:history="1">
        <w:r>
          <w:rPr>
            <w:rStyle w:val="Hyperlink"/>
          </w:rPr>
          <w:t>https://ico.org.uk/about-the-ico/news-and-events/news-and-blogs/2018/09/ico-call-for-views-on-creating-a-regulatory-sandbox/</w:t>
        </w:r>
      </w:hyperlink>
      <w:r>
        <w:t xml:space="preserve">. </w:t>
      </w:r>
    </w:p>
  </w:footnote>
  <w:footnote w:id="25">
    <w:p>
      <w:pPr>
        <w:pStyle w:val="FootnoteText"/>
        <w:tabs>
          <w:tab w:val="clear" w:pos="360"/>
          <w:tab w:val="left" w:pos="709"/>
        </w:tabs>
        <w:ind w:left="720" w:hanging="720"/>
        <w:rPr>
          <w:rStyle w:val="Hyperlink"/>
          <w:spacing w:val="-4"/>
        </w:rPr>
      </w:pPr>
      <w:r>
        <w:rPr>
          <w:rStyle w:val="FootnoteReference"/>
        </w:rPr>
        <w:footnoteRef/>
      </w:r>
      <w:r>
        <w:t xml:space="preserve"> </w:t>
      </w:r>
      <w:r>
        <w:tab/>
      </w:r>
      <w:r>
        <w:rPr>
          <w:spacing w:val="-8"/>
        </w:rPr>
        <w:t>Pozri správu skupiny viacerých zainteresovaných strán v súvislosti so všeobecným nariadením o ochrane údajov:</w:t>
      </w:r>
    </w:p>
    <w:p>
      <w:pPr>
        <w:pStyle w:val="FootnoteText"/>
        <w:tabs>
          <w:tab w:val="clear" w:pos="360"/>
          <w:tab w:val="left" w:pos="709"/>
        </w:tabs>
        <w:ind w:left="1429" w:hanging="720"/>
        <w:rPr>
          <w:spacing w:val="-4"/>
        </w:rPr>
      </w:pPr>
      <w:r>
        <w:rPr>
          <w:rStyle w:val="Hyperlink"/>
          <w:spacing w:val="-4"/>
        </w:rPr>
        <w:t>http://ec.europa.eu/transparency/regexpert/index.cfm?do=groupDetail.groupMeeting&amp;meetingId=15670</w:t>
      </w:r>
      <w:r>
        <w:rPr>
          <w:spacing w:val="-4"/>
        </w:rPr>
        <w:t>.</w:t>
      </w:r>
    </w:p>
  </w:footnote>
  <w:footnote w:id="26">
    <w:p>
      <w:pPr>
        <w:pStyle w:val="FootnoteText"/>
        <w:tabs>
          <w:tab w:val="clear" w:pos="360"/>
          <w:tab w:val="left" w:pos="709"/>
        </w:tabs>
        <w:ind w:left="720" w:hanging="720"/>
        <w:rPr>
          <w:spacing w:val="-10"/>
        </w:rPr>
      </w:pPr>
      <w:r>
        <w:rPr>
          <w:rStyle w:val="FootnoteReference"/>
          <w:spacing w:val="-4"/>
        </w:rPr>
        <w:footnoteRef/>
      </w:r>
      <w:r>
        <w:rPr>
          <w:spacing w:val="-4"/>
        </w:rPr>
        <w:t xml:space="preserve"> </w:t>
      </w:r>
      <w:r>
        <w:rPr>
          <w:spacing w:val="-4"/>
        </w:rPr>
        <w:tab/>
      </w:r>
      <w:r>
        <w:rPr>
          <w:spacing w:val="-10"/>
        </w:rPr>
        <w:t xml:space="preserve">V roku 2018 sa deviatim orgánom pre ochranu osobných údajov na činnosti v rokoch 2018 – 2019 pridelili 2 milióny EUR: Belgicko, Bulharsko, Dánsko, Holandsko, Island, Litva, Lotyšsko, Maďarsko a Slovinsko: </w:t>
      </w:r>
      <w:hyperlink r:id="rId13" w:history="1">
        <w:r>
          <w:rPr>
            <w:rStyle w:val="Hyperlink"/>
            <w:spacing w:val="-10"/>
          </w:rPr>
          <w:t>https://ec.europa.eu/info/funding-tenders/opportunities/portal/screen/opportunities/topic-details/rec-rdat-trai-ag-2017</w:t>
        </w:r>
      </w:hyperlink>
      <w:r>
        <w:rPr>
          <w:rStyle w:val="Hyperlink"/>
          <w:spacing w:val="-10"/>
        </w:rPr>
        <w:t>;</w:t>
      </w:r>
      <w:r>
        <w:rPr>
          <w:spacing w:val="-10"/>
        </w:rPr>
        <w:t xml:space="preserve"> </w:t>
      </w:r>
      <w:r>
        <w:rPr>
          <w:spacing w:val="-10"/>
          <w:highlight w:val="yellow"/>
        </w:rPr>
        <w:br/>
      </w:r>
      <w:r>
        <w:rPr>
          <w:spacing w:val="-10"/>
        </w:rPr>
        <w:t>v roku 2019 sa má prideliť 1 milión EUR:</w:t>
      </w:r>
      <w:r>
        <w:rPr>
          <w:spacing w:val="-10"/>
        </w:rPr>
        <w:tab/>
      </w:r>
      <w:r>
        <w:rPr>
          <w:spacing w:val="-10"/>
        </w:rPr>
        <w:br/>
      </w:r>
      <w:hyperlink r:id="rId14" w:history="1">
        <w:r>
          <w:rPr>
            <w:rStyle w:val="Hyperlink"/>
            <w:spacing w:val="-10"/>
          </w:rPr>
          <w:t>https://ec.europa.eu/info/funding-tenders/opportunities/portal/screen/opportunities/topic-details/rec-rdat-trai-ag-2019</w:t>
        </w:r>
      </w:hyperlink>
      <w:r>
        <w:rPr>
          <w:rStyle w:val="Hyperlink"/>
          <w:spacing w:val="-10"/>
        </w:rPr>
        <w:t>.</w:t>
      </w:r>
      <w:r>
        <w:rPr>
          <w:spacing w:val="-10"/>
        </w:rPr>
        <w:t xml:space="preserve"> </w:t>
      </w:r>
    </w:p>
  </w:footnote>
  <w:footnote w:id="27">
    <w:p>
      <w:pPr>
        <w:pStyle w:val="FootnoteText"/>
        <w:tabs>
          <w:tab w:val="clear" w:pos="360"/>
          <w:tab w:val="left" w:pos="709"/>
        </w:tabs>
        <w:ind w:left="720" w:hanging="720"/>
      </w:pPr>
      <w:r>
        <w:rPr>
          <w:rStyle w:val="FootnoteReference"/>
        </w:rPr>
        <w:footnoteRef/>
      </w:r>
      <w:r>
        <w:t xml:space="preserve"> </w:t>
      </w:r>
      <w:r>
        <w:tab/>
        <w:t>Výbor má právnu subjektivitu a je zložený z vedúcich pracovníkov vnútroštátnych dozorných orgánov pre ochranu osobných údajov a európskeho dozorného úradníka pre ochranu údajov.</w:t>
      </w:r>
    </w:p>
  </w:footnote>
  <w:footnote w:id="28">
    <w:p>
      <w:pPr>
        <w:pStyle w:val="FootnoteText"/>
        <w:tabs>
          <w:tab w:val="clear" w:pos="360"/>
          <w:tab w:val="left" w:pos="709"/>
        </w:tabs>
        <w:ind w:left="720" w:hanging="720"/>
      </w:pPr>
      <w:r>
        <w:rPr>
          <w:rStyle w:val="FootnoteReference"/>
        </w:rPr>
        <w:footnoteRef/>
      </w:r>
      <w:r>
        <w:t xml:space="preserve"> </w:t>
      </w:r>
      <w:r>
        <w:tab/>
      </w:r>
      <w:hyperlink r:id="rId15" w:history="1">
        <w:r>
          <w:rPr>
            <w:rStyle w:val="Hyperlink"/>
          </w:rPr>
          <w:t>https://edpb.europa.eu/our-work-tools/general-guidance/gdpr-guidelines-recommendations-best-practices_sk</w:t>
        </w:r>
      </w:hyperlink>
      <w:r>
        <w:t xml:space="preserve">. </w:t>
      </w:r>
    </w:p>
  </w:footnote>
  <w:footnote w:id="29">
    <w:p>
      <w:pPr>
        <w:pStyle w:val="FootnoteText"/>
        <w:tabs>
          <w:tab w:val="clear" w:pos="360"/>
          <w:tab w:val="left" w:pos="709"/>
        </w:tabs>
        <w:ind w:left="720" w:hanging="720"/>
      </w:pPr>
      <w:r>
        <w:rPr>
          <w:rStyle w:val="FootnoteReference"/>
        </w:rPr>
        <w:footnoteRef/>
      </w:r>
      <w:r>
        <w:t xml:space="preserve"> </w:t>
      </w:r>
      <w:r>
        <w:tab/>
      </w:r>
      <w:hyperlink r:id="rId16" w:history="1">
        <w:r>
          <w:rPr>
            <w:rStyle w:val="Hyperlink"/>
          </w:rPr>
          <w:t>https://edpb.europa.eu/our-work-tools/our-documents/publication-type/work-program_sk</w:t>
        </w:r>
      </w:hyperlink>
      <w:r>
        <w:t>.</w:t>
      </w:r>
    </w:p>
  </w:footnote>
  <w:footnote w:id="30">
    <w:p>
      <w:pPr>
        <w:pStyle w:val="FootnoteText"/>
        <w:tabs>
          <w:tab w:val="clear" w:pos="360"/>
          <w:tab w:val="left" w:pos="709"/>
        </w:tabs>
        <w:ind w:left="720" w:hanging="720"/>
      </w:pPr>
      <w:r>
        <w:rPr>
          <w:rStyle w:val="FootnoteReference"/>
        </w:rPr>
        <w:footnoteRef/>
      </w:r>
      <w:r>
        <w:t xml:space="preserve"> </w:t>
      </w:r>
      <w:r>
        <w:tab/>
        <w:t>Ako účastník bez hlasovacieho práva.</w:t>
      </w:r>
    </w:p>
  </w:footnote>
  <w:footnote w:id="31">
    <w:p>
      <w:pPr>
        <w:pStyle w:val="FootnoteText"/>
        <w:tabs>
          <w:tab w:val="clear" w:pos="360"/>
          <w:tab w:val="left" w:pos="709"/>
        </w:tabs>
        <w:ind w:left="720" w:hanging="720"/>
      </w:pPr>
      <w:r>
        <w:rPr>
          <w:rStyle w:val="FootnoteReference"/>
        </w:rPr>
        <w:footnoteRef/>
      </w:r>
      <w:r>
        <w:t xml:space="preserve"> </w:t>
      </w:r>
      <w:r>
        <w:tab/>
        <w:t>Komisia zároveň pomohla uľahčiť zriadenie výboru a podporuje jeho fungovanie poskytovaním svojho komunikačného systému.</w:t>
      </w:r>
    </w:p>
  </w:footnote>
  <w:footnote w:id="32">
    <w:p>
      <w:pPr>
        <w:pStyle w:val="FootnoteText"/>
        <w:tabs>
          <w:tab w:val="clear" w:pos="360"/>
          <w:tab w:val="left" w:pos="709"/>
        </w:tabs>
        <w:ind w:left="720" w:hanging="720"/>
      </w:pPr>
      <w:r>
        <w:rPr>
          <w:rStyle w:val="FootnoteReference"/>
        </w:rPr>
        <w:footnoteRef/>
      </w:r>
      <w:r>
        <w:t xml:space="preserve"> </w:t>
      </w:r>
      <w:r>
        <w:tab/>
        <w:t>Článok 62 nariadenia.</w:t>
      </w:r>
    </w:p>
  </w:footnote>
  <w:footnote w:id="33">
    <w:p>
      <w:pPr>
        <w:pStyle w:val="FootnoteText"/>
        <w:tabs>
          <w:tab w:val="clear" w:pos="360"/>
          <w:tab w:val="left" w:pos="709"/>
        </w:tabs>
        <w:ind w:left="720" w:hanging="720"/>
        <w:rPr>
          <w:spacing w:val="-2"/>
        </w:rPr>
      </w:pPr>
      <w:r>
        <w:rPr>
          <w:rStyle w:val="FootnoteReference"/>
        </w:rPr>
        <w:footnoteRef/>
      </w:r>
      <w:r>
        <w:t xml:space="preserve"> </w:t>
      </w:r>
      <w:r>
        <w:tab/>
        <w:t xml:space="preserve">Pozri správu skupiny viacerých zainteresovaných strán v súvislosti s nariadením: </w:t>
      </w:r>
      <w:hyperlink r:id="rId17" w:history="1">
        <w:r>
          <w:rPr>
            <w:rStyle w:val="Hyperlink"/>
            <w:spacing w:val="-2"/>
          </w:rPr>
          <w:t>http://ec.europa.eu/transparency/regexpert/index.cfm?do=groupDetail.groupMeeting&amp;meetingId=15670</w:t>
        </w:r>
      </w:hyperlink>
    </w:p>
    <w:p>
      <w:pPr>
        <w:pStyle w:val="FootnoteText"/>
        <w:tabs>
          <w:tab w:val="clear" w:pos="360"/>
          <w:tab w:val="left" w:pos="709"/>
        </w:tabs>
        <w:ind w:left="720" w:hanging="720"/>
        <w:rPr>
          <w:spacing w:val="-4"/>
        </w:rPr>
      </w:pPr>
      <w:r>
        <w:rPr>
          <w:rStyle w:val="FootnoteReference"/>
          <w:spacing w:val="-2"/>
        </w:rPr>
        <w:footnoteRef/>
      </w:r>
      <w:r>
        <w:rPr>
          <w:spacing w:val="-2"/>
        </w:rPr>
        <w:t xml:space="preserve"> </w:t>
      </w:r>
      <w:r>
        <w:rPr>
          <w:spacing w:val="-2"/>
        </w:rPr>
        <w:tab/>
      </w:r>
      <w:r>
        <w:rPr>
          <w:spacing w:val="-4"/>
        </w:rPr>
        <w:t>Podniky sa napríklad domnievajú, že vnútroštátne zoznamy typov spracovateľských operácií, pri ktorých sa vyžaduje posúdenie vplyvu na ochranu údajov podľa článku 35 nariadenia, by sa mohli lepšie harmonizovať.</w:t>
      </w:r>
    </w:p>
  </w:footnote>
  <w:footnote w:id="34">
    <w:p>
      <w:pPr>
        <w:pStyle w:val="FootnoteText"/>
        <w:tabs>
          <w:tab w:val="clear" w:pos="360"/>
          <w:tab w:val="left" w:pos="709"/>
        </w:tabs>
        <w:ind w:left="720" w:hanging="720"/>
      </w:pPr>
      <w:r>
        <w:rPr>
          <w:rStyle w:val="FootnoteReference"/>
        </w:rPr>
        <w:footnoteRef/>
      </w:r>
      <w:r>
        <w:t xml:space="preserve"> </w:t>
      </w:r>
      <w:r>
        <w:tab/>
        <w:t>A to aj medzi rôznymi orgánmi v spolkových štátoch.</w:t>
      </w:r>
    </w:p>
  </w:footnote>
  <w:footnote w:id="35">
    <w:p>
      <w:pPr>
        <w:pStyle w:val="FootnoteText"/>
        <w:tabs>
          <w:tab w:val="clear" w:pos="360"/>
          <w:tab w:val="left" w:pos="709"/>
        </w:tabs>
        <w:ind w:left="720" w:hanging="720"/>
      </w:pPr>
      <w:r>
        <w:rPr>
          <w:rStyle w:val="FootnoteReference"/>
        </w:rPr>
        <w:footnoteRef/>
      </w:r>
      <w:r>
        <w:t xml:space="preserve"> </w:t>
      </w:r>
      <w:r>
        <w:tab/>
      </w:r>
      <w:hyperlink r:id="rId18" w:history="1">
        <w:r>
          <w:rPr>
            <w:rStyle w:val="Hyperlink"/>
          </w:rPr>
          <w:t>http://europa.eu/rapid/press-release_IP-19-2956_sk.htm</w:t>
        </w:r>
      </w:hyperlink>
      <w:r>
        <w:t xml:space="preserve">. </w:t>
      </w:r>
    </w:p>
  </w:footnote>
  <w:footnote w:id="36">
    <w:p>
      <w:pPr>
        <w:pStyle w:val="FootnoteText"/>
        <w:tabs>
          <w:tab w:val="clear" w:pos="360"/>
          <w:tab w:val="left" w:pos="709"/>
        </w:tabs>
        <w:ind w:left="720" w:hanging="720"/>
      </w:pPr>
      <w:r>
        <w:rPr>
          <w:rStyle w:val="FootnoteReference"/>
        </w:rPr>
        <w:footnoteRef/>
      </w:r>
      <w:r>
        <w:t xml:space="preserve"> </w:t>
      </w:r>
      <w:r>
        <w:tab/>
      </w:r>
      <w:hyperlink r:id="rId19" w:history="1">
        <w:r>
          <w:rPr>
            <w:rStyle w:val="Hyperlink"/>
          </w:rPr>
          <w:t>https://ec.europa.eu/commission/sites/beta-political/files/infographic-gdpr_in_numbers_1.pdf</w:t>
        </w:r>
      </w:hyperlink>
      <w:r>
        <w:t xml:space="preserve">. </w:t>
      </w:r>
    </w:p>
  </w:footnote>
  <w:footnote w:id="37">
    <w:p>
      <w:pPr>
        <w:pStyle w:val="FootnoteText"/>
        <w:tabs>
          <w:tab w:val="clear" w:pos="360"/>
          <w:tab w:val="left" w:pos="709"/>
        </w:tabs>
        <w:ind w:left="720" w:hanging="720"/>
      </w:pPr>
      <w:r>
        <w:rPr>
          <w:rStyle w:val="FootnoteReference"/>
        </w:rPr>
        <w:footnoteRef/>
      </w:r>
      <w:r>
        <w:t xml:space="preserve"> </w:t>
      </w:r>
      <w:r>
        <w:tab/>
        <w:t>Pozri správu skupiny viacerých zainteresovaných strán v súvislosti so všeobecným nariadením o ochrane údajov.</w:t>
      </w:r>
    </w:p>
  </w:footnote>
  <w:footnote w:id="38">
    <w:p>
      <w:pPr>
        <w:pStyle w:val="FootnoteText"/>
        <w:tabs>
          <w:tab w:val="clear" w:pos="360"/>
          <w:tab w:val="left" w:pos="709"/>
        </w:tabs>
        <w:ind w:left="720" w:hanging="720"/>
      </w:pPr>
      <w:r>
        <w:rPr>
          <w:rStyle w:val="FootnoteReference"/>
        </w:rPr>
        <w:footnoteRef/>
      </w:r>
      <w:r>
        <w:t xml:space="preserve"> </w:t>
      </w:r>
      <w:r>
        <w:tab/>
        <w:t>Pozri správu skupiny viacerých zainteresovaných strán v súvislosti so všeobecným nariadením o ochrane údajov.</w:t>
      </w:r>
    </w:p>
  </w:footnote>
  <w:footnote w:id="39">
    <w:p>
      <w:pPr>
        <w:pStyle w:val="FootnoteText"/>
        <w:tabs>
          <w:tab w:val="clear" w:pos="360"/>
          <w:tab w:val="left" w:pos="709"/>
        </w:tabs>
        <w:ind w:left="720" w:hanging="720"/>
      </w:pPr>
      <w:r>
        <w:rPr>
          <w:rStyle w:val="FootnoteReference"/>
        </w:rPr>
        <w:footnoteRef/>
      </w:r>
      <w:r>
        <w:t xml:space="preserve"> </w:t>
      </w:r>
      <w:r>
        <w:tab/>
        <w:t>Článok 80 ods. 1 nariadenia.</w:t>
      </w:r>
    </w:p>
  </w:footnote>
  <w:footnote w:id="40">
    <w:p>
      <w:pPr>
        <w:pStyle w:val="FootnoteText"/>
        <w:tabs>
          <w:tab w:val="clear" w:pos="360"/>
          <w:tab w:val="left" w:pos="709"/>
        </w:tabs>
        <w:ind w:left="720" w:hanging="720"/>
      </w:pPr>
      <w:r>
        <w:rPr>
          <w:rStyle w:val="FootnoteReference"/>
        </w:rPr>
        <w:footnoteRef/>
      </w:r>
      <w:r>
        <w:t xml:space="preserve"> </w:t>
      </w:r>
      <w:r>
        <w:tab/>
        <w:t>Článok 80 ods. 2 nariadenia.</w:t>
      </w:r>
    </w:p>
  </w:footnote>
  <w:footnote w:id="41">
    <w:p>
      <w:pPr>
        <w:pStyle w:val="FootnoteText"/>
        <w:tabs>
          <w:tab w:val="clear" w:pos="360"/>
          <w:tab w:val="left" w:pos="709"/>
        </w:tabs>
        <w:ind w:left="720" w:hanging="720"/>
      </w:pPr>
      <w:r>
        <w:rPr>
          <w:rStyle w:val="FootnoteReference"/>
        </w:rPr>
        <w:footnoteRef/>
      </w:r>
      <w:r>
        <w:t xml:space="preserve"> </w:t>
      </w:r>
      <w:r>
        <w:tab/>
        <w:t xml:space="preserve">Nadväzuje na predchádzajúcu kampaň zameranú na šírenie informačných materiálov pre jednotlivcov a podniky, ktoré sú k dispozícii na lokalite: </w:t>
      </w:r>
      <w:hyperlink r:id="rId20" w:history="1">
        <w:r>
          <w:rPr>
            <w:rStyle w:val="Hyperlink"/>
          </w:rPr>
          <w:t>https://ec.europa.eu/commission/priorities/justice-and-fundamental-rights/data-protection/2018-reform-eu-data-protection-rules_sk</w:t>
        </w:r>
      </w:hyperlink>
      <w:r>
        <w:t xml:space="preserve">. </w:t>
      </w:r>
    </w:p>
  </w:footnote>
  <w:footnote w:id="42">
    <w:p>
      <w:pPr>
        <w:pStyle w:val="FootnoteText"/>
        <w:tabs>
          <w:tab w:val="clear" w:pos="360"/>
          <w:tab w:val="left" w:pos="709"/>
        </w:tabs>
        <w:ind w:left="720" w:hanging="720"/>
      </w:pPr>
      <w:r>
        <w:rPr>
          <w:rStyle w:val="FootnoteReference"/>
        </w:rPr>
        <w:footnoteRef/>
      </w:r>
      <w:r>
        <w:t xml:space="preserve"> </w:t>
      </w:r>
      <w:r>
        <w:tab/>
        <w:t>Pozri správu skupiny viacerých zainteresovaných strán v súvislosti s nariadením.</w:t>
      </w:r>
    </w:p>
  </w:footnote>
  <w:footnote w:id="43">
    <w:p>
      <w:pPr>
        <w:pStyle w:val="FootnoteText"/>
        <w:tabs>
          <w:tab w:val="clear" w:pos="360"/>
          <w:tab w:val="left" w:pos="709"/>
        </w:tabs>
        <w:ind w:left="720" w:hanging="720"/>
      </w:pPr>
      <w:r>
        <w:rPr>
          <w:rStyle w:val="FootnoteReference"/>
        </w:rPr>
        <w:footnoteRef/>
      </w:r>
      <w:r>
        <w:t xml:space="preserve"> </w:t>
      </w:r>
      <w:r>
        <w:tab/>
        <w:t>Ako jedna z hlavných ťažkostí sa často uvádza aktualizácia informačného systému, najmä pokiaľ ide o vykonávanie zásad špecificky navrhnutej a štandardnej ochrany údajov, právo na vymazanie zálohovaných údajov atď.</w:t>
      </w:r>
    </w:p>
  </w:footnote>
  <w:footnote w:id="44">
    <w:p>
      <w:pPr>
        <w:pStyle w:val="FootnoteText"/>
        <w:tabs>
          <w:tab w:val="clear" w:pos="360"/>
          <w:tab w:val="left" w:pos="709"/>
        </w:tabs>
        <w:ind w:left="720" w:hanging="720"/>
      </w:pPr>
      <w:r>
        <w:rPr>
          <w:rStyle w:val="FootnoteReference"/>
        </w:rPr>
        <w:footnoteRef/>
      </w:r>
      <w:r>
        <w:t xml:space="preserve"> </w:t>
      </w:r>
      <w:r>
        <w:tab/>
        <w:t>Podniky žiadajú výbor aj o usmernenia týkajúce sa neopodstatnených a neprimeraných žiadostí.</w:t>
      </w:r>
    </w:p>
  </w:footnote>
  <w:footnote w:id="45">
    <w:p>
      <w:pPr>
        <w:pStyle w:val="FootnoteText"/>
        <w:tabs>
          <w:tab w:val="clear" w:pos="360"/>
          <w:tab w:val="left" w:pos="709"/>
        </w:tabs>
        <w:ind w:left="720" w:hanging="720"/>
        <w:rPr>
          <w:spacing w:val="-2"/>
        </w:rPr>
      </w:pPr>
      <w:r>
        <w:rPr>
          <w:rStyle w:val="FootnoteReference"/>
          <w:spacing w:val="-2"/>
        </w:rPr>
        <w:footnoteRef/>
      </w:r>
      <w:r>
        <w:rPr>
          <w:spacing w:val="-2"/>
        </w:rPr>
        <w:t xml:space="preserve"> </w:t>
      </w:r>
      <w:r>
        <w:rPr>
          <w:spacing w:val="-2"/>
        </w:rPr>
        <w:tab/>
        <w:t>Napríklad podľa správy uverejnenej izraelským združením priemyslu kybernetickej bezpečnosti bolo v roku 2018 pododvetvie kybernetickej bezpečnosti „Ochrana údajov a súkromie“ najrýchlejšie rastúcim pododvetvím čiastočne v dôsledku začiatku uplatňovania všeobecného nariadenia o ochrane údajov.</w:t>
      </w:r>
    </w:p>
  </w:footnote>
  <w:footnote w:id="46">
    <w:p>
      <w:pPr>
        <w:pStyle w:val="FootnoteText"/>
        <w:tabs>
          <w:tab w:val="clear" w:pos="360"/>
          <w:tab w:val="left" w:pos="709"/>
        </w:tabs>
        <w:ind w:left="720" w:hanging="720"/>
      </w:pPr>
      <w:r>
        <w:rPr>
          <w:rStyle w:val="FootnoteReference"/>
        </w:rPr>
        <w:footnoteRef/>
      </w:r>
      <w:r>
        <w:t xml:space="preserve"> </w:t>
      </w:r>
      <w:r>
        <w:tab/>
        <w:t xml:space="preserve">Podľa vymedzenia MSP, ktoré je k dispozícii na lokalite: </w:t>
      </w:r>
      <w:hyperlink r:id="rId21" w:history="1">
        <w:r>
          <w:rPr>
            <w:rStyle w:val="Hyperlink"/>
          </w:rPr>
          <w:t>https://ec.europa.eu/growth/smes/business-friendly-environment/sme-definition_sk</w:t>
        </w:r>
      </w:hyperlink>
      <w:r>
        <w:rPr>
          <w:rStyle w:val="Hyperlink"/>
        </w:rPr>
        <w:t>.</w:t>
      </w:r>
    </w:p>
  </w:footnote>
  <w:footnote w:id="47">
    <w:p>
      <w:pPr>
        <w:pStyle w:val="FootnoteText"/>
        <w:tabs>
          <w:tab w:val="clear" w:pos="360"/>
          <w:tab w:val="left" w:pos="709"/>
        </w:tabs>
        <w:ind w:left="720" w:hanging="720"/>
      </w:pPr>
      <w:r>
        <w:rPr>
          <w:rStyle w:val="FootnoteReference"/>
        </w:rPr>
        <w:footnoteRef/>
      </w:r>
      <w:r>
        <w:t xml:space="preserve"> </w:t>
      </w:r>
      <w:r>
        <w:tab/>
        <w:t>Nariadenie sa v skutočnosti neopiera iba o súhlas, ustanovuje sa v ňom totiž viacero právnych dôvodov na spracovanie osobných údajov.</w:t>
      </w:r>
    </w:p>
  </w:footnote>
  <w:footnote w:id="48">
    <w:p>
      <w:pPr>
        <w:pStyle w:val="FootnoteText"/>
        <w:tabs>
          <w:tab w:val="clear" w:pos="360"/>
          <w:tab w:val="left" w:pos="709"/>
        </w:tabs>
        <w:ind w:left="720" w:hanging="720"/>
      </w:pPr>
      <w:r>
        <w:rPr>
          <w:rStyle w:val="FootnoteReference"/>
        </w:rPr>
        <w:footnoteRef/>
      </w:r>
      <w:r>
        <w:t xml:space="preserve"> </w:t>
      </w:r>
      <w:r>
        <w:tab/>
        <w:t xml:space="preserve">Francúzsky orgán pre ochranu osobných údajov napríklad vypracoval príručku: </w:t>
      </w:r>
      <w:hyperlink r:id="rId22" w:history="1">
        <w:r>
          <w:rPr>
            <w:rStyle w:val="Hyperlink"/>
          </w:rPr>
          <w:t>https://www.cnil.fr/fr/la-cnil-et-bpifrance-sassocient-pour-accompagner-les-tpe-et-pme-dans-leur-appropriation-du-reglement</w:t>
        </w:r>
      </w:hyperlink>
      <w:r>
        <w:rPr>
          <w:rStyle w:val="Hyperlink"/>
        </w:rPr>
        <w:t>.</w:t>
      </w:r>
    </w:p>
  </w:footnote>
  <w:footnote w:id="49">
    <w:p>
      <w:pPr>
        <w:pStyle w:val="FootnoteText"/>
        <w:tabs>
          <w:tab w:val="clear" w:pos="360"/>
          <w:tab w:val="left" w:pos="709"/>
        </w:tabs>
        <w:ind w:left="720" w:hanging="720"/>
      </w:pPr>
      <w:r>
        <w:rPr>
          <w:rStyle w:val="FootnoteReference"/>
        </w:rPr>
        <w:footnoteRef/>
      </w:r>
      <w:r>
        <w:t xml:space="preserve"> </w:t>
      </w:r>
      <w:r>
        <w:tab/>
      </w:r>
      <w:hyperlink r:id="rId23" w:history="1">
        <w:r>
          <w:rPr>
            <w:rStyle w:val="Hyperlink"/>
          </w:rPr>
          <w:t>https://ec.europa.eu/commission/sites/beta-political/files/ds-02-18-544-sk-n.pdf</w:t>
        </w:r>
      </w:hyperlink>
      <w:r>
        <w:t xml:space="preserve">. </w:t>
      </w:r>
    </w:p>
  </w:footnote>
  <w:footnote w:id="50">
    <w:p>
      <w:pPr>
        <w:pStyle w:val="FootnoteText"/>
        <w:tabs>
          <w:tab w:val="clear" w:pos="360"/>
          <w:tab w:val="left" w:pos="709"/>
        </w:tabs>
        <w:ind w:left="720" w:hanging="720"/>
      </w:pPr>
      <w:r>
        <w:rPr>
          <w:rStyle w:val="FootnoteReference"/>
        </w:rPr>
        <w:footnoteRef/>
      </w:r>
      <w:r>
        <w:t xml:space="preserve"> </w:t>
      </w:r>
      <w:r>
        <w:tab/>
        <w:t>Pozri článok 28 nariadenia. Štandardné zmluvné doložky prijaté Komisiou majú platnosť v celej EÚ. Naopak, tie, ktoré podľa článku 28 ods. 8 prijal orgán pre ochranu osobných údajov, sú záväzné len pre orgán, ktorý ich prijal, a preto sa v súlade s článkami 55 a 56 môžu použiť ako štandardné zmluvné doložky v prípade spracovateľských operácií, ktoré patria do právomoci tohto orgánu.</w:t>
      </w:r>
    </w:p>
  </w:footnote>
  <w:footnote w:id="51">
    <w:p>
      <w:pPr>
        <w:pStyle w:val="FootnoteText"/>
        <w:tabs>
          <w:tab w:val="clear" w:pos="360"/>
          <w:tab w:val="left" w:pos="709"/>
        </w:tabs>
        <w:ind w:left="720" w:hanging="720"/>
      </w:pPr>
      <w:r>
        <w:rPr>
          <w:rStyle w:val="FootnoteReference"/>
        </w:rPr>
        <w:footnoteRef/>
      </w:r>
      <w:r>
        <w:t xml:space="preserve"> </w:t>
      </w:r>
      <w:r>
        <w:tab/>
        <w:t>V skutočnosti sú hlavným nástrojom, o ktorý sa spoločnosti opierajú pri exporte údajov.</w:t>
      </w:r>
    </w:p>
  </w:footnote>
  <w:footnote w:id="52">
    <w:p>
      <w:pPr>
        <w:pStyle w:val="FootnoteText"/>
        <w:tabs>
          <w:tab w:val="clear" w:pos="360"/>
          <w:tab w:val="left" w:pos="709"/>
        </w:tabs>
        <w:ind w:left="720" w:hanging="720"/>
      </w:pPr>
      <w:r>
        <w:rPr>
          <w:rStyle w:val="FootnoteReference"/>
        </w:rPr>
        <w:footnoteRef/>
      </w:r>
      <w:r>
        <w:t xml:space="preserve"> </w:t>
      </w:r>
      <w:r>
        <w:tab/>
        <w:t>Európsky výbor pre ochranu údajov prijal 4. júna 2019 usmernenia o kódexoch správania. Objasňujú sa v nich postupy a pravidlá týkajúce sa predkladania, schvaľovania a uverejňovania kódexov na vnútroštátnej úrovni, ako aj na úrovni EÚ.</w:t>
      </w:r>
    </w:p>
  </w:footnote>
  <w:footnote w:id="53">
    <w:p>
      <w:pPr>
        <w:pStyle w:val="FootnoteText"/>
        <w:tabs>
          <w:tab w:val="clear" w:pos="360"/>
          <w:tab w:val="left" w:pos="709"/>
        </w:tabs>
        <w:ind w:left="720" w:hanging="720"/>
      </w:pPr>
      <w:r>
        <w:rPr>
          <w:rStyle w:val="FootnoteReference"/>
        </w:rPr>
        <w:footnoteRef/>
      </w:r>
      <w:r>
        <w:t xml:space="preserve"> </w:t>
      </w:r>
      <w:r>
        <w:tab/>
        <w:t>Odôvodnenie 98 nariadenia.</w:t>
      </w:r>
    </w:p>
  </w:footnote>
  <w:footnote w:id="54">
    <w:p>
      <w:pPr>
        <w:pStyle w:val="FootnoteText"/>
        <w:tabs>
          <w:tab w:val="clear" w:pos="360"/>
          <w:tab w:val="left" w:pos="709"/>
        </w:tabs>
        <w:ind w:left="720" w:hanging="720"/>
      </w:pPr>
      <w:r>
        <w:rPr>
          <w:rStyle w:val="FootnoteReference"/>
        </w:rPr>
        <w:footnoteRef/>
      </w:r>
      <w:r>
        <w:t xml:space="preserve"> </w:t>
      </w:r>
      <w:r>
        <w:tab/>
      </w:r>
      <w:hyperlink r:id="rId24" w:history="1">
        <w:r>
          <w:rPr>
            <w:rStyle w:val="Hyperlink"/>
          </w:rPr>
          <w:t>https://edpb.europa.eu/our-work-tools/our-documents/guidelines/guidelines-12018-certification-and-identifying-certification_sk</w:t>
        </w:r>
      </w:hyperlink>
      <w:r>
        <w:t>,</w:t>
      </w:r>
    </w:p>
    <w:p>
      <w:pPr>
        <w:pStyle w:val="FootnoteText"/>
        <w:tabs>
          <w:tab w:val="clear" w:pos="360"/>
          <w:tab w:val="left" w:pos="709"/>
        </w:tabs>
        <w:ind w:left="720" w:hanging="720"/>
      </w:pPr>
      <w:r>
        <w:rPr>
          <w:rStyle w:val="FootnoteReference"/>
        </w:rPr>
        <w:footnoteRef/>
      </w:r>
      <w:r>
        <w:t xml:space="preserve"> </w:t>
      </w:r>
      <w:r>
        <w:tab/>
      </w:r>
      <w:hyperlink r:id="rId25" w:history="1">
        <w:r>
          <w:rPr>
            <w:rStyle w:val="Hyperlink"/>
          </w:rPr>
          <w:t>https://edpb.europa.eu/our-work-tools/our-documents/guidelines/guidelines-42018-accreditation-certification-bodies-under_sk</w:t>
        </w:r>
      </w:hyperlink>
      <w:r>
        <w:t>.</w:t>
      </w:r>
    </w:p>
  </w:footnote>
  <w:footnote w:id="55">
    <w:p>
      <w:pPr>
        <w:pStyle w:val="FootnoteText"/>
        <w:tabs>
          <w:tab w:val="clear" w:pos="360"/>
          <w:tab w:val="left" w:pos="709"/>
        </w:tabs>
        <w:ind w:left="720" w:hanging="720"/>
      </w:pPr>
      <w:r>
        <w:rPr>
          <w:rStyle w:val="FootnoteReference"/>
        </w:rPr>
        <w:footnoteRef/>
      </w:r>
      <w:r>
        <w:t xml:space="preserve"> </w:t>
      </w:r>
      <w:r>
        <w:tab/>
        <w:t>Pozri Globálny prieskum o bezpečnosti a dôvere na internete z roku 2019 Centra pre inovácie v medzinárodnej správe (CIGI) a spoločnosti Ipsos (2019 CIGI-Ipsos Global Survey on Internet Security and Trust). Podľa uvedeného prieskumu sa o svoje súkromie na internete obáva 78 % respondentov, pričom 49 % uviedlo, že ich nedôvera viedla k tomu, že na internete uverejňovali menej osobných údajov, zatiaľ čo 43 % respondentov uviedlo, že venujú väčšiu pozornosť zabezpečeniu svojho zariadenia, a 39 % odpovedalo, že okrem iných opatrení používajú internet selektívnejšie.  Prieskum sa uskutočňoval v 25 ekonomikách: v Austrálii, Brazílii, Číne, Egypte, vo Francúzsku, v Hongkongu, Indii, Indonézii, Japonsku, Južnej Afrike, Kanade, Keni, Kórejskej republike, Mexiku, Nemecku, Nigérii, Pakistane, Poľsku, Rusku, Spojených štátoch, vo Švédsku, v Taliansku, Tunisku, Turecku a vo Veľkej Británii.</w:t>
      </w:r>
    </w:p>
  </w:footnote>
  <w:footnote w:id="56">
    <w:p>
      <w:pPr>
        <w:pStyle w:val="FootnoteText"/>
        <w:tabs>
          <w:tab w:val="clear" w:pos="360"/>
          <w:tab w:val="left" w:pos="709"/>
        </w:tabs>
        <w:ind w:left="720" w:hanging="720"/>
        <w:rPr>
          <w:spacing w:val="-2"/>
        </w:rPr>
      </w:pPr>
      <w:r>
        <w:rPr>
          <w:rStyle w:val="FootnoteReference"/>
          <w:spacing w:val="-2"/>
        </w:rPr>
        <w:footnoteRef/>
      </w:r>
      <w:r>
        <w:rPr>
          <w:spacing w:val="-2"/>
        </w:rPr>
        <w:t xml:space="preserve"> </w:t>
      </w:r>
      <w:r>
        <w:rPr>
          <w:spacing w:val="-2"/>
        </w:rPr>
        <w:tab/>
        <w:t>Dohovor Rady Európy z 28. januára 1981 o ochrane jednotlivcov pri automatizovanom spracovaní osobných údajov (ETS č. 108) a Dodatkový protokol k Dohovoru o ochrane jednotlivcov pri automatizovanom spracovaní osobných údajov týkajúci sa orgánov dozoru a cezhraničných tokov údajov z roku 2001 (ETS č. 181). Ide o jediný záväzný mnohostranný nástroj v oblasti ochrany osobných údajov. Medzi posledné krajiny, ktoré dohovor ratifikovali, patria Argentína, Mexiko, Kapverdy a Maroko.</w:t>
      </w:r>
    </w:p>
  </w:footnote>
  <w:footnote w:id="57">
    <w:p>
      <w:pPr>
        <w:pStyle w:val="FootnoteText"/>
        <w:tabs>
          <w:tab w:val="clear" w:pos="360"/>
          <w:tab w:val="left" w:pos="709"/>
        </w:tabs>
        <w:ind w:left="720" w:hanging="720"/>
        <w:rPr>
          <w:spacing w:val="-2"/>
        </w:rPr>
      </w:pPr>
      <w:r>
        <w:rPr>
          <w:rStyle w:val="FootnoteReference"/>
          <w:spacing w:val="-2"/>
        </w:rPr>
        <w:footnoteRef/>
      </w:r>
      <w:r>
        <w:rPr>
          <w:spacing w:val="-2"/>
        </w:rPr>
        <w:t xml:space="preserve"> </w:t>
      </w:r>
      <w:r>
        <w:rPr>
          <w:spacing w:val="-2"/>
        </w:rPr>
        <w:tab/>
        <w:t>Protokol, ktorým sa mení Dohovor o ochrane jednotlivcov pri automatizovanom spracovaní osobných údajov (ETS č. 108), prijatý na 128. zasadnutí Výboru ministrov v dánskom meste Helsingør 17. – 18. mája 2018. Konsolidované znenie modernizovaného Dohovoru č. 108 je k dispozícii na lokalite:</w:t>
      </w:r>
      <w:r>
        <w:rPr>
          <w:rFonts w:ascii="Calibri" w:hAnsi="Calibri"/>
          <w:color w:val="1F497D"/>
          <w:spacing w:val="-2"/>
          <w:sz w:val="22"/>
          <w:szCs w:val="22"/>
        </w:rPr>
        <w:t xml:space="preserve"> </w:t>
      </w:r>
      <w:hyperlink r:id="rId26" w:history="1">
        <w:r>
          <w:rPr>
            <w:rStyle w:val="Hyperlink"/>
            <w:spacing w:val="-2"/>
          </w:rPr>
          <w:t>https://rm.coe.int/16808ade9d</w:t>
        </w:r>
      </w:hyperlink>
      <w:r>
        <w:rPr>
          <w:rStyle w:val="Hyperlink"/>
          <w:spacing w:val="-2"/>
        </w:rPr>
        <w:t>.</w:t>
      </w:r>
    </w:p>
  </w:footnote>
  <w:footnote w:id="58">
    <w:p>
      <w:pPr>
        <w:pStyle w:val="FootnoteText"/>
        <w:tabs>
          <w:tab w:val="clear" w:pos="360"/>
          <w:tab w:val="left" w:pos="709"/>
        </w:tabs>
        <w:ind w:left="720" w:hanging="720"/>
      </w:pPr>
      <w:r>
        <w:rPr>
          <w:rStyle w:val="FootnoteReference"/>
        </w:rPr>
        <w:footnoteRef/>
      </w:r>
      <w:r>
        <w:t xml:space="preserve"> </w:t>
      </w:r>
      <w:r>
        <w:tab/>
        <w:t>Oznámenie Komisie Európskemu parlamentu a Rade „Výmena a ochrana osobných údajov v globalizovanom svete“, COM/2017/07 final.</w:t>
      </w:r>
    </w:p>
  </w:footnote>
  <w:footnote w:id="59">
    <w:p>
      <w:pPr>
        <w:pStyle w:val="FootnoteText"/>
        <w:tabs>
          <w:tab w:val="clear" w:pos="360"/>
          <w:tab w:val="left" w:pos="709"/>
        </w:tabs>
        <w:ind w:left="720" w:hanging="720"/>
      </w:pPr>
      <w:r>
        <w:rPr>
          <w:rStyle w:val="FootnoteReference"/>
        </w:rPr>
        <w:footnoteRef/>
      </w:r>
      <w:r>
        <w:t xml:space="preserve"> </w:t>
      </w:r>
      <w:r>
        <w:tab/>
        <w:t>Nariadením sa takisto vytvorila možnosť záverov o primeranosti aj vo vzťahu k medzinárodným organizáciám ako súčasť úsilia EÚ o uľahčenie výmeny údajov s takýmito subjektmi.</w:t>
      </w:r>
    </w:p>
  </w:footnote>
  <w:footnote w:id="60">
    <w:p>
      <w:pPr>
        <w:pStyle w:val="FootnoteText"/>
        <w:tabs>
          <w:tab w:val="clear" w:pos="360"/>
          <w:tab w:val="left" w:pos="709"/>
        </w:tabs>
        <w:ind w:left="720" w:hanging="720"/>
      </w:pPr>
      <w:r>
        <w:rPr>
          <w:rStyle w:val="FootnoteReference"/>
        </w:rPr>
        <w:footnoteRef/>
      </w:r>
      <w:r>
        <w:t xml:space="preserve"> </w:t>
      </w:r>
      <w:r>
        <w:tab/>
        <w:t xml:space="preserve">Takýto prístup prijali napríklad Argentína, Izrael, Kolumbia a Švajčiarsko. </w:t>
      </w:r>
    </w:p>
  </w:footnote>
  <w:footnote w:id="61">
    <w:p>
      <w:pPr>
        <w:pStyle w:val="FootnoteText"/>
        <w:tabs>
          <w:tab w:val="clear" w:pos="360"/>
          <w:tab w:val="left" w:pos="709"/>
        </w:tabs>
        <w:ind w:left="720" w:hanging="720"/>
      </w:pPr>
      <w:r>
        <w:rPr>
          <w:rStyle w:val="FootnoteReference"/>
        </w:rPr>
        <w:footnoteRef/>
      </w:r>
      <w:r>
        <w:t xml:space="preserve"> </w:t>
      </w:r>
      <w:r>
        <w:tab/>
        <w:t>Znamená to, že štít na ochranu osobných údajov má po prvých troch rokoch svojej existencie viac zúčastnených spoločností, než mal jeho predchodca bezpečný prístav po 13 rokoch fungovania.</w:t>
      </w:r>
    </w:p>
  </w:footnote>
  <w:footnote w:id="62">
    <w:p>
      <w:pPr>
        <w:pStyle w:val="FootnoteText"/>
        <w:tabs>
          <w:tab w:val="clear" w:pos="360"/>
          <w:tab w:val="left" w:pos="709"/>
        </w:tabs>
        <w:ind w:left="720" w:hanging="720"/>
      </w:pPr>
      <w:r>
        <w:rPr>
          <w:rStyle w:val="FootnoteReference"/>
        </w:rPr>
        <w:footnoteRef/>
      </w:r>
      <w:r>
        <w:t xml:space="preserve"> </w:t>
      </w:r>
      <w:r>
        <w:tab/>
        <w:t>Ako vyplýva napríklad z odkazu na pojem spoľahlivý voľný tok údajov „Data Free Flow with Trust“ vo Vyhlásení vedúcich predstaviteľov skupiny G20 v Osake:</w:t>
      </w:r>
    </w:p>
    <w:p>
      <w:pPr>
        <w:pStyle w:val="FootnoteText"/>
        <w:tabs>
          <w:tab w:val="clear" w:pos="360"/>
          <w:tab w:val="left" w:pos="709"/>
        </w:tabs>
        <w:ind w:left="720" w:hanging="720"/>
      </w:pPr>
      <w:r>
        <w:rPr>
          <w:rStyle w:val="FootnoteReference"/>
        </w:rPr>
        <w:footnoteRef/>
      </w:r>
      <w:r>
        <w:t xml:space="preserve"> </w:t>
      </w:r>
      <w:r>
        <w:tab/>
      </w:r>
      <w:hyperlink r:id="rId27" w:history="1">
        <w:r>
          <w:rPr>
            <w:rStyle w:val="Hyperlink"/>
          </w:rPr>
          <w:t>https://www.consilium.europa.eu/media/40124/final_g20_osaka_leaders_declaration.pdf</w:t>
        </w:r>
      </w:hyperlink>
      <w:r>
        <w:t>.</w:t>
      </w:r>
    </w:p>
  </w:footnote>
  <w:footnote w:id="63">
    <w:p>
      <w:pPr>
        <w:pStyle w:val="FootnoteText"/>
        <w:tabs>
          <w:tab w:val="clear" w:pos="360"/>
          <w:tab w:val="left" w:pos="709"/>
        </w:tabs>
        <w:ind w:left="720" w:hanging="720"/>
      </w:pPr>
      <w:r>
        <w:rPr>
          <w:rStyle w:val="FootnoteReference"/>
        </w:rPr>
        <w:footnoteRef/>
      </w:r>
      <w:r>
        <w:t xml:space="preserve"> </w:t>
      </w:r>
      <w:r>
        <w:tab/>
        <w:t>Pozri oznámenie Komisie Európskemu parlamentu, Rade, Európskemu hospodárskemu a sociálnemu výboru a Výboru regiónov „Európsky program v oblasti bezpečnosti“, COM(2015) 185 final.</w:t>
      </w:r>
    </w:p>
  </w:footnote>
  <w:footnote w:id="64">
    <w:p>
      <w:pPr>
        <w:pStyle w:val="FootnoteText"/>
        <w:tabs>
          <w:tab w:val="clear" w:pos="360"/>
          <w:tab w:val="left" w:pos="709"/>
        </w:tabs>
        <w:ind w:left="720" w:hanging="720"/>
        <w:rPr>
          <w:spacing w:val="-8"/>
        </w:rPr>
      </w:pPr>
      <w:r>
        <w:rPr>
          <w:rStyle w:val="FootnoteReference"/>
          <w:spacing w:val="-8"/>
        </w:rPr>
        <w:footnoteRef/>
      </w:r>
      <w:r>
        <w:rPr>
          <w:spacing w:val="-8"/>
        </w:rPr>
        <w:t xml:space="preserve"> </w:t>
      </w:r>
      <w:r>
        <w:rPr>
          <w:spacing w:val="-8"/>
        </w:rPr>
        <w:tab/>
        <w:t xml:space="preserve">Dohoda medzi EÚ a USA o ochrane osobných údajov pri prenose a spracúvaní na účely predchádzania trestným činom vrátane terorizmu, ich vyšetrovania, odhaľovania alebo stíhania v rámci policajnej a justičnej spolupráce v trestných veciach: </w:t>
      </w:r>
      <w:hyperlink r:id="rId28" w:history="1">
        <w:r>
          <w:rPr>
            <w:rStyle w:val="Hyperlink"/>
            <w:spacing w:val="-8"/>
          </w:rPr>
          <w:t>https://eur-lex.europa.eu/legal-content/SK/TXT/?uri=celex:22016A1210(01)</w:t>
        </w:r>
      </w:hyperlink>
      <w:r>
        <w:rPr>
          <w:spacing w:val="-8"/>
        </w:rPr>
        <w:t xml:space="preserve"> (ďalej len „zastrešujúca dohoda“). Zastrešujúca dohoda predstavuje prvú dvojstrannú medzinárodnú dohodu v oblasti presadzovania práva, v ktorej sa stanovuje komplexný katalóg práv a povinností v oblasti ochrany údajov v súlade s </w:t>
      </w:r>
      <w:r>
        <w:rPr>
          <w:i/>
          <w:spacing w:val="-8"/>
        </w:rPr>
        <w:t>acquis</w:t>
      </w:r>
      <w:r>
        <w:rPr>
          <w:spacing w:val="-8"/>
        </w:rPr>
        <w:t xml:space="preserve"> Únie. Je úspešným príkladom toho, ako sa dá posilniť spolupráca v oblasti presadzovania práva s významným medzinárodným partnerom rokovaním o silnom súbore záruk ochrany údajov.</w:t>
      </w:r>
    </w:p>
  </w:footnote>
  <w:footnote w:id="65">
    <w:p>
      <w:pPr>
        <w:pStyle w:val="FootnoteText"/>
        <w:tabs>
          <w:tab w:val="clear" w:pos="360"/>
          <w:tab w:val="left" w:pos="709"/>
        </w:tabs>
        <w:ind w:left="720" w:hanging="720"/>
      </w:pPr>
      <w:r>
        <w:rPr>
          <w:rStyle w:val="FootnoteReference"/>
          <w:spacing w:val="-2"/>
        </w:rPr>
        <w:footnoteRef/>
      </w:r>
      <w:r>
        <w:rPr>
          <w:spacing w:val="-2"/>
        </w:rPr>
        <w:t xml:space="preserve"> </w:t>
      </w:r>
      <w:r>
        <w:rPr>
          <w:spacing w:val="-2"/>
        </w:rPr>
        <w:tab/>
        <w:t xml:space="preserve">V rezolúcii Bezpečnostnej rady OSN č. 2396 z 21. decembra 2017 sa všetky členské štáty OSN vyzývajú k rozvíjaniu schopnosti zhromažďovať, spracúvať a analyzovať údaje PNR pri plnom rešpektovaní ľudských práv a základných slobôd. Pozri aj oznámenie Komisie „Európsky program v oblasti bezpečnosti“, COM(2015) 185 final: </w:t>
      </w:r>
      <w:hyperlink r:id="rId29" w:history="1">
        <w:r>
          <w:rPr>
            <w:rStyle w:val="Hyperlink"/>
            <w:spacing w:val="-2"/>
          </w:rPr>
          <w:t>https://ec.europa.eu/home-affairs/sites/homeaffairs/files/e-library/documents/basic-documents/docs/eu_agenda_on_security_en.pdf</w:t>
        </w:r>
      </w:hyperlink>
      <w:r>
        <w:rPr>
          <w:rStyle w:val="Hyperlink"/>
        </w:rPr>
        <w:t>.</w:t>
      </w:r>
      <w:r>
        <w:t xml:space="preserve"> </w:t>
      </w:r>
    </w:p>
  </w:footnote>
  <w:footnote w:id="66">
    <w:p>
      <w:pPr>
        <w:pStyle w:val="FootnoteText"/>
        <w:tabs>
          <w:tab w:val="clear" w:pos="360"/>
          <w:tab w:val="left" w:pos="709"/>
        </w:tabs>
        <w:ind w:left="720" w:hanging="720"/>
      </w:pPr>
      <w:r>
        <w:rPr>
          <w:rStyle w:val="FootnoteReference"/>
        </w:rPr>
        <w:footnoteRef/>
      </w:r>
      <w:r>
        <w:t xml:space="preserve"> </w:t>
      </w:r>
      <w:r>
        <w:tab/>
      </w:r>
      <w:hyperlink r:id="rId30" w:history="1">
        <w:r>
          <w:rPr>
            <w:rStyle w:val="Hyperlink"/>
          </w:rPr>
          <w:t>https://ec.europa.eu/home-affairs/news/security-union-strengthening-europols-cooperation-third-countries-fight-terrorism-and-serious_en</w:t>
        </w:r>
      </w:hyperlink>
      <w:r>
        <w:t>.</w:t>
      </w:r>
    </w:p>
  </w:footnote>
  <w:footnote w:id="67">
    <w:p>
      <w:pPr>
        <w:pStyle w:val="FootnoteText"/>
        <w:tabs>
          <w:tab w:val="clear" w:pos="360"/>
          <w:tab w:val="left" w:pos="709"/>
        </w:tabs>
        <w:ind w:left="720" w:hanging="720"/>
      </w:pPr>
      <w:r>
        <w:rPr>
          <w:rStyle w:val="FootnoteReference"/>
        </w:rPr>
        <w:footnoteRef/>
      </w:r>
      <w:r>
        <w:t xml:space="preserve"> </w:t>
      </w:r>
      <w:r>
        <w:tab/>
      </w:r>
      <w:hyperlink r:id="rId31" w:history="1">
        <w:r>
          <w:rPr>
            <w:rStyle w:val="Hyperlink"/>
          </w:rPr>
          <w:t>http://europa.eu/rapid/press-release_IP-19-2891_sk.htm</w:t>
        </w:r>
      </w:hyperlink>
      <w:r>
        <w:t xml:space="preserve">. </w:t>
      </w:r>
    </w:p>
  </w:footnote>
  <w:footnote w:id="68">
    <w:p>
      <w:pPr>
        <w:pStyle w:val="FootnoteText"/>
        <w:tabs>
          <w:tab w:val="clear" w:pos="360"/>
          <w:tab w:val="left" w:pos="709"/>
        </w:tabs>
        <w:ind w:left="720" w:hanging="720"/>
      </w:pPr>
      <w:r>
        <w:rPr>
          <w:rStyle w:val="FootnoteReference"/>
        </w:rPr>
        <w:footnoteRef/>
      </w:r>
      <w:r>
        <w:t xml:space="preserve"> </w:t>
      </w:r>
      <w:r>
        <w:tab/>
        <w:t>Pozri článok 50 nariadenia týkajúci sa medzinárodnej spolupráce v oblasti ochrany údajov. Toto ustanovenie sa vzťahuje na širokú škálu foriem spolupráce od informácií o právnych predpisoch na ochranu údajov až po postúpenie sťažnosti a pomoc pri vyšetrovaní.</w:t>
      </w:r>
    </w:p>
  </w:footnote>
  <w:footnote w:id="69">
    <w:p>
      <w:pPr>
        <w:pStyle w:val="FootnoteText"/>
        <w:tabs>
          <w:tab w:val="clear" w:pos="360"/>
          <w:tab w:val="left" w:pos="709"/>
        </w:tabs>
        <w:ind w:left="720" w:hanging="720"/>
      </w:pPr>
      <w:r>
        <w:rPr>
          <w:rStyle w:val="FootnoteReference"/>
        </w:rPr>
        <w:footnoteRef/>
      </w:r>
      <w:r>
        <w:t xml:space="preserve"> </w:t>
      </w:r>
      <w:r>
        <w:tab/>
        <w:t>Napríklad spoločné vzory na oznamovanie porušení.</w:t>
      </w:r>
    </w:p>
  </w:footnote>
  <w:footnote w:id="70">
    <w:p>
      <w:pPr>
        <w:pStyle w:val="FootnoteText"/>
        <w:tabs>
          <w:tab w:val="clear" w:pos="360"/>
          <w:tab w:val="left" w:pos="709"/>
        </w:tabs>
        <w:ind w:left="720" w:hanging="720"/>
      </w:pPr>
      <w:r>
        <w:rPr>
          <w:rStyle w:val="FootnoteReference"/>
        </w:rPr>
        <w:footnoteRef/>
      </w:r>
      <w:r>
        <w:t xml:space="preserve"> </w:t>
      </w:r>
      <w:r>
        <w:tab/>
      </w:r>
      <w:hyperlink r:id="rId32" w:history="1">
        <w:r>
          <w:rPr>
            <w:rStyle w:val="Hyperlink"/>
          </w:rPr>
          <w:t>https://eur-lex.europa.eu/legal-content/SK/TXT/?uri=CELEX%3A52017PC0010</w:t>
        </w:r>
      </w:hyperlink>
      <w:r>
        <w:t xml:space="preserve">. </w:t>
      </w:r>
    </w:p>
  </w:footnote>
  <w:footnote w:id="71">
    <w:p>
      <w:pPr>
        <w:pStyle w:val="FootnoteText"/>
        <w:tabs>
          <w:tab w:val="clear" w:pos="360"/>
          <w:tab w:val="left" w:pos="709"/>
        </w:tabs>
        <w:ind w:left="720" w:hanging="720"/>
      </w:pPr>
      <w:r>
        <w:rPr>
          <w:rStyle w:val="FootnoteReference"/>
        </w:rPr>
        <w:footnoteRef/>
      </w:r>
      <w:r>
        <w:t xml:space="preserve"> </w:t>
      </w:r>
      <w:r>
        <w:tab/>
        <w:t>Smernica Európskeho parlamentu a Rady 2002/58/ES z 12. júla 2002 týkajúca sa spracovávania osobných údajov a ochrany súkromia v sektore elektronických komunikácií (smernica o súkromí a elektronických komunikáciách), Ú. v. ES L 201, 31.7.2002, s. 37 – 47).</w:t>
      </w:r>
    </w:p>
  </w:footnote>
  <w:footnote w:id="72">
    <w:p>
      <w:pPr>
        <w:pStyle w:val="FootnoteText"/>
        <w:tabs>
          <w:tab w:val="clear" w:pos="360"/>
          <w:tab w:val="left" w:pos="709"/>
        </w:tabs>
        <w:ind w:left="720" w:hanging="720"/>
      </w:pPr>
      <w:r>
        <w:rPr>
          <w:rStyle w:val="FootnoteReference"/>
        </w:rPr>
        <w:footnoteRef/>
      </w:r>
      <w:r>
        <w:t xml:space="preserve"> </w:t>
      </w:r>
      <w:r>
        <w:tab/>
      </w:r>
      <w:hyperlink r:id="rId33" w:history="1">
        <w:r>
          <w:rPr>
            <w:rStyle w:val="Hyperlink"/>
          </w:rPr>
          <w:t>https://eur-lex.europa.eu/legal-content/SK/TXT/?uri=celex%3A32014R0536</w:t>
        </w:r>
      </w:hyperlink>
      <w:r>
        <w:t xml:space="preserve">. </w:t>
      </w:r>
    </w:p>
  </w:footnote>
  <w:footnote w:id="73">
    <w:p>
      <w:pPr>
        <w:pStyle w:val="FootnoteText"/>
        <w:tabs>
          <w:tab w:val="clear" w:pos="360"/>
          <w:tab w:val="left" w:pos="709"/>
        </w:tabs>
        <w:ind w:left="720" w:hanging="720"/>
      </w:pPr>
      <w:r>
        <w:rPr>
          <w:rStyle w:val="FootnoteReference"/>
        </w:rPr>
        <w:footnoteRef/>
      </w:r>
      <w:r>
        <w:t xml:space="preserve"> </w:t>
      </w:r>
      <w:r>
        <w:tab/>
      </w:r>
      <w:hyperlink r:id="rId34" w:history="1">
        <w:r>
          <w:rPr>
            <w:rStyle w:val="Hyperlink"/>
          </w:rPr>
          <w:t>https://ec.europa.eu/health/sites/health/files/files/documents/qa_clinicaltrials_gdpr_en.pdf</w:t>
        </w:r>
      </w:hyperlink>
      <w:r>
        <w:t xml:space="preserve">. </w:t>
      </w:r>
    </w:p>
  </w:footnote>
  <w:footnote w:id="74">
    <w:p>
      <w:pPr>
        <w:pStyle w:val="FootnoteText"/>
        <w:tabs>
          <w:tab w:val="clear" w:pos="360"/>
          <w:tab w:val="left" w:pos="709"/>
        </w:tabs>
        <w:ind w:left="720" w:hanging="720"/>
      </w:pPr>
      <w:r>
        <w:rPr>
          <w:rStyle w:val="FootnoteReference"/>
        </w:rPr>
        <w:footnoteRef/>
      </w:r>
      <w:r>
        <w:t xml:space="preserve"> </w:t>
      </w:r>
      <w:r>
        <w:tab/>
        <w:t xml:space="preserve">Oznámenie Komisie z 8. apríla 2019 o budovaní dôvery v umelú inteligenciu sústredenú na človeka: </w:t>
      </w:r>
      <w:hyperlink r:id="rId35" w:history="1">
        <w:r>
          <w:rPr>
            <w:rStyle w:val="Hyperlink"/>
          </w:rPr>
          <w:t>https://ec.europa.eu/digital-single-market/en/news/communication-building-trust-human-centric-artificial-intelligence</w:t>
        </w:r>
      </w:hyperlink>
      <w:r>
        <w:t xml:space="preserve">. </w:t>
      </w:r>
    </w:p>
    <w:p>
      <w:pPr>
        <w:pStyle w:val="FootnoteText"/>
        <w:tabs>
          <w:tab w:val="clear" w:pos="360"/>
          <w:tab w:val="left" w:pos="709"/>
        </w:tabs>
        <w:ind w:left="720" w:hanging="720"/>
      </w:pPr>
      <w:r>
        <w:rPr>
          <w:rStyle w:val="FootnoteReference"/>
        </w:rPr>
        <w:footnoteRef/>
      </w:r>
      <w:r>
        <w:t xml:space="preserve"> </w:t>
      </w:r>
      <w:r>
        <w:tab/>
      </w:r>
      <w:r>
        <w:rPr>
          <w:spacing w:val="-4"/>
        </w:rPr>
        <w:t xml:space="preserve">Etické usmernenia pre dôveryhodnú umelú inteligenciu predložené expertnou skupinou na vysokej úrovni 8. apríla 2019: </w:t>
      </w:r>
      <w:hyperlink r:id="rId36" w:history="1">
        <w:r>
          <w:rPr>
            <w:rStyle w:val="Hyperlink"/>
            <w:spacing w:val="-4"/>
          </w:rPr>
          <w:t>https://ec.europa.eu/digital-single-market/en/news/ethics-guidelines-trustworthy-ai</w:t>
        </w:r>
      </w:hyperlink>
      <w:r>
        <w:rPr>
          <w:spacing w:val="-4"/>
        </w:rPr>
        <w:t xml:space="preserve">. Pozri aj Odporúčanie Rady OECD k umelej inteligencii: </w:t>
      </w:r>
      <w:hyperlink r:id="rId37" w:history="1">
        <w:r>
          <w:rPr>
            <w:rStyle w:val="Hyperlink"/>
            <w:spacing w:val="-4"/>
          </w:rPr>
          <w:t>https://legalinstruments.oecd.org/en/instruments/OECD-LEGAL-0449</w:t>
        </w:r>
      </w:hyperlink>
      <w:r>
        <w:rPr>
          <w:spacing w:val="-4"/>
        </w:rPr>
        <w:t xml:space="preserve">, Zásady skupiny G20 v oblasti umelej inteligencie schválené v rámci Vyhlásenia vedúcich predstaviteľov skupiny G20 v Osake: </w:t>
      </w:r>
      <w:hyperlink r:id="rId38" w:history="1">
        <w:r>
          <w:rPr>
            <w:rStyle w:val="Hyperlink"/>
            <w:spacing w:val="-4"/>
          </w:rPr>
          <w:t>https://www.g20.org/pdf/documents/en/annex_08.pdf</w:t>
        </w:r>
      </w:hyperlink>
      <w:r>
        <w:rPr>
          <w:rStyle w:val="Hyperlink"/>
          <w:spacing w:val="-4"/>
        </w:rPr>
        <w:t xml:space="preserve"> </w:t>
      </w:r>
      <w:r>
        <w:rPr>
          <w:spacing w:val="-4"/>
        </w:rPr>
        <w:t xml:space="preserve">a Vyhlásenie ministrov skupiny G20 o obchode a digitálnej ekonomike: </w:t>
      </w:r>
      <w:hyperlink r:id="rId39" w:history="1">
        <w:r>
          <w:rPr>
            <w:rStyle w:val="Hyperlink"/>
            <w:spacing w:val="-4"/>
          </w:rPr>
          <w:t>https://g20trade-digital.go.jp/dl/Ministerial_Statement_on_Trade_and_Digital_Economy.pdf</w:t>
        </w:r>
      </w:hyperlink>
      <w:r>
        <w:rPr>
          <w:spacing w:val="-4"/>
        </w:rPr>
        <w:t>.</w:t>
      </w:r>
    </w:p>
  </w:footnote>
  <w:footnote w:id="75">
    <w:p>
      <w:pPr>
        <w:pStyle w:val="FootnoteText"/>
        <w:tabs>
          <w:tab w:val="clear" w:pos="360"/>
          <w:tab w:val="left" w:pos="709"/>
        </w:tabs>
        <w:ind w:left="720" w:hanging="720"/>
      </w:pPr>
      <w:r>
        <w:rPr>
          <w:rStyle w:val="FootnoteReference"/>
        </w:rPr>
        <w:footnoteRef/>
      </w:r>
      <w:r>
        <w:t xml:space="preserve"> </w:t>
      </w:r>
      <w:r>
        <w:tab/>
        <w:t>Článok 22 nariadenia.</w:t>
      </w:r>
    </w:p>
  </w:footnote>
  <w:footnote w:id="76">
    <w:p>
      <w:pPr>
        <w:pStyle w:val="FootnoteText"/>
        <w:tabs>
          <w:tab w:val="clear" w:pos="360"/>
          <w:tab w:val="left" w:pos="709"/>
        </w:tabs>
        <w:ind w:left="720" w:hanging="720"/>
      </w:pPr>
      <w:r>
        <w:rPr>
          <w:rStyle w:val="FootnoteReference"/>
        </w:rPr>
        <w:footnoteRef/>
      </w:r>
      <w:r>
        <w:t xml:space="preserve"> </w:t>
      </w:r>
      <w:r>
        <w:tab/>
        <w:t>Článok 13 ods. 2 písm. f) nariadenia.</w:t>
      </w:r>
    </w:p>
  </w:footnote>
  <w:footnote w:id="77">
    <w:p>
      <w:pPr>
        <w:pStyle w:val="FootnoteText"/>
        <w:tabs>
          <w:tab w:val="clear" w:pos="360"/>
          <w:tab w:val="left" w:pos="709"/>
        </w:tabs>
        <w:ind w:left="720" w:hanging="720"/>
      </w:pPr>
      <w:r>
        <w:rPr>
          <w:rStyle w:val="FootnoteReference"/>
        </w:rPr>
        <w:footnoteRef/>
      </w:r>
      <w:r>
        <w:t xml:space="preserve"> </w:t>
      </w:r>
      <w:r>
        <w:tab/>
      </w:r>
      <w:hyperlink r:id="rId40" w:history="1">
        <w:r>
          <w:rPr>
            <w:rStyle w:val="Hyperlink"/>
          </w:rPr>
          <w:t>https://ec.europa.eu/digital-single-market/en/high-level-expert-group-artificial-intelligence</w:t>
        </w:r>
      </w:hyperlink>
      <w:r>
        <w:t xml:space="preserve">. </w:t>
      </w:r>
    </w:p>
  </w:footnote>
  <w:footnote w:id="78">
    <w:p>
      <w:pPr>
        <w:pStyle w:val="FootnoteText"/>
        <w:tabs>
          <w:tab w:val="clear" w:pos="360"/>
          <w:tab w:val="left" w:pos="709"/>
        </w:tabs>
        <w:ind w:left="720" w:hanging="720"/>
      </w:pPr>
      <w:r>
        <w:rPr>
          <w:rStyle w:val="FootnoteReference"/>
        </w:rPr>
        <w:footnoteRef/>
      </w:r>
      <w:r>
        <w:t xml:space="preserve"> </w:t>
      </w:r>
      <w:r>
        <w:tab/>
        <w:t xml:space="preserve">Odporúčanie Rady OECD k umelej inteligencii: </w:t>
      </w:r>
      <w:hyperlink r:id="rId41" w:history="1">
        <w:r>
          <w:rPr>
            <w:rStyle w:val="Hyperlink"/>
          </w:rPr>
          <w:t>https://legalinstruments.oecd.org/en/instruments/OECD-LEGAL-0449</w:t>
        </w:r>
      </w:hyperlink>
      <w:r>
        <w:t xml:space="preserve">. </w:t>
      </w:r>
    </w:p>
  </w:footnote>
  <w:footnote w:id="79">
    <w:p>
      <w:pPr>
        <w:pStyle w:val="FootnoteText"/>
        <w:tabs>
          <w:tab w:val="clear" w:pos="360"/>
          <w:tab w:val="left" w:pos="709"/>
        </w:tabs>
        <w:ind w:left="720" w:hanging="720"/>
      </w:pPr>
      <w:r>
        <w:rPr>
          <w:rStyle w:val="FootnoteReference"/>
        </w:rPr>
        <w:footnoteRef/>
      </w:r>
      <w:r>
        <w:t xml:space="preserve"> </w:t>
      </w:r>
      <w:r>
        <w:tab/>
        <w:t>Vyhlásenie ministrov skupiny G20 o obchode a digitálnej ekonomike:</w:t>
      </w:r>
    </w:p>
    <w:p>
      <w:pPr>
        <w:pStyle w:val="FootnoteText"/>
        <w:tabs>
          <w:tab w:val="clear" w:pos="360"/>
          <w:tab w:val="left" w:pos="709"/>
        </w:tabs>
        <w:ind w:left="1429" w:hanging="720"/>
      </w:pPr>
      <w:hyperlink r:id="rId42" w:history="1">
        <w:r>
          <w:rPr>
            <w:rStyle w:val="Hyperlink"/>
          </w:rPr>
          <w:t>https://g20trade-digital.go.jp/dl/Ministerial_Statement_on_Trade_and_Digital_Economy.pdf</w:t>
        </w:r>
      </w:hyperlink>
      <w:r>
        <w:t>.</w:t>
      </w:r>
    </w:p>
  </w:footnote>
  <w:footnote w:id="80">
    <w:p>
      <w:pPr>
        <w:pStyle w:val="FootnoteText"/>
        <w:tabs>
          <w:tab w:val="clear" w:pos="360"/>
          <w:tab w:val="left" w:pos="709"/>
        </w:tabs>
        <w:ind w:left="720" w:hanging="720"/>
      </w:pPr>
      <w:r>
        <w:rPr>
          <w:rStyle w:val="FootnoteReference"/>
        </w:rPr>
        <w:footnoteRef/>
      </w:r>
      <w:r>
        <w:t xml:space="preserve"> </w:t>
      </w:r>
      <w:r>
        <w:tab/>
      </w:r>
      <w:hyperlink r:id="rId43" w:history="1">
        <w:r>
          <w:rPr>
            <w:rStyle w:val="Hyperlink"/>
          </w:rPr>
          <w:t>https://edpb.europa.eu/sites/edpb/files/files/file1/edpb-2019-02-12plen-2.1edpb_work_program_sk.pdf</w:t>
        </w:r>
      </w:hyperlink>
      <w:r>
        <w:t xml:space="preserve"> </w:t>
      </w:r>
    </w:p>
  </w:footnote>
  <w:footnote w:id="81">
    <w:p>
      <w:pPr>
        <w:pStyle w:val="FootnoteText"/>
        <w:tabs>
          <w:tab w:val="clear" w:pos="360"/>
          <w:tab w:val="left" w:pos="709"/>
        </w:tabs>
        <w:ind w:left="720" w:hanging="720"/>
      </w:pPr>
      <w:r>
        <w:rPr>
          <w:rStyle w:val="FootnoteReference"/>
        </w:rPr>
        <w:footnoteRef/>
      </w:r>
      <w:r>
        <w:t xml:space="preserve"> </w:t>
      </w:r>
      <w:r>
        <w:tab/>
        <w:t>Napríklad uľahčením plánovania ich dopravy a využívania rôznych spôsobov dopravy v rámci ich celkovej trasy.</w:t>
      </w:r>
    </w:p>
  </w:footnote>
  <w:footnote w:id="82">
    <w:p>
      <w:pPr>
        <w:pStyle w:val="FootnoteText"/>
        <w:tabs>
          <w:tab w:val="clear" w:pos="360"/>
          <w:tab w:val="left" w:pos="709"/>
        </w:tabs>
        <w:ind w:left="720" w:hanging="720"/>
      </w:pPr>
      <w:r>
        <w:rPr>
          <w:rStyle w:val="FootnoteReference"/>
        </w:rPr>
        <w:footnoteRef/>
      </w:r>
      <w:r>
        <w:t xml:space="preserve"> </w:t>
      </w:r>
      <w:r>
        <w:tab/>
        <w:t>Najmä smernica o elektrickej energii:</w:t>
      </w:r>
    </w:p>
    <w:p>
      <w:pPr>
        <w:pStyle w:val="FootnoteText"/>
        <w:tabs>
          <w:tab w:val="clear" w:pos="360"/>
          <w:tab w:val="left" w:pos="709"/>
        </w:tabs>
        <w:ind w:left="1429" w:hanging="720"/>
      </w:pPr>
      <w:hyperlink r:id="rId44" w:history="1">
        <w:r>
          <w:rPr>
            <w:rStyle w:val="Hyperlink"/>
          </w:rPr>
          <w:t>https://eur-lex.europa.eu/legal-content/SK/ALL/?uri=CELEX%3A32009L0072</w:t>
        </w:r>
      </w:hyperlink>
      <w:r>
        <w:rPr>
          <w:rStyle w:val="Hyperlink"/>
        </w:rPr>
        <w:t>.</w:t>
      </w:r>
    </w:p>
  </w:footnote>
  <w:footnote w:id="83">
    <w:p>
      <w:pPr>
        <w:pStyle w:val="FootnoteText"/>
        <w:tabs>
          <w:tab w:val="clear" w:pos="360"/>
          <w:tab w:val="left" w:pos="709"/>
        </w:tabs>
        <w:ind w:left="720" w:hanging="720"/>
      </w:pPr>
      <w:r>
        <w:rPr>
          <w:rStyle w:val="FootnoteReference"/>
        </w:rPr>
        <w:footnoteRef/>
      </w:r>
      <w:r>
        <w:t xml:space="preserve"> </w:t>
      </w:r>
      <w:r>
        <w:tab/>
        <w:t>Napríklad vec M.8788 – Apple/Shazam a vec M. M.8124 – Microsoft/LinkedIn.</w:t>
      </w:r>
    </w:p>
  </w:footnote>
  <w:footnote w:id="84">
    <w:p>
      <w:pPr>
        <w:pStyle w:val="FootnoteText"/>
        <w:tabs>
          <w:tab w:val="clear" w:pos="360"/>
          <w:tab w:val="left" w:pos="709"/>
        </w:tabs>
        <w:ind w:left="720" w:hanging="720"/>
      </w:pPr>
      <w:r>
        <w:rPr>
          <w:rStyle w:val="FootnoteReference"/>
        </w:rPr>
        <w:footnoteRef/>
      </w:r>
      <w:r>
        <w:t xml:space="preserve"> </w:t>
      </w:r>
      <w:r>
        <w:tab/>
      </w:r>
      <w:hyperlink r:id="rId45" w:history="1">
        <w:r>
          <w:rPr>
            <w:rStyle w:val="Hyperlink"/>
          </w:rPr>
          <w:t>https://ec.europa.eu/commission/sites/beta-political/files/soteu2018-data-protection-law-electoral-guidance-638_en.pdf</w:t>
        </w:r>
      </w:hyperlink>
      <w:r>
        <w:t xml:space="preserve">. </w:t>
      </w:r>
    </w:p>
  </w:footnote>
  <w:footnote w:id="85">
    <w:p>
      <w:pPr>
        <w:pStyle w:val="FootnoteText"/>
        <w:tabs>
          <w:tab w:val="clear" w:pos="360"/>
          <w:tab w:val="left" w:pos="709"/>
        </w:tabs>
        <w:ind w:left="720" w:hanging="720"/>
      </w:pPr>
      <w:r>
        <w:rPr>
          <w:rStyle w:val="FootnoteReference"/>
        </w:rPr>
        <w:footnoteRef/>
      </w:r>
      <w:r>
        <w:t xml:space="preserve"> </w:t>
      </w:r>
      <w:r>
        <w:tab/>
      </w:r>
      <w:hyperlink r:id="rId46" w:history="1">
        <w:r>
          <w:rPr>
            <w:rStyle w:val="Hyperlink"/>
          </w:rPr>
          <w:t>http://europa.eu/rapid/press-release_IP-18-5681_sk.htm</w:t>
        </w:r>
      </w:hyperlink>
      <w:r>
        <w:t xml:space="preserve">. </w:t>
      </w:r>
    </w:p>
  </w:footnote>
  <w:footnote w:id="86">
    <w:p>
      <w:pPr>
        <w:pStyle w:val="FootnoteText"/>
        <w:tabs>
          <w:tab w:val="clear" w:pos="360"/>
          <w:tab w:val="left" w:pos="709"/>
        </w:tabs>
        <w:ind w:left="720" w:hanging="720"/>
      </w:pPr>
      <w:r>
        <w:rPr>
          <w:rStyle w:val="FootnoteReference"/>
        </w:rPr>
        <w:footnoteRef/>
      </w:r>
      <w:r>
        <w:t xml:space="preserve"> </w:t>
      </w:r>
      <w:r>
        <w:tab/>
      </w:r>
      <w:hyperlink r:id="rId47" w:history="1">
        <w:r>
          <w:rPr>
            <w:rStyle w:val="Hyperlink"/>
          </w:rPr>
          <w:t>https://edpb.europa.eu/sites/edpb/files/files/file1/edpb-2019-03-13-statement-on-elections_en.pdf</w:t>
        </w:r>
      </w:hyperlink>
      <w:r>
        <w:t xml:space="preserve">. </w:t>
      </w:r>
    </w:p>
  </w:footnote>
  <w:footnote w:id="87">
    <w:p>
      <w:pPr>
        <w:pStyle w:val="FootnoteText"/>
        <w:tabs>
          <w:tab w:val="clear" w:pos="360"/>
          <w:tab w:val="left" w:pos="709"/>
        </w:tabs>
        <w:ind w:left="720" w:hanging="720"/>
      </w:pPr>
      <w:r>
        <w:rPr>
          <w:rStyle w:val="FootnoteReference"/>
        </w:rPr>
        <w:footnoteRef/>
      </w:r>
      <w:r>
        <w:t xml:space="preserve"> </w:t>
      </w:r>
      <w:r>
        <w:tab/>
        <w:t>Článok 97 nariadenia.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5F4"/>
    <w:multiLevelType w:val="hybridMultilevel"/>
    <w:tmpl w:val="07083C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B1245"/>
    <w:multiLevelType w:val="hybridMultilevel"/>
    <w:tmpl w:val="37B69AEA"/>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nsid w:val="0E3F43F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5B7696"/>
    <w:multiLevelType w:val="hybridMultilevel"/>
    <w:tmpl w:val="8DDC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D2EEF"/>
    <w:multiLevelType w:val="multilevel"/>
    <w:tmpl w:val="7C8CAD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921B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AD1BFC"/>
    <w:multiLevelType w:val="hybridMultilevel"/>
    <w:tmpl w:val="9A42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90A1D"/>
    <w:multiLevelType w:val="multilevel"/>
    <w:tmpl w:val="EE083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5E4138"/>
    <w:multiLevelType w:val="multilevel"/>
    <w:tmpl w:val="5E1E37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86C18AE"/>
    <w:multiLevelType w:val="hybridMultilevel"/>
    <w:tmpl w:val="F1A4A94C"/>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18AF189F"/>
    <w:multiLevelType w:val="multilevel"/>
    <w:tmpl w:val="6EECC9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8FC3334"/>
    <w:multiLevelType w:val="hybridMultilevel"/>
    <w:tmpl w:val="228CB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B84AE4"/>
    <w:multiLevelType w:val="hybridMultilevel"/>
    <w:tmpl w:val="F8CC31B4"/>
    <w:lvl w:ilvl="0" w:tplc="8584A5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8E2A20"/>
    <w:multiLevelType w:val="hybridMultilevel"/>
    <w:tmpl w:val="F1A4A94C"/>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nsid w:val="240515A6"/>
    <w:multiLevelType w:val="hybridMultilevel"/>
    <w:tmpl w:val="9A72B7AE"/>
    <w:lvl w:ilvl="0" w:tplc="19D206A0">
      <w:start w:val="2"/>
      <w:numFmt w:val="bullet"/>
      <w:lvlText w:val="•"/>
      <w:lvlJc w:val="left"/>
      <w:pPr>
        <w:ind w:left="1060" w:hanging="70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285A5A"/>
    <w:multiLevelType w:val="hybridMultilevel"/>
    <w:tmpl w:val="05643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A931BC"/>
    <w:multiLevelType w:val="hybridMultilevel"/>
    <w:tmpl w:val="66A06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017A16"/>
    <w:multiLevelType w:val="hybridMultilevel"/>
    <w:tmpl w:val="F61C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7A7A87"/>
    <w:multiLevelType w:val="hybridMultilevel"/>
    <w:tmpl w:val="B292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924F7B"/>
    <w:multiLevelType w:val="hybridMultilevel"/>
    <w:tmpl w:val="E1529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8C45EB"/>
    <w:multiLevelType w:val="hybridMultilevel"/>
    <w:tmpl w:val="258E3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3078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CD7C90"/>
    <w:multiLevelType w:val="multilevel"/>
    <w:tmpl w:val="133AF0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01B37D8"/>
    <w:multiLevelType w:val="hybridMultilevel"/>
    <w:tmpl w:val="BE10FBE6"/>
    <w:lvl w:ilvl="0" w:tplc="37C6F8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6D036E"/>
    <w:multiLevelType w:val="hybridMultilevel"/>
    <w:tmpl w:val="90C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C412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E75545"/>
    <w:multiLevelType w:val="hybridMultilevel"/>
    <w:tmpl w:val="E6E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42657E3"/>
    <w:multiLevelType w:val="hybridMultilevel"/>
    <w:tmpl w:val="1AB28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7EB6681"/>
    <w:multiLevelType w:val="multilevel"/>
    <w:tmpl w:val="90B02A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D8036B"/>
    <w:multiLevelType w:val="hybridMultilevel"/>
    <w:tmpl w:val="9724D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BA5B09"/>
    <w:multiLevelType w:val="multilevel"/>
    <w:tmpl w:val="5CB27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4C61D1D"/>
    <w:multiLevelType w:val="hybridMultilevel"/>
    <w:tmpl w:val="4B44D73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2">
    <w:nsid w:val="48FB0E3A"/>
    <w:multiLevelType w:val="multilevel"/>
    <w:tmpl w:val="26D067D0"/>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4E1677B9"/>
    <w:multiLevelType w:val="multilevel"/>
    <w:tmpl w:val="5FA012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4EFB405B"/>
    <w:multiLevelType w:val="hybridMultilevel"/>
    <w:tmpl w:val="4ED2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F663E5"/>
    <w:multiLevelType w:val="hybridMultilevel"/>
    <w:tmpl w:val="6B20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022D17"/>
    <w:multiLevelType w:val="hybridMultilevel"/>
    <w:tmpl w:val="06A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A40601"/>
    <w:multiLevelType w:val="hybridMultilevel"/>
    <w:tmpl w:val="D9DE9584"/>
    <w:lvl w:ilvl="0" w:tplc="2A38FE9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57285F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77D1BD0"/>
    <w:multiLevelType w:val="hybridMultilevel"/>
    <w:tmpl w:val="80A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49392F"/>
    <w:multiLevelType w:val="hybridMultilevel"/>
    <w:tmpl w:val="7BA4E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DBC4BD6"/>
    <w:multiLevelType w:val="hybridMultilevel"/>
    <w:tmpl w:val="88A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EC22A6"/>
    <w:multiLevelType w:val="hybridMultilevel"/>
    <w:tmpl w:val="E618CDF0"/>
    <w:lvl w:ilvl="0" w:tplc="19D206A0">
      <w:start w:val="2"/>
      <w:numFmt w:val="bullet"/>
      <w:lvlText w:val="•"/>
      <w:lvlJc w:val="left"/>
      <w:pPr>
        <w:ind w:left="1060" w:hanging="70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1083D34"/>
    <w:multiLevelType w:val="hybridMultilevel"/>
    <w:tmpl w:val="4EC6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787580"/>
    <w:multiLevelType w:val="hybridMultilevel"/>
    <w:tmpl w:val="1B96B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E3822F4"/>
    <w:multiLevelType w:val="hybridMultilevel"/>
    <w:tmpl w:val="4362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201302"/>
    <w:multiLevelType w:val="hybridMultilevel"/>
    <w:tmpl w:val="E5187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22E230E"/>
    <w:multiLevelType w:val="multilevel"/>
    <w:tmpl w:val="DAA0ECA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nsid w:val="73DF7408"/>
    <w:multiLevelType w:val="multilevel"/>
    <w:tmpl w:val="6F52F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6032A42"/>
    <w:multiLevelType w:val="multilevel"/>
    <w:tmpl w:val="BF387B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78800F6"/>
    <w:multiLevelType w:val="multilevel"/>
    <w:tmpl w:val="47726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7B53F81"/>
    <w:multiLevelType w:val="hybridMultilevel"/>
    <w:tmpl w:val="2C24C6F4"/>
    <w:lvl w:ilvl="0" w:tplc="840659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A914F28"/>
    <w:multiLevelType w:val="hybridMultilevel"/>
    <w:tmpl w:val="ED184052"/>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CDD72F2"/>
    <w:multiLevelType w:val="hybridMultilevel"/>
    <w:tmpl w:val="22C8A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0"/>
  </w:num>
  <w:num w:numId="4">
    <w:abstractNumId w:val="11"/>
  </w:num>
  <w:num w:numId="5">
    <w:abstractNumId w:val="32"/>
  </w:num>
  <w:num w:numId="6">
    <w:abstractNumId w:val="20"/>
  </w:num>
  <w:num w:numId="7">
    <w:abstractNumId w:val="32"/>
  </w:num>
  <w:num w:numId="8">
    <w:abstractNumId w:val="15"/>
  </w:num>
  <w:num w:numId="9">
    <w:abstractNumId w:val="1"/>
  </w:num>
  <w:num w:numId="10">
    <w:abstractNumId w:val="31"/>
  </w:num>
  <w:num w:numId="11">
    <w:abstractNumId w:val="5"/>
  </w:num>
  <w:num w:numId="12">
    <w:abstractNumId w:val="2"/>
  </w:num>
  <w:num w:numId="13">
    <w:abstractNumId w:val="21"/>
  </w:num>
  <w:num w:numId="14">
    <w:abstractNumId w:val="21"/>
  </w:num>
  <w:num w:numId="15">
    <w:abstractNumId w:val="21"/>
  </w:num>
  <w:num w:numId="16">
    <w:abstractNumId w:val="21"/>
  </w:num>
  <w:num w:numId="17">
    <w:abstractNumId w:val="21"/>
  </w:num>
  <w:num w:numId="18">
    <w:abstractNumId w:val="8"/>
  </w:num>
  <w:num w:numId="19">
    <w:abstractNumId w:val="38"/>
  </w:num>
  <w:num w:numId="20">
    <w:abstractNumId w:val="25"/>
  </w:num>
  <w:num w:numId="21">
    <w:abstractNumId w:val="53"/>
  </w:num>
  <w:num w:numId="22">
    <w:abstractNumId w:val="50"/>
  </w:num>
  <w:num w:numId="23">
    <w:abstractNumId w:val="27"/>
  </w:num>
  <w:num w:numId="24">
    <w:abstractNumId w:val="35"/>
  </w:num>
  <w:num w:numId="25">
    <w:abstractNumId w:val="7"/>
  </w:num>
  <w:num w:numId="26">
    <w:abstractNumId w:val="18"/>
  </w:num>
  <w:num w:numId="27">
    <w:abstractNumId w:val="41"/>
  </w:num>
  <w:num w:numId="28">
    <w:abstractNumId w:val="39"/>
  </w:num>
  <w:num w:numId="29">
    <w:abstractNumId w:val="40"/>
  </w:num>
  <w:num w:numId="30">
    <w:abstractNumId w:val="3"/>
  </w:num>
  <w:num w:numId="31">
    <w:abstractNumId w:val="22"/>
  </w:num>
  <w:num w:numId="32">
    <w:abstractNumId w:val="22"/>
  </w:num>
  <w:num w:numId="33">
    <w:abstractNumId w:val="30"/>
  </w:num>
  <w:num w:numId="34">
    <w:abstractNumId w:val="48"/>
  </w:num>
  <w:num w:numId="35">
    <w:abstractNumId w:val="48"/>
  </w:num>
  <w:num w:numId="36">
    <w:abstractNumId w:val="48"/>
  </w:num>
  <w:num w:numId="37">
    <w:abstractNumId w:val="48"/>
  </w:num>
  <w:num w:numId="38">
    <w:abstractNumId w:val="48"/>
  </w:num>
  <w:num w:numId="39">
    <w:abstractNumId w:val="48"/>
  </w:num>
  <w:num w:numId="40">
    <w:abstractNumId w:val="22"/>
  </w:num>
  <w:num w:numId="41">
    <w:abstractNumId w:val="48"/>
  </w:num>
  <w:num w:numId="42">
    <w:abstractNumId w:val="48"/>
  </w:num>
  <w:num w:numId="43">
    <w:abstractNumId w:val="26"/>
  </w:num>
  <w:num w:numId="44">
    <w:abstractNumId w:val="6"/>
  </w:num>
  <w:num w:numId="45">
    <w:abstractNumId w:val="43"/>
  </w:num>
  <w:num w:numId="46">
    <w:abstractNumId w:val="29"/>
  </w:num>
  <w:num w:numId="47">
    <w:abstractNumId w:val="16"/>
  </w:num>
  <w:num w:numId="48">
    <w:abstractNumId w:val="14"/>
  </w:num>
  <w:num w:numId="49">
    <w:abstractNumId w:val="42"/>
  </w:num>
  <w:num w:numId="50">
    <w:abstractNumId w:val="52"/>
  </w:num>
  <w:num w:numId="51">
    <w:abstractNumId w:val="36"/>
  </w:num>
  <w:num w:numId="52">
    <w:abstractNumId w:val="45"/>
  </w:num>
  <w:num w:numId="53">
    <w:abstractNumId w:val="19"/>
  </w:num>
  <w:num w:numId="54">
    <w:abstractNumId w:val="34"/>
  </w:num>
  <w:num w:numId="55">
    <w:abstractNumId w:val="17"/>
  </w:num>
  <w:num w:numId="56">
    <w:abstractNumId w:val="4"/>
  </w:num>
  <w:num w:numId="57">
    <w:abstractNumId w:val="33"/>
  </w:num>
  <w:num w:numId="58">
    <w:abstractNumId w:val="10"/>
  </w:num>
  <w:num w:numId="59">
    <w:abstractNumId w:val="28"/>
  </w:num>
  <w:num w:numId="60">
    <w:abstractNumId w:val="47"/>
  </w:num>
  <w:num w:numId="61">
    <w:abstractNumId w:val="12"/>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9"/>
  </w:num>
  <w:num w:numId="65">
    <w:abstractNumId w:val="24"/>
  </w:num>
  <w:num w:numId="66">
    <w:abstractNumId w:val="49"/>
  </w:num>
  <w:num w:numId="67">
    <w:abstractNumId w:val="49"/>
  </w:num>
  <w:num w:numId="68">
    <w:abstractNumId w:val="46"/>
  </w:num>
  <w:num w:numId="69">
    <w:abstractNumId w:val="37"/>
  </w:num>
  <w:num w:numId="70">
    <w:abstractNumId w:val="23"/>
  </w:num>
  <w:num w:numId="71">
    <w:abstractNumId w:val="5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LKO Wojtek (CAB-JOUROVA)">
    <w15:presenceInfo w15:providerId="None" w15:userId="TALKO Wojtek (CAB-JOUROVA)"/>
  </w15:person>
  <w15:person w15:author="MICOL Olivier (JUST)">
    <w15:presenceInfo w15:providerId="None" w15:userId="MICOL Olivier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D98EA29-88CE-4BFD-9F5F-EB59A7EF83B3"/>
    <w:docVar w:name="LW_COVERPAGE_TYPE" w:val="1"/>
    <w:docVar w:name="LW_CROSSREFERENCE" w:val="&lt;UNUSED&gt;"/>
    <w:docVar w:name="LW_DocType" w:val="NORMAL"/>
    <w:docVar w:name="LW_EMISSION" w:val="24. 7. 2019"/>
    <w:docVar w:name="LW_EMISSION_ISODATE" w:val="2019-07-24"/>
    <w:docVar w:name="LW_EMISSION_LOCATION" w:val="BRX"/>
    <w:docVar w:name="LW_EMISSION_PREFIX" w:val="V Bruseli"/>
    <w:docVar w:name="LW_EMISSION_SUFFIX" w:val=" "/>
    <w:docVar w:name="LW_ID_DOCTYPE_NONLW" w:val="CP-012"/>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3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Pravidlá ochrany údajov ako nástroj budovania dôvery v EÚ a mimo nej \u8211? celkové hodnotenie&lt;/FMT&gt;_x000d__x000d__x000d__x000d__x000d__x000d__x000d__x000b_"/>
    <w:docVar w:name="LW_TYPE.DOC.CP" w:val="OZNÁMENIE KOMISIE EURÓPSKEMU PARLAMENTU A RAD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cs="Times New Roman"/>
      <w:sz w:val="24"/>
      <w:szCs w:val="24"/>
    </w:rPr>
  </w:style>
  <w:style w:type="paragraph" w:styleId="Heading1">
    <w:name w:val="heading 1"/>
    <w:basedOn w:val="Normal"/>
    <w:link w:val="Heading1Char"/>
    <w:uiPriority w:val="9"/>
    <w:qFormat/>
    <w:pPr>
      <w:spacing w:before="480" w:after="240" w:line="288" w:lineRule="auto"/>
      <w:outlineLvl w:val="0"/>
    </w:pPr>
    <w:rPr>
      <w:rFonts w:ascii="Times New Roman Bold" w:hAnsi="Times New Roman Bold"/>
      <w:b/>
      <w:lang w:eastAsia="ja-JP" w:bidi="fr-FR"/>
    </w:rPr>
  </w:style>
  <w:style w:type="paragraph" w:styleId="Heading2">
    <w:name w:val="heading 2"/>
    <w:basedOn w:val="Normal"/>
    <w:link w:val="Heading2Char"/>
    <w:autoRedefine/>
    <w:uiPriority w:val="9"/>
    <w:unhideWhenUsed/>
    <w:qFormat/>
    <w:pPr>
      <w:numPr>
        <w:ilvl w:val="1"/>
        <w:numId w:val="60"/>
      </w:numPr>
      <w:spacing w:before="240" w:after="240" w:line="288" w:lineRule="auto"/>
      <w:ind w:left="578" w:hanging="578"/>
      <w:outlineLvl w:val="1"/>
    </w:pPr>
    <w:rPr>
      <w:rFonts w:eastAsiaTheme="majorEastAsia"/>
      <w:b/>
      <w:lang w:eastAsia="ja-JP" w:bidi="fr-FR"/>
    </w:rPr>
  </w:style>
  <w:style w:type="paragraph" w:styleId="Heading3">
    <w:name w:val="heading 3"/>
    <w:basedOn w:val="Normal"/>
    <w:link w:val="Heading3Char"/>
    <w:uiPriority w:val="9"/>
    <w:unhideWhenUsed/>
    <w:qFormat/>
    <w:pPr>
      <w:spacing w:before="240" w:line="288" w:lineRule="auto"/>
      <w:outlineLvl w:val="2"/>
    </w:pPr>
    <w:rPr>
      <w:i/>
    </w:rPr>
  </w:style>
  <w:style w:type="paragraph" w:styleId="Heading4">
    <w:name w:val="heading 4"/>
    <w:basedOn w:val="Normal"/>
    <w:link w:val="Heading4Char"/>
    <w:uiPriority w:val="9"/>
    <w:semiHidden/>
    <w:unhideWhenUsed/>
    <w:qFormat/>
    <w:pPr>
      <w:numPr>
        <w:ilvl w:val="3"/>
        <w:numId w:val="60"/>
      </w:numPr>
      <w:spacing w:before="40" w:after="0" w:line="288" w:lineRule="auto"/>
      <w:outlineLvl w:val="3"/>
    </w:pPr>
    <w:rPr>
      <w:rFonts w:asciiTheme="majorHAnsi" w:eastAsiaTheme="majorEastAsia" w:hAnsiTheme="majorHAnsi" w:cstheme="majorBidi"/>
      <w:i/>
      <w:iCs/>
      <w:color w:val="4F81BD" w:themeColor="accent1"/>
      <w:spacing w:val="6"/>
      <w:lang w:eastAsia="ja-JP" w:bidi="fr-FR"/>
    </w:rPr>
  </w:style>
  <w:style w:type="paragraph" w:styleId="Heading5">
    <w:name w:val="heading 5"/>
    <w:basedOn w:val="Normal"/>
    <w:link w:val="Heading5Char"/>
    <w:uiPriority w:val="9"/>
    <w:semiHidden/>
    <w:unhideWhenUsed/>
    <w:qFormat/>
    <w:pPr>
      <w:numPr>
        <w:ilvl w:val="4"/>
        <w:numId w:val="60"/>
      </w:numPr>
      <w:spacing w:before="40" w:after="0" w:line="288" w:lineRule="auto"/>
      <w:outlineLvl w:val="4"/>
    </w:pPr>
    <w:rPr>
      <w:rFonts w:asciiTheme="majorHAnsi" w:eastAsiaTheme="majorEastAsia" w:hAnsiTheme="majorHAnsi" w:cstheme="majorBidi"/>
      <w:i/>
      <w:color w:val="C0504D" w:themeColor="accent2"/>
      <w:spacing w:val="6"/>
      <w:lang w:eastAsia="ja-JP" w:bidi="fr-FR"/>
    </w:rPr>
  </w:style>
  <w:style w:type="paragraph" w:styleId="Heading6">
    <w:name w:val="heading 6"/>
    <w:basedOn w:val="Normal"/>
    <w:link w:val="Heading6Char"/>
    <w:uiPriority w:val="9"/>
    <w:semiHidden/>
    <w:unhideWhenUsed/>
    <w:qFormat/>
    <w:pPr>
      <w:numPr>
        <w:ilvl w:val="5"/>
        <w:numId w:val="60"/>
      </w:numPr>
      <w:spacing w:before="40" w:after="0" w:line="288" w:lineRule="auto"/>
      <w:outlineLvl w:val="5"/>
    </w:pPr>
    <w:rPr>
      <w:rFonts w:asciiTheme="majorHAnsi" w:eastAsiaTheme="majorEastAsia" w:hAnsiTheme="majorHAnsi" w:cstheme="majorBidi"/>
      <w:color w:val="C0504D" w:themeColor="accent2"/>
      <w:spacing w:val="12"/>
      <w:lang w:eastAsia="ja-JP" w:bidi="fr-FR"/>
    </w:rPr>
  </w:style>
  <w:style w:type="paragraph" w:styleId="Heading7">
    <w:name w:val="heading 7"/>
    <w:basedOn w:val="Normal"/>
    <w:link w:val="Heading7Char"/>
    <w:uiPriority w:val="9"/>
    <w:semiHidden/>
    <w:unhideWhenUsed/>
    <w:qFormat/>
    <w:pPr>
      <w:numPr>
        <w:ilvl w:val="6"/>
        <w:numId w:val="60"/>
      </w:numPr>
      <w:spacing w:before="40" w:after="0" w:line="288" w:lineRule="auto"/>
      <w:outlineLvl w:val="6"/>
    </w:pPr>
    <w:rPr>
      <w:rFonts w:asciiTheme="majorHAnsi" w:eastAsiaTheme="majorEastAsia" w:hAnsiTheme="majorHAnsi" w:cstheme="majorBidi"/>
      <w:iCs/>
      <w:color w:val="C0504D" w:themeColor="accent2"/>
      <w:lang w:eastAsia="ja-JP" w:bidi="fr-FR"/>
    </w:rPr>
  </w:style>
  <w:style w:type="paragraph" w:styleId="Heading8">
    <w:name w:val="heading 8"/>
    <w:basedOn w:val="Normal"/>
    <w:link w:val="Heading8Char"/>
    <w:uiPriority w:val="9"/>
    <w:semiHidden/>
    <w:unhideWhenUsed/>
    <w:qFormat/>
    <w:pPr>
      <w:numPr>
        <w:ilvl w:val="7"/>
        <w:numId w:val="60"/>
      </w:numPr>
      <w:spacing w:before="40" w:after="0" w:line="288" w:lineRule="auto"/>
      <w:outlineLvl w:val="7"/>
    </w:pPr>
    <w:rPr>
      <w:rFonts w:asciiTheme="majorHAnsi" w:eastAsiaTheme="majorEastAsia" w:hAnsiTheme="majorHAnsi" w:cstheme="majorBidi"/>
      <w:i/>
      <w:color w:val="CF7B79" w:themeColor="accent2" w:themeTint="BF"/>
      <w:szCs w:val="21"/>
      <w:lang w:eastAsia="ja-JP" w:bidi="fr-FR"/>
    </w:rPr>
  </w:style>
  <w:style w:type="paragraph" w:styleId="Heading9">
    <w:name w:val="heading 9"/>
    <w:basedOn w:val="Normal"/>
    <w:link w:val="Heading9Char"/>
    <w:uiPriority w:val="9"/>
    <w:semiHidden/>
    <w:unhideWhenUsed/>
    <w:qFormat/>
    <w:pPr>
      <w:numPr>
        <w:ilvl w:val="8"/>
        <w:numId w:val="60"/>
      </w:numPr>
      <w:spacing w:before="40" w:after="0" w:line="288" w:lineRule="auto"/>
      <w:outlineLvl w:val="8"/>
    </w:pPr>
    <w:rPr>
      <w:rFonts w:asciiTheme="majorHAnsi" w:eastAsiaTheme="majorEastAsia" w:hAnsiTheme="majorHAnsi" w:cstheme="majorBidi"/>
      <w:iCs/>
      <w:color w:val="CF7B79" w:themeColor="accent2" w:themeTint="BF"/>
      <w:szCs w:val="21"/>
      <w:lang w:eastAsia="ja-JP" w:bidi="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hAnsi="Times New Roman Bold" w:cs="Times New Roman"/>
      <w:b/>
      <w:sz w:val="24"/>
      <w:szCs w:val="24"/>
      <w:lang w:val="sk-SK" w:eastAsia="ja-JP" w:bidi="fr-FR"/>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4"/>
      <w:lang w:val="sk-SK" w:eastAsia="ja-JP" w:bidi="fr-FR"/>
    </w:rPr>
  </w:style>
  <w:style w:type="character" w:customStyle="1" w:styleId="Heading3Char">
    <w:name w:val="Heading 3 Char"/>
    <w:basedOn w:val="DefaultParagraphFont"/>
    <w:link w:val="Heading3"/>
    <w:uiPriority w:val="9"/>
    <w:rPr>
      <w:rFonts w:ascii="Times New Roman" w:hAnsi="Times New Roman" w:cs="Times New Roman"/>
      <w:i/>
      <w:sz w:val="24"/>
      <w:szCs w:val="24"/>
      <w:lang w:val="sk-SK"/>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F81BD" w:themeColor="accent1"/>
      <w:spacing w:val="6"/>
      <w:lang w:val="sk-SK" w:eastAsia="ja-JP" w:bidi="fr-FR"/>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C0504D" w:themeColor="accent2"/>
      <w:spacing w:val="6"/>
      <w:lang w:val="sk-SK" w:eastAsia="ja-JP" w:bidi="fr-FR"/>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C0504D" w:themeColor="accent2"/>
      <w:spacing w:val="12"/>
      <w:lang w:val="sk-SK" w:eastAsia="ja-JP" w:bidi="fr-FR"/>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C0504D" w:themeColor="accent2"/>
      <w:lang w:val="sk-SK" w:eastAsia="ja-JP" w:bidi="fr-FR"/>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CF7B79" w:themeColor="accent2" w:themeTint="BF"/>
      <w:szCs w:val="21"/>
      <w:lang w:val="sk-SK" w:eastAsia="ja-JP" w:bidi="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CF7B79" w:themeColor="accent2" w:themeTint="BF"/>
      <w:szCs w:val="21"/>
      <w:lang w:val="sk-SK" w:eastAsia="ja-JP"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pPr>
      <w:spacing w:after="120" w:line="240" w:lineRule="auto"/>
      <w:ind w:left="360"/>
    </w:pPr>
    <w:rPr>
      <w:rFonts w:ascii="Tahoma" w:hAnsi="Tahoma"/>
      <w:sz w:val="28"/>
      <w:szCs w:val="20"/>
      <w:lang w:eastAsia="ja-JP" w:bidi="fr-FR"/>
    </w:rPr>
  </w:style>
  <w:style w:type="character" w:customStyle="1" w:styleId="CommentTextChar">
    <w:name w:val="Comment Text Char"/>
    <w:basedOn w:val="DefaultParagraphFont"/>
    <w:link w:val="CommentText"/>
    <w:uiPriority w:val="99"/>
    <w:rPr>
      <w:rFonts w:ascii="Tahoma" w:hAnsi="Tahoma" w:cs="Times New Roman"/>
      <w:sz w:val="28"/>
      <w:szCs w:val="20"/>
      <w:lang w:val="sk-SK" w:eastAsia="ja-JP" w:bidi="fr-F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200"/>
      <w:ind w:left="0"/>
    </w:pPr>
    <w:rPr>
      <w:b/>
      <w:bCs/>
      <w:lang w:eastAsia="en-US" w:bidi="ar-SA"/>
    </w:rPr>
  </w:style>
  <w:style w:type="character" w:customStyle="1" w:styleId="CommentSubjectChar">
    <w:name w:val="Comment Subject Char"/>
    <w:basedOn w:val="CommentTextChar"/>
    <w:link w:val="CommentSubject"/>
    <w:uiPriority w:val="99"/>
    <w:semiHidden/>
    <w:rPr>
      <w:rFonts w:ascii="Tahoma" w:hAnsi="Tahoma" w:cs="Times New Roman"/>
      <w:b/>
      <w:bCs/>
      <w:color w:val="4F81BD" w:themeColor="accent1"/>
      <w:sz w:val="20"/>
      <w:szCs w:val="20"/>
      <w:lang w:val="sk-SK" w:eastAsia="ja-JP" w:bidi="fr-FR"/>
    </w:rPr>
  </w:style>
  <w:style w:type="paragraph" w:styleId="FootnoteText">
    <w:name w:val="footnote text"/>
    <w:basedOn w:val="Normal"/>
    <w:uiPriority w:val="99"/>
    <w:unhideWhenUsed/>
    <w:pPr>
      <w:tabs>
        <w:tab w:val="left" w:pos="360"/>
      </w:tabs>
      <w:spacing w:after="0" w:line="240" w:lineRule="auto"/>
      <w:ind w:left="360" w:hanging="360"/>
    </w:pPr>
    <w:rPr>
      <w:sz w:val="20"/>
      <w:szCs w:val="20"/>
    </w:rPr>
  </w:style>
  <w:style w:type="character" w:customStyle="1" w:styleId="FootnoteTextChar">
    <w:name w:val="Footnote Text Char"/>
    <w:basedOn w:val="DefaultParagraphFont"/>
    <w:uiPriority w:val="99"/>
    <w:rPr>
      <w:rFonts w:ascii="Times New Roman" w:hAnsi="Times New Roman" w:cs="Times New Roman"/>
      <w:sz w:val="20"/>
      <w:szCs w:val="20"/>
      <w:lang w:val="sk-SK"/>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Text1">
    <w:name w:val="Text 1"/>
    <w:basedOn w:val="Normal"/>
    <w:pPr>
      <w:spacing w:before="120" w:after="120" w:line="240" w:lineRule="auto"/>
      <w:ind w:left="850"/>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PageNumber">
    <w:name w:val="page number"/>
    <w:basedOn w:val="DefaultParagraphFont"/>
    <w:uiPriority w:val="99"/>
    <w:semiHidden/>
    <w:unhideWhenUsed/>
  </w:style>
  <w:style w:type="paragraph" w:styleId="DocumentMap">
    <w:name w:val="Document Map"/>
    <w:basedOn w:val="Normal"/>
    <w:link w:val="DocumentMapChar"/>
    <w:uiPriority w:val="99"/>
    <w:semiHidden/>
    <w:unhideWhenUsed/>
    <w:pPr>
      <w:spacing w:after="0" w:line="240" w:lineRule="auto"/>
    </w:p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val="sk-SK"/>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SecurityMarking">
    <w:name w:val="SecurityMarking"/>
    <w:basedOn w:val="Normal"/>
    <w:pPr>
      <w:spacing w:after="0"/>
      <w:ind w:left="5103"/>
      <w:jc w:val="left"/>
    </w:pPr>
    <w:rPr>
      <w:sz w:val="28"/>
      <w:szCs w:val="22"/>
    </w:rPr>
  </w:style>
  <w:style w:type="paragraph" w:customStyle="1" w:styleId="DateMarking">
    <w:name w:val="DateMarking"/>
    <w:basedOn w:val="Normal"/>
    <w:pPr>
      <w:spacing w:after="0"/>
      <w:ind w:left="5103"/>
      <w:jc w:val="left"/>
    </w:pPr>
    <w:rPr>
      <w:i/>
      <w:sz w:val="28"/>
      <w:szCs w:val="22"/>
    </w:rPr>
  </w:style>
  <w:style w:type="paragraph" w:customStyle="1" w:styleId="ReleasableTo">
    <w:name w:val="ReleasableTo"/>
    <w:basedOn w:val="Normal"/>
    <w:pPr>
      <w:spacing w:after="0"/>
      <w:ind w:left="5103"/>
      <w:jc w:val="left"/>
    </w:pPr>
    <w:rPr>
      <w:i/>
      <w:sz w:val="28"/>
      <w:szCs w:val="22"/>
    </w:rPr>
  </w:style>
  <w:style w:type="paragraph" w:customStyle="1" w:styleId="HeaderSensitivityRight">
    <w:name w:val="Header Sensitivity Right"/>
    <w:basedOn w:val="Normal"/>
    <w:pPr>
      <w:spacing w:after="120" w:line="240" w:lineRule="auto"/>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cs="Times New Roman"/>
      <w:sz w:val="24"/>
      <w:szCs w:val="24"/>
    </w:rPr>
  </w:style>
  <w:style w:type="paragraph" w:styleId="Heading1">
    <w:name w:val="heading 1"/>
    <w:basedOn w:val="Normal"/>
    <w:link w:val="Heading1Char"/>
    <w:uiPriority w:val="9"/>
    <w:qFormat/>
    <w:pPr>
      <w:spacing w:before="480" w:after="240" w:line="288" w:lineRule="auto"/>
      <w:outlineLvl w:val="0"/>
    </w:pPr>
    <w:rPr>
      <w:rFonts w:ascii="Times New Roman Bold" w:hAnsi="Times New Roman Bold"/>
      <w:b/>
      <w:lang w:eastAsia="ja-JP" w:bidi="fr-FR"/>
    </w:rPr>
  </w:style>
  <w:style w:type="paragraph" w:styleId="Heading2">
    <w:name w:val="heading 2"/>
    <w:basedOn w:val="Normal"/>
    <w:link w:val="Heading2Char"/>
    <w:autoRedefine/>
    <w:uiPriority w:val="9"/>
    <w:unhideWhenUsed/>
    <w:qFormat/>
    <w:pPr>
      <w:numPr>
        <w:ilvl w:val="1"/>
        <w:numId w:val="60"/>
      </w:numPr>
      <w:spacing w:before="240" w:after="240" w:line="288" w:lineRule="auto"/>
      <w:ind w:left="578" w:hanging="578"/>
      <w:outlineLvl w:val="1"/>
    </w:pPr>
    <w:rPr>
      <w:rFonts w:eastAsiaTheme="majorEastAsia"/>
      <w:b/>
      <w:lang w:eastAsia="ja-JP" w:bidi="fr-FR"/>
    </w:rPr>
  </w:style>
  <w:style w:type="paragraph" w:styleId="Heading3">
    <w:name w:val="heading 3"/>
    <w:basedOn w:val="Normal"/>
    <w:link w:val="Heading3Char"/>
    <w:uiPriority w:val="9"/>
    <w:unhideWhenUsed/>
    <w:qFormat/>
    <w:pPr>
      <w:spacing w:before="240" w:line="288" w:lineRule="auto"/>
      <w:outlineLvl w:val="2"/>
    </w:pPr>
    <w:rPr>
      <w:i/>
    </w:rPr>
  </w:style>
  <w:style w:type="paragraph" w:styleId="Heading4">
    <w:name w:val="heading 4"/>
    <w:basedOn w:val="Normal"/>
    <w:link w:val="Heading4Char"/>
    <w:uiPriority w:val="9"/>
    <w:semiHidden/>
    <w:unhideWhenUsed/>
    <w:qFormat/>
    <w:pPr>
      <w:numPr>
        <w:ilvl w:val="3"/>
        <w:numId w:val="60"/>
      </w:numPr>
      <w:spacing w:before="40" w:after="0" w:line="288" w:lineRule="auto"/>
      <w:outlineLvl w:val="3"/>
    </w:pPr>
    <w:rPr>
      <w:rFonts w:asciiTheme="majorHAnsi" w:eastAsiaTheme="majorEastAsia" w:hAnsiTheme="majorHAnsi" w:cstheme="majorBidi"/>
      <w:i/>
      <w:iCs/>
      <w:color w:val="4F81BD" w:themeColor="accent1"/>
      <w:spacing w:val="6"/>
      <w:lang w:eastAsia="ja-JP" w:bidi="fr-FR"/>
    </w:rPr>
  </w:style>
  <w:style w:type="paragraph" w:styleId="Heading5">
    <w:name w:val="heading 5"/>
    <w:basedOn w:val="Normal"/>
    <w:link w:val="Heading5Char"/>
    <w:uiPriority w:val="9"/>
    <w:semiHidden/>
    <w:unhideWhenUsed/>
    <w:qFormat/>
    <w:pPr>
      <w:numPr>
        <w:ilvl w:val="4"/>
        <w:numId w:val="60"/>
      </w:numPr>
      <w:spacing w:before="40" w:after="0" w:line="288" w:lineRule="auto"/>
      <w:outlineLvl w:val="4"/>
    </w:pPr>
    <w:rPr>
      <w:rFonts w:asciiTheme="majorHAnsi" w:eastAsiaTheme="majorEastAsia" w:hAnsiTheme="majorHAnsi" w:cstheme="majorBidi"/>
      <w:i/>
      <w:color w:val="C0504D" w:themeColor="accent2"/>
      <w:spacing w:val="6"/>
      <w:lang w:eastAsia="ja-JP" w:bidi="fr-FR"/>
    </w:rPr>
  </w:style>
  <w:style w:type="paragraph" w:styleId="Heading6">
    <w:name w:val="heading 6"/>
    <w:basedOn w:val="Normal"/>
    <w:link w:val="Heading6Char"/>
    <w:uiPriority w:val="9"/>
    <w:semiHidden/>
    <w:unhideWhenUsed/>
    <w:qFormat/>
    <w:pPr>
      <w:numPr>
        <w:ilvl w:val="5"/>
        <w:numId w:val="60"/>
      </w:numPr>
      <w:spacing w:before="40" w:after="0" w:line="288" w:lineRule="auto"/>
      <w:outlineLvl w:val="5"/>
    </w:pPr>
    <w:rPr>
      <w:rFonts w:asciiTheme="majorHAnsi" w:eastAsiaTheme="majorEastAsia" w:hAnsiTheme="majorHAnsi" w:cstheme="majorBidi"/>
      <w:color w:val="C0504D" w:themeColor="accent2"/>
      <w:spacing w:val="12"/>
      <w:lang w:eastAsia="ja-JP" w:bidi="fr-FR"/>
    </w:rPr>
  </w:style>
  <w:style w:type="paragraph" w:styleId="Heading7">
    <w:name w:val="heading 7"/>
    <w:basedOn w:val="Normal"/>
    <w:link w:val="Heading7Char"/>
    <w:uiPriority w:val="9"/>
    <w:semiHidden/>
    <w:unhideWhenUsed/>
    <w:qFormat/>
    <w:pPr>
      <w:numPr>
        <w:ilvl w:val="6"/>
        <w:numId w:val="60"/>
      </w:numPr>
      <w:spacing w:before="40" w:after="0" w:line="288" w:lineRule="auto"/>
      <w:outlineLvl w:val="6"/>
    </w:pPr>
    <w:rPr>
      <w:rFonts w:asciiTheme="majorHAnsi" w:eastAsiaTheme="majorEastAsia" w:hAnsiTheme="majorHAnsi" w:cstheme="majorBidi"/>
      <w:iCs/>
      <w:color w:val="C0504D" w:themeColor="accent2"/>
      <w:lang w:eastAsia="ja-JP" w:bidi="fr-FR"/>
    </w:rPr>
  </w:style>
  <w:style w:type="paragraph" w:styleId="Heading8">
    <w:name w:val="heading 8"/>
    <w:basedOn w:val="Normal"/>
    <w:link w:val="Heading8Char"/>
    <w:uiPriority w:val="9"/>
    <w:semiHidden/>
    <w:unhideWhenUsed/>
    <w:qFormat/>
    <w:pPr>
      <w:numPr>
        <w:ilvl w:val="7"/>
        <w:numId w:val="60"/>
      </w:numPr>
      <w:spacing w:before="40" w:after="0" w:line="288" w:lineRule="auto"/>
      <w:outlineLvl w:val="7"/>
    </w:pPr>
    <w:rPr>
      <w:rFonts w:asciiTheme="majorHAnsi" w:eastAsiaTheme="majorEastAsia" w:hAnsiTheme="majorHAnsi" w:cstheme="majorBidi"/>
      <w:i/>
      <w:color w:val="CF7B79" w:themeColor="accent2" w:themeTint="BF"/>
      <w:szCs w:val="21"/>
      <w:lang w:eastAsia="ja-JP" w:bidi="fr-FR"/>
    </w:rPr>
  </w:style>
  <w:style w:type="paragraph" w:styleId="Heading9">
    <w:name w:val="heading 9"/>
    <w:basedOn w:val="Normal"/>
    <w:link w:val="Heading9Char"/>
    <w:uiPriority w:val="9"/>
    <w:semiHidden/>
    <w:unhideWhenUsed/>
    <w:qFormat/>
    <w:pPr>
      <w:numPr>
        <w:ilvl w:val="8"/>
        <w:numId w:val="60"/>
      </w:numPr>
      <w:spacing w:before="40" w:after="0" w:line="288" w:lineRule="auto"/>
      <w:outlineLvl w:val="8"/>
    </w:pPr>
    <w:rPr>
      <w:rFonts w:asciiTheme="majorHAnsi" w:eastAsiaTheme="majorEastAsia" w:hAnsiTheme="majorHAnsi" w:cstheme="majorBidi"/>
      <w:iCs/>
      <w:color w:val="CF7B79" w:themeColor="accent2" w:themeTint="BF"/>
      <w:szCs w:val="21"/>
      <w:lang w:eastAsia="ja-JP" w:bidi="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hAnsi="Times New Roman Bold" w:cs="Times New Roman"/>
      <w:b/>
      <w:sz w:val="24"/>
      <w:szCs w:val="24"/>
      <w:lang w:val="sk-SK" w:eastAsia="ja-JP" w:bidi="fr-FR"/>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4"/>
      <w:lang w:val="sk-SK" w:eastAsia="ja-JP" w:bidi="fr-FR"/>
    </w:rPr>
  </w:style>
  <w:style w:type="character" w:customStyle="1" w:styleId="Heading3Char">
    <w:name w:val="Heading 3 Char"/>
    <w:basedOn w:val="DefaultParagraphFont"/>
    <w:link w:val="Heading3"/>
    <w:uiPriority w:val="9"/>
    <w:rPr>
      <w:rFonts w:ascii="Times New Roman" w:hAnsi="Times New Roman" w:cs="Times New Roman"/>
      <w:i/>
      <w:sz w:val="24"/>
      <w:szCs w:val="24"/>
      <w:lang w:val="sk-SK"/>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F81BD" w:themeColor="accent1"/>
      <w:spacing w:val="6"/>
      <w:lang w:val="sk-SK" w:eastAsia="ja-JP" w:bidi="fr-FR"/>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C0504D" w:themeColor="accent2"/>
      <w:spacing w:val="6"/>
      <w:lang w:val="sk-SK" w:eastAsia="ja-JP" w:bidi="fr-FR"/>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C0504D" w:themeColor="accent2"/>
      <w:spacing w:val="12"/>
      <w:lang w:val="sk-SK" w:eastAsia="ja-JP" w:bidi="fr-FR"/>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C0504D" w:themeColor="accent2"/>
      <w:lang w:val="sk-SK" w:eastAsia="ja-JP" w:bidi="fr-FR"/>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CF7B79" w:themeColor="accent2" w:themeTint="BF"/>
      <w:szCs w:val="21"/>
      <w:lang w:val="sk-SK" w:eastAsia="ja-JP" w:bidi="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CF7B79" w:themeColor="accent2" w:themeTint="BF"/>
      <w:szCs w:val="21"/>
      <w:lang w:val="sk-SK" w:eastAsia="ja-JP"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pPr>
      <w:spacing w:after="120" w:line="240" w:lineRule="auto"/>
      <w:ind w:left="360"/>
    </w:pPr>
    <w:rPr>
      <w:rFonts w:ascii="Tahoma" w:hAnsi="Tahoma"/>
      <w:sz w:val="28"/>
      <w:szCs w:val="20"/>
      <w:lang w:eastAsia="ja-JP" w:bidi="fr-FR"/>
    </w:rPr>
  </w:style>
  <w:style w:type="character" w:customStyle="1" w:styleId="CommentTextChar">
    <w:name w:val="Comment Text Char"/>
    <w:basedOn w:val="DefaultParagraphFont"/>
    <w:link w:val="CommentText"/>
    <w:uiPriority w:val="99"/>
    <w:rPr>
      <w:rFonts w:ascii="Tahoma" w:hAnsi="Tahoma" w:cs="Times New Roman"/>
      <w:sz w:val="28"/>
      <w:szCs w:val="20"/>
      <w:lang w:val="sk-SK" w:eastAsia="ja-JP" w:bidi="fr-F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200"/>
      <w:ind w:left="0"/>
    </w:pPr>
    <w:rPr>
      <w:b/>
      <w:bCs/>
      <w:lang w:eastAsia="en-US" w:bidi="ar-SA"/>
    </w:rPr>
  </w:style>
  <w:style w:type="character" w:customStyle="1" w:styleId="CommentSubjectChar">
    <w:name w:val="Comment Subject Char"/>
    <w:basedOn w:val="CommentTextChar"/>
    <w:link w:val="CommentSubject"/>
    <w:uiPriority w:val="99"/>
    <w:semiHidden/>
    <w:rPr>
      <w:rFonts w:ascii="Tahoma" w:hAnsi="Tahoma" w:cs="Times New Roman"/>
      <w:b/>
      <w:bCs/>
      <w:color w:val="4F81BD" w:themeColor="accent1"/>
      <w:sz w:val="20"/>
      <w:szCs w:val="20"/>
      <w:lang w:val="sk-SK" w:eastAsia="ja-JP" w:bidi="fr-FR"/>
    </w:rPr>
  </w:style>
  <w:style w:type="paragraph" w:styleId="FootnoteText">
    <w:name w:val="footnote text"/>
    <w:basedOn w:val="Normal"/>
    <w:uiPriority w:val="99"/>
    <w:unhideWhenUsed/>
    <w:pPr>
      <w:tabs>
        <w:tab w:val="left" w:pos="360"/>
      </w:tabs>
      <w:spacing w:after="0" w:line="240" w:lineRule="auto"/>
      <w:ind w:left="360" w:hanging="360"/>
    </w:pPr>
    <w:rPr>
      <w:sz w:val="20"/>
      <w:szCs w:val="20"/>
    </w:rPr>
  </w:style>
  <w:style w:type="character" w:customStyle="1" w:styleId="FootnoteTextChar">
    <w:name w:val="Footnote Text Char"/>
    <w:basedOn w:val="DefaultParagraphFont"/>
    <w:uiPriority w:val="99"/>
    <w:rPr>
      <w:rFonts w:ascii="Times New Roman" w:hAnsi="Times New Roman" w:cs="Times New Roman"/>
      <w:sz w:val="20"/>
      <w:szCs w:val="20"/>
      <w:lang w:val="sk-SK"/>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Text1">
    <w:name w:val="Text 1"/>
    <w:basedOn w:val="Normal"/>
    <w:pPr>
      <w:spacing w:before="120" w:after="120" w:line="240" w:lineRule="auto"/>
      <w:ind w:left="850"/>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PageNumber">
    <w:name w:val="page number"/>
    <w:basedOn w:val="DefaultParagraphFont"/>
    <w:uiPriority w:val="99"/>
    <w:semiHidden/>
    <w:unhideWhenUsed/>
  </w:style>
  <w:style w:type="paragraph" w:styleId="DocumentMap">
    <w:name w:val="Document Map"/>
    <w:basedOn w:val="Normal"/>
    <w:link w:val="DocumentMapChar"/>
    <w:uiPriority w:val="99"/>
    <w:semiHidden/>
    <w:unhideWhenUsed/>
    <w:pPr>
      <w:spacing w:after="0" w:line="240" w:lineRule="auto"/>
    </w:p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val="sk-SK"/>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SecurityMarking">
    <w:name w:val="SecurityMarking"/>
    <w:basedOn w:val="Normal"/>
    <w:pPr>
      <w:spacing w:after="0"/>
      <w:ind w:left="5103"/>
      <w:jc w:val="left"/>
    </w:pPr>
    <w:rPr>
      <w:sz w:val="28"/>
      <w:szCs w:val="22"/>
    </w:rPr>
  </w:style>
  <w:style w:type="paragraph" w:customStyle="1" w:styleId="DateMarking">
    <w:name w:val="DateMarking"/>
    <w:basedOn w:val="Normal"/>
    <w:pPr>
      <w:spacing w:after="0"/>
      <w:ind w:left="5103"/>
      <w:jc w:val="left"/>
    </w:pPr>
    <w:rPr>
      <w:i/>
      <w:sz w:val="28"/>
      <w:szCs w:val="22"/>
    </w:rPr>
  </w:style>
  <w:style w:type="paragraph" w:customStyle="1" w:styleId="ReleasableTo">
    <w:name w:val="ReleasableTo"/>
    <w:basedOn w:val="Normal"/>
    <w:pPr>
      <w:spacing w:after="0"/>
      <w:ind w:left="5103"/>
      <w:jc w:val="left"/>
    </w:pPr>
    <w:rPr>
      <w:i/>
      <w:sz w:val="28"/>
      <w:szCs w:val="22"/>
    </w:rPr>
  </w:style>
  <w:style w:type="paragraph" w:customStyle="1" w:styleId="HeaderSensitivityRight">
    <w:name w:val="Header Sensitivity Right"/>
    <w:basedOn w:val="Normal"/>
    <w:pPr>
      <w:spacing w:after="120" w:line="240" w:lineRule="auto"/>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5926">
      <w:bodyDiv w:val="1"/>
      <w:marLeft w:val="0"/>
      <w:marRight w:val="0"/>
      <w:marTop w:val="0"/>
      <w:marBottom w:val="0"/>
      <w:divBdr>
        <w:top w:val="none" w:sz="0" w:space="0" w:color="auto"/>
        <w:left w:val="none" w:sz="0" w:space="0" w:color="auto"/>
        <w:bottom w:val="none" w:sz="0" w:space="0" w:color="auto"/>
        <w:right w:val="none" w:sz="0" w:space="0" w:color="auto"/>
      </w:divBdr>
    </w:div>
    <w:div w:id="77486806">
      <w:bodyDiv w:val="1"/>
      <w:marLeft w:val="0"/>
      <w:marRight w:val="0"/>
      <w:marTop w:val="0"/>
      <w:marBottom w:val="0"/>
      <w:divBdr>
        <w:top w:val="none" w:sz="0" w:space="0" w:color="auto"/>
        <w:left w:val="none" w:sz="0" w:space="0" w:color="auto"/>
        <w:bottom w:val="none" w:sz="0" w:space="0" w:color="auto"/>
        <w:right w:val="none" w:sz="0" w:space="0" w:color="auto"/>
      </w:divBdr>
    </w:div>
    <w:div w:id="181819542">
      <w:bodyDiv w:val="1"/>
      <w:marLeft w:val="0"/>
      <w:marRight w:val="0"/>
      <w:marTop w:val="0"/>
      <w:marBottom w:val="0"/>
      <w:divBdr>
        <w:top w:val="none" w:sz="0" w:space="0" w:color="auto"/>
        <w:left w:val="none" w:sz="0" w:space="0" w:color="auto"/>
        <w:bottom w:val="none" w:sz="0" w:space="0" w:color="auto"/>
        <w:right w:val="none" w:sz="0" w:space="0" w:color="auto"/>
      </w:divBdr>
    </w:div>
    <w:div w:id="224804641">
      <w:bodyDiv w:val="1"/>
      <w:marLeft w:val="0"/>
      <w:marRight w:val="0"/>
      <w:marTop w:val="0"/>
      <w:marBottom w:val="0"/>
      <w:divBdr>
        <w:top w:val="none" w:sz="0" w:space="0" w:color="auto"/>
        <w:left w:val="none" w:sz="0" w:space="0" w:color="auto"/>
        <w:bottom w:val="none" w:sz="0" w:space="0" w:color="auto"/>
        <w:right w:val="none" w:sz="0" w:space="0" w:color="auto"/>
      </w:divBdr>
    </w:div>
    <w:div w:id="284847972">
      <w:bodyDiv w:val="1"/>
      <w:marLeft w:val="0"/>
      <w:marRight w:val="0"/>
      <w:marTop w:val="0"/>
      <w:marBottom w:val="0"/>
      <w:divBdr>
        <w:top w:val="none" w:sz="0" w:space="0" w:color="auto"/>
        <w:left w:val="none" w:sz="0" w:space="0" w:color="auto"/>
        <w:bottom w:val="none" w:sz="0" w:space="0" w:color="auto"/>
        <w:right w:val="none" w:sz="0" w:space="0" w:color="auto"/>
      </w:divBdr>
    </w:div>
    <w:div w:id="294722850">
      <w:bodyDiv w:val="1"/>
      <w:marLeft w:val="0"/>
      <w:marRight w:val="0"/>
      <w:marTop w:val="0"/>
      <w:marBottom w:val="0"/>
      <w:divBdr>
        <w:top w:val="none" w:sz="0" w:space="0" w:color="auto"/>
        <w:left w:val="none" w:sz="0" w:space="0" w:color="auto"/>
        <w:bottom w:val="none" w:sz="0" w:space="0" w:color="auto"/>
        <w:right w:val="none" w:sz="0" w:space="0" w:color="auto"/>
      </w:divBdr>
    </w:div>
    <w:div w:id="304050617">
      <w:bodyDiv w:val="1"/>
      <w:marLeft w:val="0"/>
      <w:marRight w:val="0"/>
      <w:marTop w:val="0"/>
      <w:marBottom w:val="0"/>
      <w:divBdr>
        <w:top w:val="none" w:sz="0" w:space="0" w:color="auto"/>
        <w:left w:val="none" w:sz="0" w:space="0" w:color="auto"/>
        <w:bottom w:val="none" w:sz="0" w:space="0" w:color="auto"/>
        <w:right w:val="none" w:sz="0" w:space="0" w:color="auto"/>
      </w:divBdr>
    </w:div>
    <w:div w:id="427702114">
      <w:bodyDiv w:val="1"/>
      <w:marLeft w:val="0"/>
      <w:marRight w:val="0"/>
      <w:marTop w:val="0"/>
      <w:marBottom w:val="0"/>
      <w:divBdr>
        <w:top w:val="none" w:sz="0" w:space="0" w:color="auto"/>
        <w:left w:val="none" w:sz="0" w:space="0" w:color="auto"/>
        <w:bottom w:val="none" w:sz="0" w:space="0" w:color="auto"/>
        <w:right w:val="none" w:sz="0" w:space="0" w:color="auto"/>
      </w:divBdr>
    </w:div>
    <w:div w:id="441151104">
      <w:bodyDiv w:val="1"/>
      <w:marLeft w:val="0"/>
      <w:marRight w:val="0"/>
      <w:marTop w:val="0"/>
      <w:marBottom w:val="0"/>
      <w:divBdr>
        <w:top w:val="none" w:sz="0" w:space="0" w:color="auto"/>
        <w:left w:val="none" w:sz="0" w:space="0" w:color="auto"/>
        <w:bottom w:val="none" w:sz="0" w:space="0" w:color="auto"/>
        <w:right w:val="none" w:sz="0" w:space="0" w:color="auto"/>
      </w:divBdr>
    </w:div>
    <w:div w:id="441848014">
      <w:bodyDiv w:val="1"/>
      <w:marLeft w:val="0"/>
      <w:marRight w:val="0"/>
      <w:marTop w:val="0"/>
      <w:marBottom w:val="0"/>
      <w:divBdr>
        <w:top w:val="none" w:sz="0" w:space="0" w:color="auto"/>
        <w:left w:val="none" w:sz="0" w:space="0" w:color="auto"/>
        <w:bottom w:val="none" w:sz="0" w:space="0" w:color="auto"/>
        <w:right w:val="none" w:sz="0" w:space="0" w:color="auto"/>
      </w:divBdr>
    </w:div>
    <w:div w:id="565533955">
      <w:bodyDiv w:val="1"/>
      <w:marLeft w:val="0"/>
      <w:marRight w:val="0"/>
      <w:marTop w:val="0"/>
      <w:marBottom w:val="0"/>
      <w:divBdr>
        <w:top w:val="none" w:sz="0" w:space="0" w:color="auto"/>
        <w:left w:val="none" w:sz="0" w:space="0" w:color="auto"/>
        <w:bottom w:val="none" w:sz="0" w:space="0" w:color="auto"/>
        <w:right w:val="none" w:sz="0" w:space="0" w:color="auto"/>
      </w:divBdr>
    </w:div>
    <w:div w:id="590048860">
      <w:bodyDiv w:val="1"/>
      <w:marLeft w:val="0"/>
      <w:marRight w:val="0"/>
      <w:marTop w:val="0"/>
      <w:marBottom w:val="0"/>
      <w:divBdr>
        <w:top w:val="none" w:sz="0" w:space="0" w:color="auto"/>
        <w:left w:val="none" w:sz="0" w:space="0" w:color="auto"/>
        <w:bottom w:val="none" w:sz="0" w:space="0" w:color="auto"/>
        <w:right w:val="none" w:sz="0" w:space="0" w:color="auto"/>
      </w:divBdr>
    </w:div>
    <w:div w:id="593365813">
      <w:bodyDiv w:val="1"/>
      <w:marLeft w:val="0"/>
      <w:marRight w:val="0"/>
      <w:marTop w:val="0"/>
      <w:marBottom w:val="0"/>
      <w:divBdr>
        <w:top w:val="none" w:sz="0" w:space="0" w:color="auto"/>
        <w:left w:val="none" w:sz="0" w:space="0" w:color="auto"/>
        <w:bottom w:val="none" w:sz="0" w:space="0" w:color="auto"/>
        <w:right w:val="none" w:sz="0" w:space="0" w:color="auto"/>
      </w:divBdr>
    </w:div>
    <w:div w:id="681931973">
      <w:bodyDiv w:val="1"/>
      <w:marLeft w:val="0"/>
      <w:marRight w:val="0"/>
      <w:marTop w:val="0"/>
      <w:marBottom w:val="0"/>
      <w:divBdr>
        <w:top w:val="none" w:sz="0" w:space="0" w:color="auto"/>
        <w:left w:val="none" w:sz="0" w:space="0" w:color="auto"/>
        <w:bottom w:val="none" w:sz="0" w:space="0" w:color="auto"/>
        <w:right w:val="none" w:sz="0" w:space="0" w:color="auto"/>
      </w:divBdr>
    </w:div>
    <w:div w:id="768309892">
      <w:bodyDiv w:val="1"/>
      <w:marLeft w:val="0"/>
      <w:marRight w:val="0"/>
      <w:marTop w:val="0"/>
      <w:marBottom w:val="0"/>
      <w:divBdr>
        <w:top w:val="none" w:sz="0" w:space="0" w:color="auto"/>
        <w:left w:val="none" w:sz="0" w:space="0" w:color="auto"/>
        <w:bottom w:val="none" w:sz="0" w:space="0" w:color="auto"/>
        <w:right w:val="none" w:sz="0" w:space="0" w:color="auto"/>
      </w:divBdr>
    </w:div>
    <w:div w:id="788092185">
      <w:bodyDiv w:val="1"/>
      <w:marLeft w:val="0"/>
      <w:marRight w:val="0"/>
      <w:marTop w:val="0"/>
      <w:marBottom w:val="0"/>
      <w:divBdr>
        <w:top w:val="none" w:sz="0" w:space="0" w:color="auto"/>
        <w:left w:val="none" w:sz="0" w:space="0" w:color="auto"/>
        <w:bottom w:val="none" w:sz="0" w:space="0" w:color="auto"/>
        <w:right w:val="none" w:sz="0" w:space="0" w:color="auto"/>
      </w:divBdr>
    </w:div>
    <w:div w:id="793519351">
      <w:bodyDiv w:val="1"/>
      <w:marLeft w:val="0"/>
      <w:marRight w:val="0"/>
      <w:marTop w:val="0"/>
      <w:marBottom w:val="0"/>
      <w:divBdr>
        <w:top w:val="none" w:sz="0" w:space="0" w:color="auto"/>
        <w:left w:val="none" w:sz="0" w:space="0" w:color="auto"/>
        <w:bottom w:val="none" w:sz="0" w:space="0" w:color="auto"/>
        <w:right w:val="none" w:sz="0" w:space="0" w:color="auto"/>
      </w:divBdr>
    </w:div>
    <w:div w:id="802772944">
      <w:bodyDiv w:val="1"/>
      <w:marLeft w:val="0"/>
      <w:marRight w:val="0"/>
      <w:marTop w:val="0"/>
      <w:marBottom w:val="0"/>
      <w:divBdr>
        <w:top w:val="none" w:sz="0" w:space="0" w:color="auto"/>
        <w:left w:val="none" w:sz="0" w:space="0" w:color="auto"/>
        <w:bottom w:val="none" w:sz="0" w:space="0" w:color="auto"/>
        <w:right w:val="none" w:sz="0" w:space="0" w:color="auto"/>
      </w:divBdr>
    </w:div>
    <w:div w:id="808673659">
      <w:bodyDiv w:val="1"/>
      <w:marLeft w:val="0"/>
      <w:marRight w:val="0"/>
      <w:marTop w:val="0"/>
      <w:marBottom w:val="0"/>
      <w:divBdr>
        <w:top w:val="none" w:sz="0" w:space="0" w:color="auto"/>
        <w:left w:val="none" w:sz="0" w:space="0" w:color="auto"/>
        <w:bottom w:val="none" w:sz="0" w:space="0" w:color="auto"/>
        <w:right w:val="none" w:sz="0" w:space="0" w:color="auto"/>
      </w:divBdr>
    </w:div>
    <w:div w:id="810096725">
      <w:bodyDiv w:val="1"/>
      <w:marLeft w:val="0"/>
      <w:marRight w:val="0"/>
      <w:marTop w:val="0"/>
      <w:marBottom w:val="0"/>
      <w:divBdr>
        <w:top w:val="none" w:sz="0" w:space="0" w:color="auto"/>
        <w:left w:val="none" w:sz="0" w:space="0" w:color="auto"/>
        <w:bottom w:val="none" w:sz="0" w:space="0" w:color="auto"/>
        <w:right w:val="none" w:sz="0" w:space="0" w:color="auto"/>
      </w:divBdr>
      <w:divsChild>
        <w:div w:id="173357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0278">
      <w:bodyDiv w:val="1"/>
      <w:marLeft w:val="0"/>
      <w:marRight w:val="0"/>
      <w:marTop w:val="0"/>
      <w:marBottom w:val="0"/>
      <w:divBdr>
        <w:top w:val="none" w:sz="0" w:space="0" w:color="auto"/>
        <w:left w:val="none" w:sz="0" w:space="0" w:color="auto"/>
        <w:bottom w:val="none" w:sz="0" w:space="0" w:color="auto"/>
        <w:right w:val="none" w:sz="0" w:space="0" w:color="auto"/>
      </w:divBdr>
    </w:div>
    <w:div w:id="890726130">
      <w:bodyDiv w:val="1"/>
      <w:marLeft w:val="0"/>
      <w:marRight w:val="0"/>
      <w:marTop w:val="0"/>
      <w:marBottom w:val="0"/>
      <w:divBdr>
        <w:top w:val="none" w:sz="0" w:space="0" w:color="auto"/>
        <w:left w:val="none" w:sz="0" w:space="0" w:color="auto"/>
        <w:bottom w:val="none" w:sz="0" w:space="0" w:color="auto"/>
        <w:right w:val="none" w:sz="0" w:space="0" w:color="auto"/>
      </w:divBdr>
    </w:div>
    <w:div w:id="1132360697">
      <w:bodyDiv w:val="1"/>
      <w:marLeft w:val="0"/>
      <w:marRight w:val="0"/>
      <w:marTop w:val="0"/>
      <w:marBottom w:val="0"/>
      <w:divBdr>
        <w:top w:val="none" w:sz="0" w:space="0" w:color="auto"/>
        <w:left w:val="none" w:sz="0" w:space="0" w:color="auto"/>
        <w:bottom w:val="none" w:sz="0" w:space="0" w:color="auto"/>
        <w:right w:val="none" w:sz="0" w:space="0" w:color="auto"/>
      </w:divBdr>
    </w:div>
    <w:div w:id="1165825034">
      <w:bodyDiv w:val="1"/>
      <w:marLeft w:val="0"/>
      <w:marRight w:val="0"/>
      <w:marTop w:val="0"/>
      <w:marBottom w:val="0"/>
      <w:divBdr>
        <w:top w:val="none" w:sz="0" w:space="0" w:color="auto"/>
        <w:left w:val="none" w:sz="0" w:space="0" w:color="auto"/>
        <w:bottom w:val="none" w:sz="0" w:space="0" w:color="auto"/>
        <w:right w:val="none" w:sz="0" w:space="0" w:color="auto"/>
      </w:divBdr>
    </w:div>
    <w:div w:id="1169753414">
      <w:bodyDiv w:val="1"/>
      <w:marLeft w:val="0"/>
      <w:marRight w:val="0"/>
      <w:marTop w:val="0"/>
      <w:marBottom w:val="0"/>
      <w:divBdr>
        <w:top w:val="none" w:sz="0" w:space="0" w:color="auto"/>
        <w:left w:val="none" w:sz="0" w:space="0" w:color="auto"/>
        <w:bottom w:val="none" w:sz="0" w:space="0" w:color="auto"/>
        <w:right w:val="none" w:sz="0" w:space="0" w:color="auto"/>
      </w:divBdr>
    </w:div>
    <w:div w:id="1175152288">
      <w:bodyDiv w:val="1"/>
      <w:marLeft w:val="0"/>
      <w:marRight w:val="0"/>
      <w:marTop w:val="0"/>
      <w:marBottom w:val="0"/>
      <w:divBdr>
        <w:top w:val="none" w:sz="0" w:space="0" w:color="auto"/>
        <w:left w:val="none" w:sz="0" w:space="0" w:color="auto"/>
        <w:bottom w:val="none" w:sz="0" w:space="0" w:color="auto"/>
        <w:right w:val="none" w:sz="0" w:space="0" w:color="auto"/>
      </w:divBdr>
    </w:div>
    <w:div w:id="1181435766">
      <w:bodyDiv w:val="1"/>
      <w:marLeft w:val="0"/>
      <w:marRight w:val="0"/>
      <w:marTop w:val="0"/>
      <w:marBottom w:val="0"/>
      <w:divBdr>
        <w:top w:val="none" w:sz="0" w:space="0" w:color="auto"/>
        <w:left w:val="none" w:sz="0" w:space="0" w:color="auto"/>
        <w:bottom w:val="none" w:sz="0" w:space="0" w:color="auto"/>
        <w:right w:val="none" w:sz="0" w:space="0" w:color="auto"/>
      </w:divBdr>
      <w:divsChild>
        <w:div w:id="283195134">
          <w:marLeft w:val="0"/>
          <w:marRight w:val="0"/>
          <w:marTop w:val="0"/>
          <w:marBottom w:val="0"/>
          <w:divBdr>
            <w:top w:val="none" w:sz="0" w:space="0" w:color="auto"/>
            <w:left w:val="single" w:sz="6" w:space="15" w:color="B4B4B4"/>
            <w:bottom w:val="single" w:sz="6" w:space="0" w:color="B4B4B4"/>
            <w:right w:val="single" w:sz="6" w:space="15" w:color="B4B4B4"/>
          </w:divBdr>
          <w:divsChild>
            <w:div w:id="1598753213">
              <w:marLeft w:val="0"/>
              <w:marRight w:val="0"/>
              <w:marTop w:val="0"/>
              <w:marBottom w:val="0"/>
              <w:divBdr>
                <w:top w:val="none" w:sz="0" w:space="0" w:color="auto"/>
                <w:left w:val="none" w:sz="0" w:space="0" w:color="auto"/>
                <w:bottom w:val="none" w:sz="0" w:space="0" w:color="auto"/>
                <w:right w:val="none" w:sz="0" w:space="0" w:color="auto"/>
              </w:divBdr>
              <w:divsChild>
                <w:div w:id="931158582">
                  <w:marLeft w:val="0"/>
                  <w:marRight w:val="0"/>
                  <w:marTop w:val="0"/>
                  <w:marBottom w:val="0"/>
                  <w:divBdr>
                    <w:top w:val="none" w:sz="0" w:space="0" w:color="auto"/>
                    <w:left w:val="none" w:sz="0" w:space="0" w:color="auto"/>
                    <w:bottom w:val="none" w:sz="0" w:space="0" w:color="auto"/>
                    <w:right w:val="none" w:sz="0" w:space="0" w:color="auto"/>
                  </w:divBdr>
                  <w:divsChild>
                    <w:div w:id="1560241617">
                      <w:marLeft w:val="-300"/>
                      <w:marRight w:val="0"/>
                      <w:marTop w:val="0"/>
                      <w:marBottom w:val="0"/>
                      <w:divBdr>
                        <w:top w:val="none" w:sz="0" w:space="0" w:color="auto"/>
                        <w:left w:val="none" w:sz="0" w:space="0" w:color="auto"/>
                        <w:bottom w:val="none" w:sz="0" w:space="0" w:color="auto"/>
                        <w:right w:val="none" w:sz="0" w:space="0" w:color="auto"/>
                      </w:divBdr>
                      <w:divsChild>
                        <w:div w:id="426275200">
                          <w:marLeft w:val="0"/>
                          <w:marRight w:val="0"/>
                          <w:marTop w:val="0"/>
                          <w:marBottom w:val="0"/>
                          <w:divBdr>
                            <w:top w:val="none" w:sz="0" w:space="0" w:color="auto"/>
                            <w:left w:val="none" w:sz="0" w:space="0" w:color="auto"/>
                            <w:bottom w:val="none" w:sz="0" w:space="0" w:color="auto"/>
                            <w:right w:val="none" w:sz="0" w:space="0" w:color="auto"/>
                          </w:divBdr>
                          <w:divsChild>
                            <w:div w:id="1359501516">
                              <w:marLeft w:val="-300"/>
                              <w:marRight w:val="0"/>
                              <w:marTop w:val="0"/>
                              <w:marBottom w:val="0"/>
                              <w:divBdr>
                                <w:top w:val="none" w:sz="0" w:space="0" w:color="auto"/>
                                <w:left w:val="none" w:sz="0" w:space="0" w:color="auto"/>
                                <w:bottom w:val="none" w:sz="0" w:space="0" w:color="auto"/>
                                <w:right w:val="none" w:sz="0" w:space="0" w:color="auto"/>
                              </w:divBdr>
                              <w:divsChild>
                                <w:div w:id="1642272898">
                                  <w:marLeft w:val="0"/>
                                  <w:marRight w:val="0"/>
                                  <w:marTop w:val="0"/>
                                  <w:marBottom w:val="0"/>
                                  <w:divBdr>
                                    <w:top w:val="none" w:sz="0" w:space="0" w:color="auto"/>
                                    <w:left w:val="none" w:sz="0" w:space="0" w:color="auto"/>
                                    <w:bottom w:val="none" w:sz="0" w:space="0" w:color="auto"/>
                                    <w:right w:val="none" w:sz="0" w:space="0" w:color="auto"/>
                                  </w:divBdr>
                                  <w:divsChild>
                                    <w:div w:id="1870024986">
                                      <w:marLeft w:val="0"/>
                                      <w:marRight w:val="0"/>
                                      <w:marTop w:val="0"/>
                                      <w:marBottom w:val="0"/>
                                      <w:divBdr>
                                        <w:top w:val="none" w:sz="0" w:space="0" w:color="auto"/>
                                        <w:left w:val="none" w:sz="0" w:space="0" w:color="auto"/>
                                        <w:bottom w:val="none" w:sz="0" w:space="0" w:color="auto"/>
                                        <w:right w:val="none" w:sz="0" w:space="0" w:color="auto"/>
                                      </w:divBdr>
                                      <w:divsChild>
                                        <w:div w:id="58359496">
                                          <w:marLeft w:val="-270"/>
                                          <w:marRight w:val="0"/>
                                          <w:marTop w:val="0"/>
                                          <w:marBottom w:val="0"/>
                                          <w:divBdr>
                                            <w:top w:val="none" w:sz="0" w:space="0" w:color="auto"/>
                                            <w:left w:val="none" w:sz="0" w:space="0" w:color="auto"/>
                                            <w:bottom w:val="none" w:sz="0" w:space="0" w:color="auto"/>
                                            <w:right w:val="none" w:sz="0" w:space="0" w:color="auto"/>
                                          </w:divBdr>
                                          <w:divsChild>
                                            <w:div w:id="1595942548">
                                              <w:marLeft w:val="0"/>
                                              <w:marRight w:val="0"/>
                                              <w:marTop w:val="0"/>
                                              <w:marBottom w:val="0"/>
                                              <w:divBdr>
                                                <w:top w:val="none" w:sz="0" w:space="0" w:color="auto"/>
                                                <w:left w:val="none" w:sz="0" w:space="0" w:color="auto"/>
                                                <w:bottom w:val="none" w:sz="0" w:space="0" w:color="auto"/>
                                                <w:right w:val="none" w:sz="0" w:space="0" w:color="auto"/>
                                              </w:divBdr>
                                              <w:divsChild>
                                                <w:div w:id="669672691">
                                                  <w:marLeft w:val="0"/>
                                                  <w:marRight w:val="0"/>
                                                  <w:marTop w:val="0"/>
                                                  <w:marBottom w:val="0"/>
                                                  <w:divBdr>
                                                    <w:top w:val="none" w:sz="0" w:space="0" w:color="auto"/>
                                                    <w:left w:val="none" w:sz="0" w:space="0" w:color="auto"/>
                                                    <w:bottom w:val="none" w:sz="0" w:space="0" w:color="auto"/>
                                                    <w:right w:val="none" w:sz="0" w:space="0" w:color="auto"/>
                                                  </w:divBdr>
                                                  <w:divsChild>
                                                    <w:div w:id="18210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84280">
      <w:bodyDiv w:val="1"/>
      <w:marLeft w:val="0"/>
      <w:marRight w:val="0"/>
      <w:marTop w:val="0"/>
      <w:marBottom w:val="0"/>
      <w:divBdr>
        <w:top w:val="none" w:sz="0" w:space="0" w:color="auto"/>
        <w:left w:val="none" w:sz="0" w:space="0" w:color="auto"/>
        <w:bottom w:val="none" w:sz="0" w:space="0" w:color="auto"/>
        <w:right w:val="none" w:sz="0" w:space="0" w:color="auto"/>
      </w:divBdr>
    </w:div>
    <w:div w:id="1299185952">
      <w:bodyDiv w:val="1"/>
      <w:marLeft w:val="0"/>
      <w:marRight w:val="0"/>
      <w:marTop w:val="0"/>
      <w:marBottom w:val="0"/>
      <w:divBdr>
        <w:top w:val="none" w:sz="0" w:space="0" w:color="auto"/>
        <w:left w:val="none" w:sz="0" w:space="0" w:color="auto"/>
        <w:bottom w:val="none" w:sz="0" w:space="0" w:color="auto"/>
        <w:right w:val="none" w:sz="0" w:space="0" w:color="auto"/>
      </w:divBdr>
    </w:div>
    <w:div w:id="1364592355">
      <w:bodyDiv w:val="1"/>
      <w:marLeft w:val="0"/>
      <w:marRight w:val="0"/>
      <w:marTop w:val="0"/>
      <w:marBottom w:val="0"/>
      <w:divBdr>
        <w:top w:val="none" w:sz="0" w:space="0" w:color="auto"/>
        <w:left w:val="none" w:sz="0" w:space="0" w:color="auto"/>
        <w:bottom w:val="none" w:sz="0" w:space="0" w:color="auto"/>
        <w:right w:val="none" w:sz="0" w:space="0" w:color="auto"/>
      </w:divBdr>
    </w:div>
    <w:div w:id="1429618514">
      <w:bodyDiv w:val="1"/>
      <w:marLeft w:val="0"/>
      <w:marRight w:val="0"/>
      <w:marTop w:val="0"/>
      <w:marBottom w:val="0"/>
      <w:divBdr>
        <w:top w:val="none" w:sz="0" w:space="0" w:color="auto"/>
        <w:left w:val="none" w:sz="0" w:space="0" w:color="auto"/>
        <w:bottom w:val="none" w:sz="0" w:space="0" w:color="auto"/>
        <w:right w:val="none" w:sz="0" w:space="0" w:color="auto"/>
      </w:divBdr>
    </w:div>
    <w:div w:id="1430082539">
      <w:bodyDiv w:val="1"/>
      <w:marLeft w:val="0"/>
      <w:marRight w:val="0"/>
      <w:marTop w:val="0"/>
      <w:marBottom w:val="0"/>
      <w:divBdr>
        <w:top w:val="none" w:sz="0" w:space="0" w:color="auto"/>
        <w:left w:val="none" w:sz="0" w:space="0" w:color="auto"/>
        <w:bottom w:val="none" w:sz="0" w:space="0" w:color="auto"/>
        <w:right w:val="none" w:sz="0" w:space="0" w:color="auto"/>
      </w:divBdr>
    </w:div>
    <w:div w:id="1446345249">
      <w:bodyDiv w:val="1"/>
      <w:marLeft w:val="0"/>
      <w:marRight w:val="0"/>
      <w:marTop w:val="0"/>
      <w:marBottom w:val="0"/>
      <w:divBdr>
        <w:top w:val="none" w:sz="0" w:space="0" w:color="auto"/>
        <w:left w:val="none" w:sz="0" w:space="0" w:color="auto"/>
        <w:bottom w:val="none" w:sz="0" w:space="0" w:color="auto"/>
        <w:right w:val="none" w:sz="0" w:space="0" w:color="auto"/>
      </w:divBdr>
    </w:div>
    <w:div w:id="1452280216">
      <w:bodyDiv w:val="1"/>
      <w:marLeft w:val="0"/>
      <w:marRight w:val="0"/>
      <w:marTop w:val="0"/>
      <w:marBottom w:val="0"/>
      <w:divBdr>
        <w:top w:val="none" w:sz="0" w:space="0" w:color="auto"/>
        <w:left w:val="none" w:sz="0" w:space="0" w:color="auto"/>
        <w:bottom w:val="none" w:sz="0" w:space="0" w:color="auto"/>
        <w:right w:val="none" w:sz="0" w:space="0" w:color="auto"/>
      </w:divBdr>
    </w:div>
    <w:div w:id="1456173047">
      <w:bodyDiv w:val="1"/>
      <w:marLeft w:val="0"/>
      <w:marRight w:val="0"/>
      <w:marTop w:val="0"/>
      <w:marBottom w:val="0"/>
      <w:divBdr>
        <w:top w:val="none" w:sz="0" w:space="0" w:color="auto"/>
        <w:left w:val="none" w:sz="0" w:space="0" w:color="auto"/>
        <w:bottom w:val="none" w:sz="0" w:space="0" w:color="auto"/>
        <w:right w:val="none" w:sz="0" w:space="0" w:color="auto"/>
      </w:divBdr>
    </w:div>
    <w:div w:id="1577323977">
      <w:bodyDiv w:val="1"/>
      <w:marLeft w:val="0"/>
      <w:marRight w:val="0"/>
      <w:marTop w:val="0"/>
      <w:marBottom w:val="0"/>
      <w:divBdr>
        <w:top w:val="none" w:sz="0" w:space="0" w:color="auto"/>
        <w:left w:val="none" w:sz="0" w:space="0" w:color="auto"/>
        <w:bottom w:val="none" w:sz="0" w:space="0" w:color="auto"/>
        <w:right w:val="none" w:sz="0" w:space="0" w:color="auto"/>
      </w:divBdr>
    </w:div>
    <w:div w:id="1582908772">
      <w:bodyDiv w:val="1"/>
      <w:marLeft w:val="0"/>
      <w:marRight w:val="0"/>
      <w:marTop w:val="0"/>
      <w:marBottom w:val="0"/>
      <w:divBdr>
        <w:top w:val="none" w:sz="0" w:space="0" w:color="auto"/>
        <w:left w:val="none" w:sz="0" w:space="0" w:color="auto"/>
        <w:bottom w:val="none" w:sz="0" w:space="0" w:color="auto"/>
        <w:right w:val="none" w:sz="0" w:space="0" w:color="auto"/>
      </w:divBdr>
    </w:div>
    <w:div w:id="1634558188">
      <w:bodyDiv w:val="1"/>
      <w:marLeft w:val="0"/>
      <w:marRight w:val="0"/>
      <w:marTop w:val="0"/>
      <w:marBottom w:val="0"/>
      <w:divBdr>
        <w:top w:val="none" w:sz="0" w:space="0" w:color="auto"/>
        <w:left w:val="none" w:sz="0" w:space="0" w:color="auto"/>
        <w:bottom w:val="none" w:sz="0" w:space="0" w:color="auto"/>
        <w:right w:val="none" w:sz="0" w:space="0" w:color="auto"/>
      </w:divBdr>
    </w:div>
    <w:div w:id="1646199186">
      <w:bodyDiv w:val="1"/>
      <w:marLeft w:val="0"/>
      <w:marRight w:val="0"/>
      <w:marTop w:val="0"/>
      <w:marBottom w:val="0"/>
      <w:divBdr>
        <w:top w:val="none" w:sz="0" w:space="0" w:color="auto"/>
        <w:left w:val="none" w:sz="0" w:space="0" w:color="auto"/>
        <w:bottom w:val="none" w:sz="0" w:space="0" w:color="auto"/>
        <w:right w:val="none" w:sz="0" w:space="0" w:color="auto"/>
      </w:divBdr>
    </w:div>
    <w:div w:id="1692146516">
      <w:bodyDiv w:val="1"/>
      <w:marLeft w:val="0"/>
      <w:marRight w:val="0"/>
      <w:marTop w:val="0"/>
      <w:marBottom w:val="0"/>
      <w:divBdr>
        <w:top w:val="none" w:sz="0" w:space="0" w:color="auto"/>
        <w:left w:val="none" w:sz="0" w:space="0" w:color="auto"/>
        <w:bottom w:val="none" w:sz="0" w:space="0" w:color="auto"/>
        <w:right w:val="none" w:sz="0" w:space="0" w:color="auto"/>
      </w:divBdr>
    </w:div>
    <w:div w:id="1750425381">
      <w:bodyDiv w:val="1"/>
      <w:marLeft w:val="0"/>
      <w:marRight w:val="0"/>
      <w:marTop w:val="0"/>
      <w:marBottom w:val="0"/>
      <w:divBdr>
        <w:top w:val="none" w:sz="0" w:space="0" w:color="auto"/>
        <w:left w:val="none" w:sz="0" w:space="0" w:color="auto"/>
        <w:bottom w:val="none" w:sz="0" w:space="0" w:color="auto"/>
        <w:right w:val="none" w:sz="0" w:space="0" w:color="auto"/>
      </w:divBdr>
    </w:div>
    <w:div w:id="1764448930">
      <w:bodyDiv w:val="1"/>
      <w:marLeft w:val="0"/>
      <w:marRight w:val="0"/>
      <w:marTop w:val="0"/>
      <w:marBottom w:val="0"/>
      <w:divBdr>
        <w:top w:val="none" w:sz="0" w:space="0" w:color="auto"/>
        <w:left w:val="none" w:sz="0" w:space="0" w:color="auto"/>
        <w:bottom w:val="none" w:sz="0" w:space="0" w:color="auto"/>
        <w:right w:val="none" w:sz="0" w:space="0" w:color="auto"/>
      </w:divBdr>
    </w:div>
    <w:div w:id="1808552065">
      <w:bodyDiv w:val="1"/>
      <w:marLeft w:val="0"/>
      <w:marRight w:val="0"/>
      <w:marTop w:val="0"/>
      <w:marBottom w:val="0"/>
      <w:divBdr>
        <w:top w:val="none" w:sz="0" w:space="0" w:color="auto"/>
        <w:left w:val="none" w:sz="0" w:space="0" w:color="auto"/>
        <w:bottom w:val="none" w:sz="0" w:space="0" w:color="auto"/>
        <w:right w:val="none" w:sz="0" w:space="0" w:color="auto"/>
      </w:divBdr>
    </w:div>
    <w:div w:id="1819882094">
      <w:bodyDiv w:val="1"/>
      <w:marLeft w:val="0"/>
      <w:marRight w:val="0"/>
      <w:marTop w:val="0"/>
      <w:marBottom w:val="0"/>
      <w:divBdr>
        <w:top w:val="none" w:sz="0" w:space="0" w:color="auto"/>
        <w:left w:val="none" w:sz="0" w:space="0" w:color="auto"/>
        <w:bottom w:val="none" w:sz="0" w:space="0" w:color="auto"/>
        <w:right w:val="none" w:sz="0" w:space="0" w:color="auto"/>
      </w:divBdr>
    </w:div>
    <w:div w:id="1857579870">
      <w:bodyDiv w:val="1"/>
      <w:marLeft w:val="0"/>
      <w:marRight w:val="0"/>
      <w:marTop w:val="0"/>
      <w:marBottom w:val="0"/>
      <w:divBdr>
        <w:top w:val="none" w:sz="0" w:space="0" w:color="auto"/>
        <w:left w:val="none" w:sz="0" w:space="0" w:color="auto"/>
        <w:bottom w:val="none" w:sz="0" w:space="0" w:color="auto"/>
        <w:right w:val="none" w:sz="0" w:space="0" w:color="auto"/>
      </w:divBdr>
    </w:div>
    <w:div w:id="2063861987">
      <w:bodyDiv w:val="1"/>
      <w:marLeft w:val="0"/>
      <w:marRight w:val="0"/>
      <w:marTop w:val="0"/>
      <w:marBottom w:val="0"/>
      <w:divBdr>
        <w:top w:val="none" w:sz="0" w:space="0" w:color="auto"/>
        <w:left w:val="none" w:sz="0" w:space="0" w:color="auto"/>
        <w:bottom w:val="none" w:sz="0" w:space="0" w:color="auto"/>
        <w:right w:val="none" w:sz="0" w:space="0" w:color="auto"/>
      </w:divBdr>
    </w:div>
    <w:div w:id="21362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K/TXT/?uri=celex:31995L0046" TargetMode="External"/><Relationship Id="rId13" Type="http://schemas.openxmlformats.org/officeDocument/2006/relationships/hyperlink" Target="https://ec.europa.eu/info/funding-tenders/opportunities/portal/screen/opportunities/topic-details/rec-rdat-trai-ag-2017" TargetMode="External"/><Relationship Id="rId18" Type="http://schemas.openxmlformats.org/officeDocument/2006/relationships/hyperlink" Target="http://europa.eu/rapid/press-release_IP-19-2956_sk.htm" TargetMode="External"/><Relationship Id="rId26" Type="http://schemas.openxmlformats.org/officeDocument/2006/relationships/hyperlink" Target="https://rm.coe.int/16808ade9d" TargetMode="External"/><Relationship Id="rId39" Type="http://schemas.openxmlformats.org/officeDocument/2006/relationships/hyperlink" Target="https://g20trade-digital.go.jp/dl/Ministerial_Statement_on_Trade_and_Digital_Economy.pdf" TargetMode="External"/><Relationship Id="rId3" Type="http://schemas.openxmlformats.org/officeDocument/2006/relationships/hyperlink" Target="https://eur-lex.europa.eu/legal-content/SK/TXT/?uri=CELEX:32018R1725" TargetMode="External"/><Relationship Id="rId21" Type="http://schemas.openxmlformats.org/officeDocument/2006/relationships/hyperlink" Target="https://ec.europa.eu/growth/smes/business-friendly-environment/sme-definition_sk" TargetMode="External"/><Relationship Id="rId34" Type="http://schemas.openxmlformats.org/officeDocument/2006/relationships/hyperlink" Target="https://ec.europa.eu/health/sites/health/files/files/documents/qa_clinicaltrials_gdpr_en.pdf" TargetMode="External"/><Relationship Id="rId42" Type="http://schemas.openxmlformats.org/officeDocument/2006/relationships/hyperlink" Target="https://g20trade-digital.go.jp/dl/Ministerial_Statement_on_Trade_and_Digital_Economy.pdf" TargetMode="External"/><Relationship Id="rId47" Type="http://schemas.openxmlformats.org/officeDocument/2006/relationships/hyperlink" Target="https://edpb.europa.eu/sites/edpb/files/files/file1/edpb-2019-03-13-statement-on-elections_en.pdf" TargetMode="External"/><Relationship Id="rId7" Type="http://schemas.openxmlformats.org/officeDocument/2006/relationships/hyperlink" Target="https://ec.europa.eu/commission/sites/beta-political/files/soteu2018-data-protection-law-electoral-guidance-638_en.pdf" TargetMode="External"/><Relationship Id="rId12" Type="http://schemas.openxmlformats.org/officeDocument/2006/relationships/hyperlink" Target="https://ico.org.uk/about-the-ico/news-and-events/news-and-blogs/2018/09/ico-call-for-views-on-creating-a-regulatory-sandbox/" TargetMode="External"/><Relationship Id="rId17" Type="http://schemas.openxmlformats.org/officeDocument/2006/relationships/hyperlink" Target="http://ec.europa.eu/transparency/regexpert/index.cfm?do=groupDetail.groupMeeting&amp;meetingId=15670" TargetMode="External"/><Relationship Id="rId25" Type="http://schemas.openxmlformats.org/officeDocument/2006/relationships/hyperlink" Target="https://edpb.europa.eu/our-work-tools/our-documents/guidelines/guidelines-42018-accreditation-certification-bodies-under_sk" TargetMode="External"/><Relationship Id="rId33" Type="http://schemas.openxmlformats.org/officeDocument/2006/relationships/hyperlink" Target="https://eur-lex.europa.eu/legal-content/SK/TXT/?uri=celex:32014R0536" TargetMode="External"/><Relationship Id="rId38" Type="http://schemas.openxmlformats.org/officeDocument/2006/relationships/hyperlink" Target="https://www.g20.org/pdf/documents/en/annex_08.pdf" TargetMode="External"/><Relationship Id="rId46" Type="http://schemas.openxmlformats.org/officeDocument/2006/relationships/hyperlink" Target="http://europa.eu/rapid/press-release_IP-18-5681_sk.htm" TargetMode="External"/><Relationship Id="rId2" Type="http://schemas.openxmlformats.org/officeDocument/2006/relationships/hyperlink" Target="https://eur-lex.europa.eu/legal-content/SK/ALL/?uri=celex:32016L0680" TargetMode="External"/><Relationship Id="rId16" Type="http://schemas.openxmlformats.org/officeDocument/2006/relationships/hyperlink" Target="https://edpb.europa.eu/our-work-tools/our-documents/publication-type/work-program_sk" TargetMode="External"/><Relationship Id="rId20" Type="http://schemas.openxmlformats.org/officeDocument/2006/relationships/hyperlink" Target="https://ec.europa.eu/commission/priorities/justice-and-fundamental-rights/data-protection/2018-reform-eu-data-protection-rules_sk" TargetMode="External"/><Relationship Id="rId29" Type="http://schemas.openxmlformats.org/officeDocument/2006/relationships/hyperlink" Target="https://ec.europa.eu/home-affairs/sites/homeaffairs/files/e-library/documents/basic-documents/docs/eu_agenda_on_security_en.pdf" TargetMode="External"/><Relationship Id="rId41" Type="http://schemas.openxmlformats.org/officeDocument/2006/relationships/hyperlink" Target="https://legalinstruments.oecd.org/en/instruments/OECD-LEGAL-0449" TargetMode="External"/><Relationship Id="rId1" Type="http://schemas.openxmlformats.org/officeDocument/2006/relationships/hyperlink" Target="https://eur-lex.europa.eu/legal-content/SK/TXT/?uri=CELEX:32016R0679" TargetMode="External"/><Relationship Id="rId6" Type="http://schemas.openxmlformats.org/officeDocument/2006/relationships/hyperlink" Target="http://europa.eu/rapid/press-release_IP-19-2956_en.htm" TargetMode="External"/><Relationship Id="rId11" Type="http://schemas.openxmlformats.org/officeDocument/2006/relationships/hyperlink" Target="https://www.dataprotection.ie/en/news-media/press-releases/dpc-publishes-annual-report-25-may-31-december-2018" TargetMode="External"/><Relationship Id="rId24" Type="http://schemas.openxmlformats.org/officeDocument/2006/relationships/hyperlink" Target="https://edpb.europa.eu/our-work-tools/our-documents/guidelines/guidelines-12018-certification-and-identifying-certification_sk" TargetMode="External"/><Relationship Id="rId32" Type="http://schemas.openxmlformats.org/officeDocument/2006/relationships/hyperlink" Target="https://eur-lex.europa.eu/legal-content/SK/TXT/?uri=CELEX:52017PC0010" TargetMode="External"/><Relationship Id="rId37" Type="http://schemas.openxmlformats.org/officeDocument/2006/relationships/hyperlink" Target="https://legalinstruments.oecd.org/en/instruments/OECD-LEGAL-0449" TargetMode="External"/><Relationship Id="rId40" Type="http://schemas.openxmlformats.org/officeDocument/2006/relationships/hyperlink" Target="https://ec.europa.eu/digital-single-market/en/high-level-expert-group-artificial-intelligence" TargetMode="External"/><Relationship Id="rId45" Type="http://schemas.openxmlformats.org/officeDocument/2006/relationships/hyperlink" Target="https://ec.europa.eu/commission/sites/beta-political/files/soteu2018-data-protection-law-electoral-guidance-638_en.pdf" TargetMode="External"/><Relationship Id="rId5" Type="http://schemas.openxmlformats.org/officeDocument/2006/relationships/hyperlink" Target="http://ec.europa.eu/transparency/regexpert/index.cfm?do=groupDetail.groupDetail&amp;groupID=3537" TargetMode="External"/><Relationship Id="rId15" Type="http://schemas.openxmlformats.org/officeDocument/2006/relationships/hyperlink" Target="https://edpb.europa.eu/our-work-tools/general-guidance/gdpr-guidelines-recommendations-best-practices_sk" TargetMode="External"/><Relationship Id="rId23" Type="http://schemas.openxmlformats.org/officeDocument/2006/relationships/hyperlink" Target="https://ec.europa.eu/commission/sites/beta-political/files/ds-02-18-544-sk-n.pdf" TargetMode="External"/><Relationship Id="rId28" Type="http://schemas.openxmlformats.org/officeDocument/2006/relationships/hyperlink" Target="https://eur-lex.europa.eu/legal-content/SK/TXT/?uri=celex:22016A1210(01)" TargetMode="External"/><Relationship Id="rId36" Type="http://schemas.openxmlformats.org/officeDocument/2006/relationships/hyperlink" Target="https://ec.europa.eu/digital-single-market/en/news/ethics-guidelines-trustworthy-ai" TargetMode="External"/><Relationship Id="rId10" Type="http://schemas.openxmlformats.org/officeDocument/2006/relationships/hyperlink" Target="https://edpb.europa.eu/sites/edpb/files/files/file1/19_2019_edpb_written_report_to_libe_en.pdf" TargetMode="External"/><Relationship Id="rId19" Type="http://schemas.openxmlformats.org/officeDocument/2006/relationships/hyperlink" Target="https://ec.europa.eu/commission/sites/beta-political/files/infographic-gdpr_in_numbers_1.pdf" TargetMode="External"/><Relationship Id="rId31" Type="http://schemas.openxmlformats.org/officeDocument/2006/relationships/hyperlink" Target="http://europa.eu/rapid/press-release_IP-19-2891_sk.htm" TargetMode="External"/><Relationship Id="rId44" Type="http://schemas.openxmlformats.org/officeDocument/2006/relationships/hyperlink" Target="https://eur-lex.europa.eu/legal-content/SK/ALL/?uri=CELEX:32009L0072" TargetMode="External"/><Relationship Id="rId4" Type="http://schemas.openxmlformats.org/officeDocument/2006/relationships/hyperlink" Target="https://eur-lex.europa.eu/legal-content/SK/TXT/?qid=1517578296944&amp;uri=CELEX:52018DC0043" TargetMode="External"/><Relationship Id="rId9" Type="http://schemas.openxmlformats.org/officeDocument/2006/relationships/hyperlink" Target="http://ec.europa.eu/transparency/regexpert/index.cfm?do=groupDetail.groupMeeting&amp;meetingId=15670" TargetMode="External"/><Relationship Id="rId14" Type="http://schemas.openxmlformats.org/officeDocument/2006/relationships/hyperlink" Target="https://ec.europa.eu/info/funding-tenders/opportunities/portal/screen/opportunities/topic-details/rec-rdat-trai-ag-2019" TargetMode="External"/><Relationship Id="rId22" Type="http://schemas.openxmlformats.org/officeDocument/2006/relationships/hyperlink" Target="https://www.cnil.fr/fr/la-cnil-et-bpifrance-sassocient-pour-accompagner-les-tpe-et-pme-dans-leur-appropriation-du-reglement" TargetMode="External"/><Relationship Id="rId27" Type="http://schemas.openxmlformats.org/officeDocument/2006/relationships/hyperlink" Target="https://www.consilium.europa.eu/media/40124/final_g20_osaka_leaders_declaration.pdf" TargetMode="External"/><Relationship Id="rId30" Type="http://schemas.openxmlformats.org/officeDocument/2006/relationships/hyperlink" Target="https://ec.europa.eu/home-affairs/news/security-union-strengthening-europols-cooperation-third-countries-fight-terrorism-and-serious_en" TargetMode="External"/><Relationship Id="rId35" Type="http://schemas.openxmlformats.org/officeDocument/2006/relationships/hyperlink" Target="https://ec.europa.eu/digital-single-market/en/news/communication-building-trust-human-centric-artificial-intelligence" TargetMode="External"/><Relationship Id="rId43" Type="http://schemas.openxmlformats.org/officeDocument/2006/relationships/hyperlink" Target="https://edpb.europa.eu/sites/edpb/files/files/file1/edpb-2019-02-12plen-2.1edpb_work_program_s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B3D5-9D02-4F4E-B8F5-4750F43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5855</Words>
  <Characters>37478</Characters>
  <Application>Microsoft Office Word</Application>
  <DocSecurity>0</DocSecurity>
  <Lines>559</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2019-09-05T07:45:00Z</dcterms:created>
  <dcterms:modified xsi:type="dcterms:W3CDTF">2019-09-13T07:55:00Z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CPTemplateID">
    <vt:lpwstr>CP-012</vt:lpwstr>
  </property>
  <property fmtid="{D5CDD505-2E9C-101B-9397-08002B2CF9AE}" pid="7" name="Last edited using">
    <vt:lpwstr>LW 7.0, Build 20190717</vt:lpwstr>
  </property>
</Properties>
</file>