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02D7B518-A400-4FBB-86CB-49FC49001D22" style="width:450.75pt;height:393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tirrigwarda d-deċiżjoni li tistabbilixxi l-pożizzjoni li għandha tittieħed f’isem l-Unjoni Ewropea fil-korpi tal-Organizzazzjoni tal-Avjazzjoni Ċivili Internazzjonali (ICAO, International Civil Aviation Organization) b’rabta mal-adozzjoni prevista tal-emendi fil-Kapitolu 9 tal-Anness 9 (il-“Faċilitazzjoni”) tal-Konvenzjoni dwar l-Avjazzjoni Ċivili Internazzjonali (il-“Konvenzjoni ta’ Chicago”) biex jiġu stabbiliti standards tal-ICAO ġodda dwar id-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 (PNR, Passenger Name Record).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dwar l-Avjazzjoni Ċivili Internazzjonali (il-“Konvenzjoni ta’ Chicago”)</w:t>
      </w:r>
    </w:p>
    <w:p>
      <w:pPr>
        <w:rPr>
          <w:noProof/>
        </w:rPr>
      </w:pPr>
      <w:r>
        <w:rPr>
          <w:noProof/>
        </w:rPr>
        <w:t xml:space="preserve">Il-Konvenzjoni ta’ Chicago għandha l-għan li tirregola t-trasport internazzjonali bl-ajru. Daħlet fis-seħħ fl-4 ta’ April 1947 u stabbiliet l-Organizzazzjoni tal-Avjazzjoni Ċivili Internazzjonali (ICAO). </w:t>
      </w:r>
    </w:p>
    <w:p>
      <w:pPr>
        <w:rPr>
          <w:noProof/>
        </w:rPr>
      </w:pPr>
      <w:r>
        <w:rPr>
          <w:noProof/>
        </w:rPr>
        <w:t>L-Istati Membri kollha huma Partijiet għall-Konvenzjoni ta’ Chicago.</w:t>
      </w:r>
    </w:p>
    <w:p>
      <w:pPr>
        <w:pStyle w:val="ManualHeading2"/>
        <w:rPr>
          <w:rFonts w:eastAsia="Arial Unicode MS"/>
          <w:noProof/>
        </w:rPr>
      </w:pPr>
      <w:r>
        <w:t>2.2.</w:t>
      </w:r>
      <w:r>
        <w:tab/>
      </w:r>
      <w:r>
        <w:rPr>
          <w:noProof/>
        </w:rPr>
        <w:t>L-Organizzazzjoni tal-Avjazzjoni Ċivili Internazzjonali</w:t>
      </w:r>
    </w:p>
    <w:p>
      <w:pPr>
        <w:rPr>
          <w:noProof/>
        </w:rPr>
      </w:pPr>
      <w:r>
        <w:rPr>
          <w:noProof/>
        </w:rPr>
        <w:t xml:space="preserve">L-ICAO hija aġenzija speċjalizzata tan-Nazzjonijiet Uniti. L-objettivi tal-Organizzazzjoni huma li tiżviluppa l-prinċipji u t-tekniki tan-navigazzjoni internazzjonali bl-ajru u li trawwem l-ippjanar u l-iżvilupp tat-trasport internazzjonali bl-ajru. </w:t>
      </w:r>
    </w:p>
    <w:p>
      <w:pPr>
        <w:rPr>
          <w:noProof/>
        </w:rPr>
      </w:pPr>
      <w:r>
        <w:rPr>
          <w:noProof/>
        </w:rPr>
        <w:t xml:space="preserve">Il-Kunsill tal-ICAO hu korp permanenti tal-ICAO b’36 Stat kontraenti li huma membri tiegħu u eletti mill-Assemblea tal-ICAO għal perjodu ta’ tliet snin. Għall-perjodu 2016-2019, fil-Kunsill tal-ICAO, hemm seba’ Stati Membri tal-UE rrappreżentati. </w:t>
      </w:r>
    </w:p>
    <w:p>
      <w:pPr>
        <w:rPr>
          <w:noProof/>
        </w:rPr>
      </w:pPr>
      <w:r>
        <w:rPr>
          <w:noProof/>
        </w:rPr>
        <w:t>Fost il-funzjonijiet obbligatorji tal-Kunsill tal-ICAO, elenkati fl-Artikolu 54 tal-Konvenzjoni ta’ Chicago, hemm l-adozzjoni ta’ Standards u Prattiki Rakkomandati internazzjonali (magħrufin ukoll bħala SARPs), speċifikati bħala Annessi tal-Konvenzjoni ta’ Chicago.</w:t>
      </w:r>
    </w:p>
    <w:p>
      <w:pPr>
        <w:rPr>
          <w:noProof/>
        </w:rPr>
      </w:pPr>
      <w:r>
        <w:rPr>
          <w:noProof/>
        </w:rPr>
        <w:t xml:space="preserve">Il-Kunsill tal-ICAO jlaqqa’ wkoll lill-Assemblea, li hija l-korp sovran tal-ICAO. L-Assemblea tal-ICAO tiltaqa’ mill-inqas darba kull tliet snin u tistabbilixxi d-direzzjoni politika tal-Organizzazzjoni għall-perjodu ta’ tliet snin li jkun imiss. L-40 Sessjoni tal-Assemblea tal-ICAO se ssir bejn l-24 ta’ Settembru u l-4 ta’ Ottubru f’Montreal, il-Kanada.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 L-att previst tal-ICAO </w:t>
      </w:r>
    </w:p>
    <w:p>
      <w:pPr>
        <w:rPr>
          <w:noProof/>
        </w:rPr>
      </w:pPr>
      <w:r>
        <w:rPr>
          <w:noProof/>
        </w:rPr>
        <w:t>Skont il-punt (1) tal-Artikolu 54 tal-Konvenzjoni ta’ Chicago, il-Kunsill tal-ICAO għandu jadotta l-Istandards u l-Prattiki Rakkomandati (SARPs). L-SARPs għall-PNR jinsabu fil-Partijiet A u D tal-Kapitolu 9, tal-Anness 9 (il-“Faċilitazzjoni”), tal-Konvenzjoni ta’ Chicago. Dawn huma kkumplimentati minn gwida addizzjonali, b’mod partikolari mid-Dokument 9944 tal-ICAO li jistabbilixxi l-“Linji Gwida dwar id-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 (PNR)”</w:t>
      </w:r>
      <w:r>
        <w:rPr>
          <w:rStyle w:val="FootnoteReference"/>
          <w:noProof/>
        </w:rPr>
        <w:footnoteReference w:id="1"/>
      </w:r>
      <w:r>
        <w:rPr>
          <w:noProof/>
        </w:rPr>
        <w:t>. Id-</w:t>
      </w:r>
      <w:r>
        <w:rPr>
          <w:i/>
          <w:iCs/>
          <w:noProof/>
        </w:rPr>
        <w:t>data</w:t>
      </w:r>
      <w:r>
        <w:rPr>
          <w:noProof/>
        </w:rPr>
        <w:t xml:space="preserve"> tal-PNR hija d-</w:t>
      </w:r>
      <w:r>
        <w:rPr>
          <w:i/>
          <w:iCs/>
          <w:noProof/>
        </w:rPr>
        <w:t>data</w:t>
      </w:r>
      <w:r>
        <w:rPr>
          <w:noProof/>
        </w:rPr>
        <w:t xml:space="preserve"> personali tal-passiġġieri miġbura mil-linji tal-ajru għall-iskopijiet tan-negozju tagħhom, għall-kuntrarju ta’ </w:t>
      </w:r>
      <w:r>
        <w:rPr>
          <w:i/>
          <w:iCs/>
          <w:noProof/>
        </w:rPr>
        <w:t>data</w:t>
      </w:r>
      <w:r>
        <w:rPr>
          <w:noProof/>
        </w:rPr>
        <w:t xml:space="preserve"> oħra relatata mal-ivvjaġġar miġbura f’isem il-Gvernijiet bħalma hija l-Informazzjoni Antiċipata dwar il-Passiġġieri.</w:t>
      </w:r>
    </w:p>
    <w:p>
      <w:pPr>
        <w:rPr>
          <w:i/>
          <w:iCs/>
          <w:noProof/>
        </w:rPr>
      </w:pPr>
      <w:r>
        <w:rPr>
          <w:noProof/>
        </w:rPr>
        <w:t xml:space="preserve">Ir-riżoluzzjoni 2396 tal-Kunsill tas-Sigurtà tan-Nazzjonijiet Uniti adottata fil-21 ta’ Diċembru tesiġi li l-Istati Membri tan-NU </w:t>
      </w:r>
      <w:r>
        <w:rPr>
          <w:i/>
          <w:iCs/>
          <w:noProof/>
        </w:rPr>
        <w:t xml:space="preserve">“jiżviluppaw il-kapaċità li jiġbru, jipproċessaw u janalizzaw, </w:t>
      </w:r>
      <w:r>
        <w:rPr>
          <w:i/>
          <w:iCs/>
          <w:noProof/>
        </w:rPr>
        <w:lastRenderedPageBreak/>
        <w:t>b’segwitu għall-istandards u għall-prattiki rakkomandati tal-ICAO, id-data tar-reġistri tal-ismijiet tal-passiġġieri (PNR), u jiżguraw li d-data tal-PNR tintuża mill-awtoritajiet nazzjonali kompetenti kollha tagħhom kif ukoll tiġi kondiviża magħhom kollha, b’rispett sħiħ għad-drittijiet tal-bniedem u għal-libertajiet fundamentali”</w:t>
      </w:r>
      <w:r>
        <w:rPr>
          <w:noProof/>
        </w:rPr>
        <w:t xml:space="preserve">. Ir-riżoluzzjoni tħeġġeġ ukoll lill-ICAO biex </w:t>
      </w:r>
      <w:r>
        <w:rPr>
          <w:i/>
          <w:iCs/>
          <w:noProof/>
        </w:rPr>
        <w:t>“taħdem mal-Istati Membri tagħha biex tistabbilixxi standard għall-ġbir, l-użu, l-ipproċessar u l-protezzjoni tad-data tal-PNR”</w:t>
      </w:r>
      <w:r>
        <w:rPr>
          <w:rStyle w:val="FootnoteReference"/>
          <w:i/>
          <w:iCs/>
          <w:noProof/>
        </w:rPr>
        <w:footnoteReference w:id="2"/>
      </w:r>
      <w:r>
        <w:rPr>
          <w:i/>
          <w:iCs/>
          <w:noProof/>
        </w:rPr>
        <w:t>.</w:t>
      </w:r>
    </w:p>
    <w:p>
      <w:pPr>
        <w:rPr>
          <w:noProof/>
        </w:rPr>
      </w:pPr>
      <w:r>
        <w:rPr>
          <w:noProof/>
        </w:rPr>
        <w:t>F’dan il-kuntest, fit-18 ta’ Lulju 2019, il-Kunsill tal-Unjoni Ewropea approva li d-Dokument ta’ Informazzjoni dwar “Standards u prinċipji dwar il-ġbir, l-użu, l-ipproċessar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 (PNR)” jiġi ppreżentat waqt l-40 Sessjoni tal-Assemblea tal-ICAO. Dan id-dokument ta’ informazzjoni ġie ppreżentat fil-Konferenza Ewropea tal-Avjazzjoni Ċivili (ECAC, European Civil Aviation Conference) għall-konsultazzjoni.</w:t>
      </w:r>
    </w:p>
    <w:p>
      <w:pPr>
        <w:rPr>
          <w:noProof/>
        </w:rPr>
      </w:pPr>
      <w:r>
        <w:rPr>
          <w:noProof/>
        </w:rPr>
        <w:t>F’Marzu 2019, il-Kumitat tat-Trasport bl-Ajru tal-ICAO (ATC, Air Transport Committee) waqqaf Task Force ta’ Faċilitazzjoni biex tikkunsidra proposti dwar SARPs fir-rigward tal-ġbir, l-użu, l-ipproċessar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tal-PNR, f’konformità mar-Riżoluzzjoni 2396 (2017) tal-Kunsill tas-Sigurtà tan-Nazzjonijiet Uniti. It-Task Force għandha l-mandat li: a) tirrevedi l-SARPs attwali għall-PNR li jinsabu fil-Kapitolu 9 tal-Anness 9 tal-Konvenzjoni ta’ Chicago; b) tiddetermina jekk hemmx bżonn li jiġu kkumplimentati minn SARPs u/jew materjal ta’ gwida addizzjonali, filwaqt li jittieħdu inkonsiderazzjoni d-deċiżjoni u l-kunsiderazzjonijiet tal-Kunsill tas-Sigurtà; u c) skont kif meħtieġ, tiżviluppa dispożizzjonijiet ġodda (Standards, Prattiki Rakkomandati, u/jew materjali ta’ gwida) għall-ġbir, l-użu, l-ipproċessar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tal-PNR. </w:t>
      </w:r>
    </w:p>
    <w:p>
      <w:pPr>
        <w:rPr>
          <w:noProof/>
        </w:rPr>
      </w:pPr>
      <w:r>
        <w:rPr>
          <w:noProof/>
        </w:rPr>
        <w:t xml:space="preserve">Id-diskussjonijiet dwar l-SARPs riveduti tal-ICAO għall-PNR għadhom fi stadju bikri. Ladarba jiġu adottati, l-istandards previsti se jkunu vinkolanti għall-membri kollha tal-ICAO, inklużi l-Istati Membri kollha tal-UE, f’konformità mal-Konvenzjoni ta’ Chicago u fil-limiti stabbiliti minnha. L-Artikolu 38 tal-Konvenzjoni ta’ Chicago tobbliga li l-Istati kontraenti jinnotifikaw lill-ICAO jekk ikunu beħsiebhom jiddevjaw minn standard, skont il-mekkaniżmu ta’ notifika għad-differenzi. </w:t>
      </w:r>
    </w:p>
    <w:p>
      <w:pPr>
        <w:pStyle w:val="ManualHeading2"/>
        <w:rPr>
          <w:noProof/>
        </w:rPr>
      </w:pPr>
      <w:r>
        <w:t>2.4.</w:t>
      </w:r>
      <w:r>
        <w:tab/>
      </w:r>
      <w:r>
        <w:rPr>
          <w:noProof/>
        </w:rPr>
        <w:t>Il-qafas legali tal-UE</w:t>
      </w:r>
    </w:p>
    <w:p>
      <w:pPr>
        <w:spacing w:before="0" w:after="240"/>
        <w:rPr>
          <w:iCs/>
          <w:noProof/>
        </w:rPr>
      </w:pPr>
      <w:r>
        <w:rPr>
          <w:noProof/>
        </w:rPr>
        <w:t>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tal-PNR jikkostitwixxi strument essenzjali għar-rispons komuni tal-UE kontra t-terroriżmu u l-kriminalità serja u huwa element importanti fl-Unjoni tas-Sigurtà. L-identifikazzjoni u t-traċċar ta’ xejriet ta’ vvjaġġar suspettużi permezz tal-ipproċessar tal-PNR, biex tinġabar evidenza u fejn rilevanti jinstabu l-awturi ta’ reati serji u s-sħab tagħhom kif ukoll jinkixfu n-netwerks kriminali, qed ikunu essenzjali għall-prevenzjoni, l-identifikazzjoni, l-investigazzjoni u l-prosekuzzjoni ta’ reati terroristiċi u reati kriminali serji.</w:t>
      </w:r>
    </w:p>
    <w:p>
      <w:pPr>
        <w:spacing w:before="0" w:after="240"/>
        <w:rPr>
          <w:noProof/>
        </w:rPr>
      </w:pPr>
      <w:r>
        <w:rPr>
          <w:noProof/>
        </w:rPr>
        <w:t>Fis-27 ta’ April 2016, il-Parlament Ewropew u l-Kunsill adottaw id-Direttiva (UE) 2016/681 dwar l-użu tad-</w:t>
      </w:r>
      <w:r>
        <w:rPr>
          <w:i/>
          <w:iCs/>
          <w:noProof/>
        </w:rPr>
        <w:t>data</w:t>
      </w:r>
      <w:r>
        <w:rPr>
          <w:noProof/>
        </w:rPr>
        <w:t xml:space="preserve"> tal-PNR għall-prevenzjoni, l-iskoperta, l-investigazzjoni u l-prosekuzzjoni ta’ reati terroristiċi u kriminalità serja</w:t>
      </w:r>
      <w:r>
        <w:rPr>
          <w:rStyle w:val="FootnoteReference"/>
          <w:noProof/>
        </w:rPr>
        <w:footnoteReference w:id="3"/>
      </w:r>
      <w:r>
        <w:rPr>
          <w:noProof/>
        </w:rPr>
        <w:t>. Din id-Direttiva tippermetti li l-awtoritajiet nazzjonali jkollhom aċċess dirett għal informazzjoni kruċjali miżmuma mil-linji tal-ajru, b’rispett sħiħ tad-drittijiet tal-protezzjoni tad-</w:t>
      </w:r>
      <w:r>
        <w:rPr>
          <w:i/>
          <w:iCs/>
          <w:noProof/>
        </w:rPr>
        <w:t>data</w:t>
      </w:r>
      <w:r>
        <w:rPr>
          <w:noProof/>
        </w:rPr>
        <w:t>. Tipprovdi lill-Istati Membri kollha b’għodda importanti għall-prevenzjoni, l-identifikazzjoni u l-investigazzjoni ta’ terroriżmu u ta’ reati serji, inklużi d-droga, it-traffikar tal-bnedmin u l-isfruttament sesswali tat-tfal. L-</w:t>
      </w:r>
      <w:r>
        <w:rPr>
          <w:noProof/>
        </w:rPr>
        <w:lastRenderedPageBreak/>
        <w:t>iskadenza għall-Istati Membri biex jittrasponu d-Direttiva dwar il-PNR fil-liġi nazzjonali għalqet fil-25 ta’ Mejju 2018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spacing w:before="0" w:after="240"/>
        <w:rPr>
          <w:noProof/>
        </w:rPr>
      </w:pPr>
      <w:r>
        <w:rPr>
          <w:noProof/>
        </w:rPr>
        <w:t>Sabiex jiġi ffaċilitat il-proċess ta’ konnessjoni tat-trasportaturi tal-ajru mal-Unitajiet tal-Informazzjoni dwar il-Passiġġieri tal-Istati Membri – l-unitajiet responsabbli mill-ġbir u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tal-PNR – il-Kummissjoni Ewropea adottat fit-28 ta’ April 2017 Deċiżjoni ta’ Implimentazzjoni dwar il-protokolli u l-formati tad-</w:t>
      </w:r>
      <w:r>
        <w:rPr>
          <w:i/>
          <w:iCs/>
          <w:noProof/>
        </w:rPr>
        <w:t>data</w:t>
      </w:r>
      <w:r>
        <w:rPr>
          <w:noProof/>
        </w:rPr>
        <w:t xml:space="preserve"> komuni li għandhom jintużaw mit-trasportaturi tal-ajru meta jittrasferixxu d-</w:t>
      </w:r>
      <w:r>
        <w:rPr>
          <w:i/>
          <w:iCs/>
          <w:noProof/>
        </w:rPr>
        <w:t>data</w:t>
      </w:r>
      <w:r>
        <w:rPr>
          <w:noProof/>
        </w:rPr>
        <w:t xml:space="preserve"> tal-PNR lill-Istati Membri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Id-Deċiżjoni ta’ Implimentazzjoni bdiet tapplika f’April 2018. </w:t>
      </w:r>
    </w:p>
    <w:p>
      <w:pPr>
        <w:spacing w:before="0" w:after="240"/>
        <w:rPr>
          <w:noProof/>
        </w:rPr>
      </w:pPr>
      <w:r>
        <w:rPr>
          <w:noProof/>
        </w:rPr>
        <w:t>Attwalment hemm żewġ ftehimiet internazzjonali fis-seħħ bejn l-UE u pajjiżi terzi (jiġifieri l-Awstralja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l-Istati Uniti</w:t>
      </w:r>
      <w:r>
        <w:rPr>
          <w:rStyle w:val="FootnoteReference"/>
          <w:noProof/>
        </w:rPr>
        <w:footnoteReference w:id="7"/>
      </w:r>
      <w:r>
        <w:rPr>
          <w:noProof/>
        </w:rPr>
        <w:t>) dwar l-ipproċessar u t-trasferiment tad-</w:t>
      </w:r>
      <w:r>
        <w:rPr>
          <w:i/>
          <w:iCs/>
          <w:noProof/>
        </w:rPr>
        <w:t>data</w:t>
      </w:r>
      <w:r>
        <w:rPr>
          <w:noProof/>
        </w:rPr>
        <w:t xml:space="preserve"> tal-PNR. Fit-26 ta’ Lulju 2017, il-Qorti tal-Ġustizzja tal-UE adottat Opinjoni dwar il-Ftehim previst bejn l-UE u l-Kanada li ġie ffirmat fil-25 ta’ Ġunju 2014</w:t>
      </w:r>
      <w:r>
        <w:rPr>
          <w:rStyle w:val="FootnoteReference"/>
          <w:noProof/>
        </w:rPr>
        <w:footnoteReference w:id="8"/>
      </w:r>
      <w:r>
        <w:rPr>
          <w:noProof/>
        </w:rPr>
        <w:t>. Il-Qorti ddeċidiet li l-ftehim ma setax jiġi konkluż fil-forma intenzjonata tiegħu minħabba li xi wħud mid-dispożizzjonijiet tiegħu kienu inkompatibbli mad-drittijiet fundamentali għall-privatezza u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rikonoxxuti mill-UE.  B’mod partikolari, il-Qorti stabbiliet rekwiżiti legali oħra fir-rigward tas-sorveljanza minn awtorità indipendenti, tad-</w:t>
      </w:r>
      <w:r>
        <w:rPr>
          <w:i/>
          <w:iCs/>
          <w:noProof/>
        </w:rPr>
        <w:t>data</w:t>
      </w:r>
      <w:r>
        <w:rPr>
          <w:noProof/>
        </w:rPr>
        <w:t xml:space="preserve"> sensittiva, tal-ipproċessar awtomatizzat tad-</w:t>
      </w:r>
      <w:r>
        <w:rPr>
          <w:i/>
          <w:iCs/>
          <w:noProof/>
        </w:rPr>
        <w:t>data</w:t>
      </w:r>
      <w:r>
        <w:rPr>
          <w:noProof/>
        </w:rPr>
        <w:t xml:space="preserve"> tal-PNR, tal-iskopijiet li għalihom id-</w:t>
      </w:r>
      <w:r>
        <w:rPr>
          <w:i/>
          <w:iCs/>
          <w:noProof/>
        </w:rPr>
        <w:t>data</w:t>
      </w:r>
      <w:r>
        <w:rPr>
          <w:noProof/>
        </w:rPr>
        <w:t xml:space="preserve"> tal-PNR tista’ tiġi pproċessata, u fir-rigward taż-żamma, tal-użu, tal-iżvelar u tat-trasferiment ulterjuri tad-</w:t>
      </w:r>
      <w:r>
        <w:rPr>
          <w:i/>
          <w:iCs/>
          <w:noProof/>
        </w:rPr>
        <w:t>data</w:t>
      </w:r>
      <w:r>
        <w:rPr>
          <w:noProof/>
        </w:rPr>
        <w:t xml:space="preserve"> tal-PNR. Wara l-awtorizzazzjoni li rċeviet il-Kummissjoni mingħand il-Kunsill f’Diċembru 2017, f’Ġunju 2018 tnedew negozjati ġodda dwar il-PNR mal-Kanada. Fis-17-il Summit bejn l-UE u l-Kanada f’Montreal, fis-17 u fit-18 ta’ Lulju 2019, l-UE u l-Kanada esprimew is-sodisfazzjoni dwar il-konklużjoni ta’ dawn in-negozjati. Filwaqt li l-Kanada nnotat l-obbligu ta’ rieżami ġuridiku, il-partijiet ikkommettew ruħhom, soġġett għal dan ir-rieżami, li jiffinalizzaw il-Ftehim kemm jista’ jkun malajr filwaqt li rrikonoxxew ir-rwol vitali ta’ dan il-Ftehim biex titjieb is-sigurtà filwaqt li tiġi żgurata l-privatezza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personali.</w:t>
      </w:r>
    </w:p>
    <w:p>
      <w:pPr>
        <w:rPr>
          <w:noProof/>
        </w:rPr>
      </w:pPr>
      <w:r>
        <w:rPr>
          <w:noProof/>
        </w:rPr>
        <w:t>Għadd dejjem akbar ta’ pajjiżi terzi qed jiġbru d-</w:t>
      </w:r>
      <w:r>
        <w:rPr>
          <w:i/>
          <w:iCs/>
          <w:noProof/>
        </w:rPr>
        <w:t>data</w:t>
      </w:r>
      <w:r>
        <w:rPr>
          <w:noProof/>
        </w:rPr>
        <w:t xml:space="preserve"> tal-PNR mingħand it-trasportaturi tal-ajru u bosta minnhom matul dawn l-aħħar snin avviċinaw lill-Kummissjoni biex jesprimu l-interess tagħhom li jikkonkludu ftehim internazzjonali mal-UE dwar il-PNR. Fin-nuqqas ta’ bażi legali, it-trasportaturi tal-ajru qed iħabbtu wiċċhom ma’ sitwazzjoni ta’ kunflitt fil-liġijiet u qed jissugraw multi u sanzjonijiet oħra. Fl-istess ħin, wara l-implimentazzjoni tad-Direttiva dwar il-PNR, l-Istati Membri tal-UE qed jitolbu lit-trasportaturi tal-ajru minn pajjiżi terzi biex jittrasferixxu d-</w:t>
      </w:r>
      <w:r>
        <w:rPr>
          <w:i/>
          <w:iCs/>
          <w:noProof/>
        </w:rPr>
        <w:t>data</w:t>
      </w:r>
      <w:r>
        <w:rPr>
          <w:noProof/>
        </w:rPr>
        <w:t xml:space="preserve"> tal-PNR lill-Unitajiet tal-Informazzjoni dwar il-Passiġġieri tagħhom. Għadd ta’ pajjiżi terzi rrifjutaw trasferimenti bħal dawn – u oħrajn heddew l-istess ħaġa – filwaqt li allegaw nuqqas ta’ reċiproċità, u għalhekk qed jikkompromettu l-effettività tal-mekkaniżmu tal-PNR tal-UE. </w:t>
      </w:r>
    </w:p>
    <w:p>
      <w:pPr>
        <w:rPr>
          <w:noProof/>
        </w:rPr>
      </w:pPr>
      <w:r>
        <w:rPr>
          <w:noProof/>
        </w:rPr>
        <w:t>Skont l-Artikolu 3(2) tat-TFUE l-Unjoni għandha l-kompetenza eskużiva “</w:t>
      </w:r>
      <w:r>
        <w:rPr>
          <w:i/>
          <w:iCs/>
          <w:noProof/>
        </w:rPr>
        <w:t>li tikkonkludi ftehim internazzjonali ... sal-punt fejn il-konklużjoni tiegħu tista’ tolqot xi regoli komuni jew tbiddel il-kamp ta’ l-applikazzjoni tagħhom</w:t>
      </w:r>
      <w:r>
        <w:rPr>
          <w:noProof/>
        </w:rPr>
        <w:t xml:space="preserve">.” Ftehim internazzjonali jista’ jaffettwa r-regoli komuni jew ibiddel il-kamp ta’ applikazzjoni tagħhom meta l-qasam kopert mill-ftehim jkun </w:t>
      </w:r>
      <w:r>
        <w:rPr>
          <w:noProof/>
        </w:rPr>
        <w:lastRenderedPageBreak/>
        <w:t xml:space="preserve">duplikazzjoni tal-leġiżlazzjoni tal-Unjoni jew ikun kopert fil-biċċa l-kbira mid-dritt tal-Unjoni. Barra minn hekk, biex jiġi vvalutat jekk qasam huwiex fil-biċċa l-kbira tiegħu kopert mid-dritt tal-Unjoni jrid jittieħed inkonsiderazzjoni mhux biss id-dritt tal-Unjoni kif inhu bħalissa fil-qasam ikkonċernat, iżda wkoll l-iżvilupp futur tiegħu, sakemm dan huwa prevedibbli fil-mument ta’ dik l-analiżi. </w:t>
      </w:r>
    </w:p>
    <w:p>
      <w:pPr>
        <w:rPr>
          <w:noProof/>
        </w:rPr>
      </w:pPr>
      <w:r>
        <w:rPr>
          <w:noProof/>
        </w:rPr>
        <w:t>Fid-dawl tar-regoli komuni msemmija hawn fuq u r-rieżami li jmiss skont l-Artikolu 19 tad-Direttiva 2016/681</w:t>
      </w:r>
      <w:r>
        <w:rPr>
          <w:rStyle w:val="FootnoteReference"/>
          <w:noProof/>
        </w:rPr>
        <w:footnoteReference w:id="9"/>
      </w:r>
      <w:r>
        <w:rPr>
          <w:noProof/>
        </w:rPr>
        <w:t>, jista’ jiġi konkluż li l-kwistjonijiet koperti mid-deċiżjoni proposta jaqgħu taħt il-kompetenza esklużiva tal-Unjoni.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noProof/>
        </w:rPr>
      </w:pPr>
      <w:r>
        <w:rPr>
          <w:noProof/>
        </w:rPr>
        <w:t>Fid-dawl tal-importanza ta’ din il-kwistjoni għall-politika interna u esterna tal-UE u fid-dawl ta’ dan ta’ hawn fuq, huwa meħtieġ li tiġi stabbilita pożizzjoni tal-Unjoni dwar it-trasferimenti tad-</w:t>
      </w:r>
      <w:r>
        <w:rPr>
          <w:i/>
          <w:iCs/>
          <w:noProof/>
        </w:rPr>
        <w:t>data</w:t>
      </w:r>
      <w:r>
        <w:rPr>
          <w:noProof/>
        </w:rPr>
        <w:t xml:space="preserve"> tal-PNR għall-finijiet tal-ħidma (multilaterali) li għaddejja fil-livell tal-ICAO. B’mod partikolari, l-UE jenħtieġ li tfittex li l-prinċipji ewlenin dwar il-modalitajiet tat-trażmissjoni u tal-ipproċessar tal-PNR, u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– li għandhom jiġu stabbiliti fil-pożizzjoni komuni – jkunu inkorporati fl-istandards tal-PNR il-ġodda tal-ICAO. F’dan ir-rigward, huwa essenzjali li d-diskussjonijiet fi ħdan l-ICAO jiġu ggwidati wkoll lejn l-istandards tal-PNR il-ġodda b’mod li dawn jkunu kompatibbli mal-qafas regolatorju tal-UE u mal-ġurisprudenza relevanti tal-Qorti tal-Ġustizzja, b’mod partikolari fir-rigward tad-drittijiet fundamentali għall-privatezza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Il-pożizzjoni tal-Unjoni, rilevanti kemm għad-deċiżjoni finali tal-Kunsill tal-ICAO kif ukoll għad-diskussjonijiet preparatorji f’korpi oħra tal-ICAO, hija definita f’konformità mal-qafas legali tal-UE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u l-PNR, jiġifieri r-Regolament (UE) 2016/679, id-Direttiva (UE) 2016/680 u d-Direttiva (UE) 2016/681, kif ukoll it-Trattat u l-Karta tad-Drittijiet Fundamentali kif interpretati fil-każistika rilevanti tal-Qorti tal-Ġustizzja tal-Unjoni Ewropea, b’mod partikolari l-Opinjoni 1/15 tal-Qorti tal-Ġustizzja.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</w:t>
      </w:r>
      <w:r>
        <w:rPr>
          <w:i/>
          <w:iCs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L-Artikolu 218(9) tat-TFUE japplika irrispettivament minn jekk l-Unjoni tkunx membru tal-korp jew tkunx Parti għall-ftehim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 xml:space="preserve">” jinkludi l-atti li jkollhom effetti legali bis-saħħa tar-regoli tad-dritt internazzjonali li jirregolaw il-korp inkwistjoni. Jinkludi wkoll l-istrumenti </w:t>
      </w:r>
      <w:r>
        <w:rPr>
          <w:noProof/>
        </w:rPr>
        <w:lastRenderedPageBreak/>
        <w:t>li ma għandhomx effett vinkolanti skont id-dritt internazzjonali, iżda li “</w:t>
      </w:r>
      <w:r>
        <w:rPr>
          <w:i/>
          <w:iCs/>
          <w:noProof/>
        </w:rPr>
        <w:t>jistgħu jinfluwenzaw b’mod determinanti l-kontenut tal-leġiżlazzjoni adottata mil-leġiżlatura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 xml:space="preserve">il-Kunsill tal-ICAO huwa korp stabbilit permezz ta’ ftehim, jiġifieri tal-Konvenzjoni ta’ Chicago. </w:t>
      </w:r>
    </w:p>
    <w:p>
      <w:pPr>
        <w:rPr>
          <w:noProof/>
        </w:rPr>
      </w:pPr>
      <w:r>
        <w:rPr>
          <w:noProof/>
        </w:rPr>
        <w:t xml:space="preserve">Kwalunkwe emenda għall-Kapitolu 9 tal-Anness 9 tal-Konvenzjoni ta’ Chicago adottata mill-Kunsill tal-ICAO skont il-punt (l) tal-Artikolu 54 tal-Konvenzjoni tikkostitwixxi att li għandu effetti legali. Tali emenda tista’ tinfluwenza b’mod deċiżiv il-kontenut tal-leġiżlazzjoni tal-UE, b’mod partikolari d-Direttiva (UE) 2016/681 kif ukoll il-ftehimiet internazzjonali eżistenti u futuri dwar il-PNR bejn l-UE u pajjiżi terzi. </w:t>
      </w:r>
    </w:p>
    <w:p>
      <w:pPr>
        <w:rPr>
          <w:noProof/>
        </w:rPr>
      </w:pPr>
      <w:r>
        <w:rPr>
          <w:noProof/>
        </w:rPr>
        <w:t xml:space="preserve">L-att previst ma jissupplimentax jew ma jemendax il-qafas istituzzjonali tal-Ftehim. 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hija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Il-Prinċipji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mill-objettiv u mill-kontenut tal-att previst li dwaru tittieħed pożizzjoni f’isem l-Unjoni. Jekk l-att previst ikollu żewġ għanijiet jew żewġ komponenti, u jekk wieħed minn dawk l-għanijiet jew il-komponenti jkun jista’ jiġi identifikat bħala dak ewlieni, filwaqt li l-ieħor ikun sempliċement inċidentali, id-deċiżjoni skont l-Artikolu 218(9) tat-TFUE trid tkun ibbażata fuq bażi ġuridika sostantiva waħda, jiġifieri dik meħtieġa mill-għan jew mill-komponent ewlieni jew predominanti.</w:t>
      </w:r>
    </w:p>
    <w:p>
      <w:pPr>
        <w:rPr>
          <w:noProof/>
        </w:rPr>
      </w:pPr>
      <w:r>
        <w:rPr>
          <w:noProof/>
        </w:rPr>
        <w:t>Fir-rigward ta’ att previst li jkollu għadd ta’ objettivi f’daqqa, jew li jkollu diversi komponenti, li jkunu marbuta b’mod inseparabbli mingħajr ma wieħed ikun inċidentali għall-ieħor, il-bażi ġuridika sostantiva ta’ deċiżjoni skont l-Artikolu 218(9) tat-TFUE jkollha tinkludi, b’mod eċċezzjonali, id-diversi bażijiet ġuridiċi korrispondenti.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>L-att previst għandu objettivi u komponenti fil-qasam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u tal-kooperazzjoni tal-pulizija. Dawn l-elementi tal-att previst huma marbuta b’mod inseparabbli ma’ xulxin u l-ebda wieħed minnhom ma hu inċidentali għall-ieħor.</w:t>
      </w:r>
    </w:p>
    <w:p>
      <w:pPr>
        <w:rPr>
          <w:noProof/>
        </w:rPr>
      </w:pPr>
      <w:r>
        <w:rPr>
          <w:noProof/>
        </w:rPr>
        <w:t xml:space="preserve">Għaldaqstant, il-bażi ġuridika sostantiva tad-deċiżjoni proposta hi magħmula mid-dispożizzjonijiet li ġejjin: L-Artikolu 16(2) u l-punt (a) tal-Artikolu 87(2) tat-TFUE.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li tkun l-Artikolu 16(2) u l-punt (a) tal-Artikolu 87(2) tat-TFUE flimkien mal-Artikolu 218(9) tat-TFUE.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2019/0195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fil-Kunsill tal-Organizzazzjoni tal-Avjazzjoni Ċivili Internazzjonali fir-rigward tar-reviżjoni tal-Kapitolu 9 tal-Anness 9 (il-“Faċilitazzjoni”) tal-Konvenzjoni dwar l-Avjazzjoni Ċivili Internazzjonali fir-rigward tal-istandards u l-prattiki rakkomandati dwar id-</w:t>
      </w:r>
      <w:r>
        <w:rPr>
          <w:i/>
          <w:noProof/>
        </w:rPr>
        <w:t>data</w:t>
      </w:r>
      <w:r>
        <w:rPr>
          <w:noProof/>
        </w:rPr>
        <w:t xml:space="preserve"> tar-reġistru tal-ismijiet tal-passiġġieri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 16(2) u l-punt (a) tal-Artikolu 87(2)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dwar l-Avjazzjoni Ċivili Internazzjonali (il-“Konvenzjoni ta’ Chicago”), li tirregola t-trasport bl-ajru internazzjonali, daħlet fis-seħħ fl-4 ta’ April 1947. Din stabbiliet l-Organizzazzjoni tal-Avjazzjoni Ċivili Internazzjonali (ICAO).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L-Istati Membri huma Stati kontraenti tal-Konvenzjoni ta’ Chicago u membri tal-ICAO, filwaqt li l-Unjoni għandha status ta’ osservatur f’ċerti korpi tal-ICAO, inkluż fl-Assemblea u f’korpi tekniċi oħra.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il-punt (l) tal-Artikolu 54 ta’ Chicago, il-Kunsill tal-ICAO jista’ jadotta Standards u Prattiki Rakkomandati Internazzjonali (SARPs).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Il-Kunsill tas-Sigurtà tan-Nazzjonijiet Uniti (NU) fir-riżoluzzjoni tiegħu 2396 (2017), li ġiet adottata fil-21 ta’ Diċembru 2017, iddeċieda li l-Istati Membri tan-NU jiżviluppaw il-kapaċità li jiġbru, jipproċessaw u janalizzaw, b’segwitu għall-istandards u għall-prattiki rakkomandati tal-ICAO, id-</w:t>
      </w:r>
      <w:r>
        <w:rPr>
          <w:i/>
          <w:iCs/>
          <w:noProof/>
        </w:rPr>
        <w:t>data</w:t>
      </w:r>
      <w:r>
        <w:rPr>
          <w:noProof/>
        </w:rPr>
        <w:t xml:space="preserve"> tar-reġistri tal-ismijiet tal-passiġġieri (PNR), u jiżguraw li d-</w:t>
      </w:r>
      <w:r>
        <w:rPr>
          <w:i/>
          <w:iCs/>
          <w:noProof/>
        </w:rPr>
        <w:t>data</w:t>
      </w:r>
      <w:r>
        <w:rPr>
          <w:noProof/>
        </w:rPr>
        <w:t xml:space="preserve"> tal-PNR tintuża mill-awtoritajiet nazzjonali kompetenti kollha tagħhom kif ukoll tiġi kondiviża magħhom kollha, b’rispett sħiħ għad-drittijiet tal-bniedem u għal-libertajiet fundamentali, għall-fini ta’ prevenzjoni, identifikazzjoni u investigazzjoni ta’ reati ta’ terroriżmu u vjaġġar relatat magħhom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Ir-riżoluzzjoni 2396 (2017) ħeġġet ukoll lill-ICAO biex taħdem mal-Istati Membri tan-NU biex tistabbilixxi standard għall-ġbir, l-użu, l-ipproċessar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tal-PNR. 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L-SARPs għall-PNR jinsabu fil-Partijiet A u D tal-Kapitolu 9 tal-Anness 9 (il-“Faċilitazzjoni”), tal-Konvenzjoni ta’ Chicago. Dawn huma kkumplimentati minn gwida addizzjonali, b’mod partikolari mid-Dokument 9944 tal-ICAO li jistabbilixxi l-“Linji Gwida dwar id-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 (PNR)”.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F’Marzu 2019 il-Kumitat tat-Trasport bl-Ajru (ATC) tal-ICAO stabbilixxa Task Force li tikkonsisti minn esperti mill-Istati Membri tal-Bord ta’ Faċilitazzjoni tal-ICAO, biex </w:t>
      </w:r>
      <w:r>
        <w:rPr>
          <w:noProof/>
        </w:rPr>
        <w:lastRenderedPageBreak/>
        <w:t xml:space="preserve">tikkunsidra proposti dwar l-ISARPs ġodda li jirrigwardaw il-ġbir, l-użu, l-ipproċessar u l-protezzjoni tad-data tal-PNR f’konformità mar-Riżoluzzjoni 2396 (2017). Għadd ta’ Stati Membri tal-Unjoni huma rappreżentati fit-Task Force. Il-Kummissjoni tieħu sehem fit-Task Force bħala osservatur. It-Task Force hija mistennija tippreżenta r-rapport finali tagħha lill-ATC tal-ICAO f’Ottubru 2019.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L-40 Sessjoni tal-Assemblea tal-ICAO se ssir bejn l-24 ta’ Settembru u l-4 ta’ Ottubru 2019. L-Assemblea se tiddefinixxi d-direzzjoni politika tal-ICAO għas-snin li ġejjin, inkluż possibbilment fir-rigward tal-adozzjoni tal-SARPs il-ġodda dwar il-PNR.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Fit-18 ta’ Lulju 2019 il-Kunsill approva li waqt l-Assemblea tal-ICAO jiġi ppreżentat id-Dokument ta’ Informazzjoni dwar “Standards u prinċipji dwar il-ġbir, l-użu, l-ipproċessar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 (PNR). Dan id-dokument ta’ informazzjoni ġie ppreżentat fil-Konferenza Ewropea tal-Avjazzjoni Ċivili (ECAC) għall-konsultazzjoni.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Id-dokument jistabbilixxi l-pożizzjoni tal-Unjoni dwar il-prinċipji fundamentali li jikkontribwixxu biex jiġi żgurat ir-rispett tar-rekwiżiti kostituzzjonali u regolatorji dwar id-drittijiet fundamentali għall-privatezza u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meta tiġi pproċessata d-</w:t>
      </w:r>
      <w:r>
        <w:rPr>
          <w:i/>
          <w:iCs/>
          <w:noProof/>
        </w:rPr>
        <w:t>data</w:t>
      </w:r>
      <w:r>
        <w:rPr>
          <w:noProof/>
        </w:rPr>
        <w:t xml:space="preserve"> tal-PNR għall-finijiet tal-ġlieda kontra t-terroriżmu u l-kriminalità serja. L-ICAO hija mistiedna tinkludi tali prinċipji f’kull standard futur dwar il-PNR kif ukoll fil-Linji Gwida dwar il-PNR (riveduti) tal-ICAO (Dok 9944).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L-Unjoni adottat regoli komuni dwar id-</w:t>
      </w:r>
      <w:r>
        <w:rPr>
          <w:i/>
          <w:iCs/>
          <w:noProof/>
        </w:rPr>
        <w:t>data</w:t>
      </w:r>
      <w:r>
        <w:rPr>
          <w:noProof/>
        </w:rPr>
        <w:t xml:space="preserve"> tal-PNR, jiġifieri d-Direttiva (UE) 2016/681</w:t>
      </w:r>
      <w:r>
        <w:rPr>
          <w:rStyle w:val="FootnoteReference"/>
          <w:noProof/>
        </w:rPr>
        <w:footnoteReference w:id="13"/>
      </w:r>
      <w:r>
        <w:rPr>
          <w:noProof/>
        </w:rPr>
        <w:t>, li l-kamp ta’ applikazzjoni tagħha jikkonċidi fil-biċċa l-kbira mal-qasam li għandu jiġi kopert mill-SARPs previsti. Dawn jinkludu b’mod partikolari ġabra komprensiva ta’ regoli li jissalvagwardjaw id-drittijiet fundamentali għall-privatezza u 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fil-kuntest ta’ trasferiment tad-</w:t>
      </w:r>
      <w:r>
        <w:rPr>
          <w:i/>
          <w:iCs/>
          <w:noProof/>
        </w:rPr>
        <w:t>data</w:t>
      </w:r>
      <w:r>
        <w:rPr>
          <w:noProof/>
        </w:rPr>
        <w:t xml:space="preserve"> tal-PNR mingħand trasportaturi tal-ajru għall-Istati Membri għall-finijiet ta’ prevenzjoni, identifikazzjoni, investigazzjoni u prosekuzzjoni ta’ reati terroristiċi u ta’ kriminalità serja.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Attwalment hemm żewġ ftehimiet internazzjonali fis-seħħ bejn l-UE u pajjiżi terzi (jiġifieri mal-Awstralja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u l-Istati Uniti</w:t>
      </w:r>
      <w:r>
        <w:rPr>
          <w:rStyle w:val="FootnoteReference"/>
          <w:noProof/>
        </w:rPr>
        <w:footnoteReference w:id="15"/>
      </w:r>
      <w:r>
        <w:rPr>
          <w:noProof/>
        </w:rPr>
        <w:t>) dwar l-ipproċessar u t-trasferiment tad-</w:t>
      </w:r>
      <w:r>
        <w:rPr>
          <w:i/>
          <w:iCs/>
          <w:noProof/>
        </w:rPr>
        <w:t>data</w:t>
      </w:r>
      <w:r>
        <w:rPr>
          <w:noProof/>
        </w:rPr>
        <w:t xml:space="preserve"> tal-PNR. Fis-26 ta’ Lulju 2017 il-Qorti tal-Ġustizzja tal-UE adottat Opinjoni dwar il-Ftehim previst bejn l-UE u l-Kanada ffirmat fil-25 ta’ Ġunju 2014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Huwa xieraq li tiġi stabbilita l-pożizzjoni li għandha tittieħed f’isem l-Unjoni fil-Kunsill u fil-korpi preparatorji/tekniċi tal-ICAO, peress li kwalunkwe standard u prattika rakkomandati futuri fil-qasam tad-</w:t>
      </w:r>
      <w:r>
        <w:rPr>
          <w:i/>
          <w:iCs/>
          <w:noProof/>
        </w:rPr>
        <w:t>data</w:t>
      </w:r>
      <w:r>
        <w:rPr>
          <w:noProof/>
        </w:rPr>
        <w:t xml:space="preserve"> tal-PNR, b’mod partikolari l-emendi fil-Kapitolu 9 tal-Anness 9 (il-“Faċilitazzjoni”) tal-Konvenzjoni ta’ Chicago li ġiet adottata mill-Kunsill tal-ICAO, se jkunu jistgħu jinfluwenzaw b’mod deċiżiv il-kontenut tad-dritt tal-Unjoni, b’mod partikolari d-Direttiva (UE) 2016/681 u l-ftehimiet internazzjonali eżistenti tal-PNR.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Il-pożizzjoni tal-Unjoni stabbilita fl-Anness hija definita skont il-qafas legali applikabbli tal-Unjoni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u d-</w:t>
      </w:r>
      <w:r>
        <w:rPr>
          <w:i/>
          <w:iCs/>
          <w:noProof/>
        </w:rPr>
        <w:t>data</w:t>
      </w:r>
      <w:r>
        <w:rPr>
          <w:noProof/>
        </w:rPr>
        <w:t xml:space="preserve"> tal-PNR, b’mod </w:t>
      </w:r>
      <w:r>
        <w:rPr>
          <w:noProof/>
        </w:rPr>
        <w:lastRenderedPageBreak/>
        <w:t>partikolari r-Regolament (UE) 2016/679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>, id-Direttiva (UE) 2016/680 tal-Parlament Ewropew u tal-Kunsill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u d-Direttiva (UE) 2016/681 tal-Parlament Ewropew u tal-Kunsill, kif ukoll it-Trattat u l-Karta tad-Drittijiet Fundamentali kif interpretati fil-ġurisprudenza rilevanti tal-Qorti tal-Ġustizzja tal-Unjoni Ewropea, b’mod partikolari l-Opinjoni 1/15 tal-Qorti.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Il-pożizzjoni tal-Unjoni għandha tiġi espressa mill-Istati Membri tal-Unjoni li huma membri tal-Kunsill tal-ICAO, li jaġixxu b’mod konġunt.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[F’konformità mal-Artikolu 3 tal-Protokoll Nru 21 dwar il-pożizzjoni tar-Renju Unit u l-Irlanda fir-rigward tal-ispazju ta’ libertà, sigurtà u ġustizzja, anness mat-Trattat dwar l-Unjoni Ewropea u mat-Trattat dwar il-Funzjonament tal-Unjoni Ewropea, dawn l-Istati Membri nnotifikaw ix-xewqa tagħhom li jieħdu sehem fl-adozzjoni u fl-applikazzjoni ta’ din id-Deċiżjoni.]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JEW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[F’konformità mal-Artikoli 1 u 2 tal-Protokoll Nru 21 dwar il-pożizzjoni tar-Renju Unit u l-Irlanda fir-rigward tal-ispazju ta’ libertà, sigurtà u ġustizzja, anness mat-Trattat dwar l-Unjoni Ewropea u mat-Trattat dwar il-Funzjonament tal-Unjoni Ewropea, u mingħajr preġudizzju għall-Artikolu 4 ta’ dan il-protokoll, dawn l-Istati Membri mhumiex qed jieħdu sehem fl-adozzjoni ta’ din id-Deċiżjoni u mhumiex marbutin biha jew soġġetti għall-applikazzjoni tagħha.]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JEW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[F’konformità mal-Artikoli 1 u 2 tal-Protokoll Nru 21 dwar il-pożizzjoni tar-Renju Unit u l-Irlanda fir-rigward tal-ispazju ta’ libertà, sigurtà u ġustizzja, anness mat-Trattat dwar l-Unjoni Ewropea u mat-Trattat dwar il-Funzjonament tal-Unjoni Ewropea, u mingħajr preġudizzju għall-Artikolu 4 ta’ dan il-protokoll, ir-Renju Unit mhux qed jieħu sehem fl-adozzjoni ta’ din id-Deċiżjoni u mhuwiex marbut biha jew soġġett għall-applikazzjoni tagħha.]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>[F’konformità mal-Artikolu 3 tal-Protokoll Nru 21 dwar il-pożizzjoni tar-Renju Unit u l-Irlanda fir-rigward tal-ispazju ta’ libertà, sigurtà u ġustizzja, anness mat-Trattat dwar l-Unjoni Ewropea u mat-Trattat dwar il-Funzjonament tal-Unjoni Ewropea, l-Irlanda nnotifikat (, permezz ta’ ittra ta’ ...,) ix-xewqa tagħha li tieħdu sehem fl-adozzjoni u fl-applikazzjoni ta’ din id-Deċiżjoni.]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</w:r>
      <w:r>
        <w:rPr>
          <w:noProof/>
          <w:sz w:val="23"/>
          <w:szCs w:val="23"/>
        </w:rPr>
        <w:t xml:space="preserve">JEW </w:t>
      </w:r>
      <w:r>
        <w:rPr>
          <w:noProof/>
          <w:sz w:val="23"/>
          <w:szCs w:val="23"/>
        </w:rPr>
        <w:tab/>
      </w:r>
      <w:r>
        <w:rPr>
          <w:noProof/>
          <w:sz w:val="23"/>
          <w:szCs w:val="23"/>
        </w:rPr>
        <w:br/>
      </w:r>
      <w:r>
        <w:rPr>
          <w:noProof/>
          <w:sz w:val="23"/>
          <w:szCs w:val="23"/>
        </w:rPr>
        <w:br/>
      </w:r>
      <w:r>
        <w:rPr>
          <w:noProof/>
        </w:rPr>
        <w:t xml:space="preserve">[F’konformità mal-Artikolu 3 tal-Protokoll Nru 21 dwar il-pożizzjoni tar-Renju Unit u l-Irlanda fir-rigward tal-ispazju ta’ libertà, sigurtà u ġustizzja, anness mat-Trattat dwar </w:t>
      </w:r>
      <w:r>
        <w:rPr>
          <w:noProof/>
        </w:rPr>
        <w:lastRenderedPageBreak/>
        <w:t xml:space="preserve">l-Unjoni Ewropea u mat-Trattat dwar il-Funzjonament tal-Unjoni Ewropea, ir-Renju Unit nnotifika (, permezz ta’ ittra ta’ ...,) x-xewqa tiegħu li jieħdu sehem fl-adozzjoni u fl-applikazzjoni ta’ din id-Deċiżjoni.] </w: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br/>
        <w:t xml:space="preserve">[F’konformità mal-Artikoli 1 u 2 tal-Protokoll Nru 21 dwar il-pożizzjoni tar-Renju Unit u l-Irlanda fir-rigward tal-ispazju ta’ libertà, sigurtà u ġustizzja, anness mat-Trattat dwar l-Unjoni Ewropea u mat-Trattat dwar il-Funzjonament tal-Unjoni Ewropea, u mingħajr preġudizzju għall-Artikolu 4 ta’ dan il-protokoll, l-Irlanda mhijiex qed tieħu sehem fl-adozzjoni ta’ din id-Deċiżjoni u mhijiex marbuta biha jew soġġetta għall-applikazzjoni tagħha.]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F’konformità mal-Artikoli 1 u 2 tal-Protokoll Nru 22 dwar il-pożizzjoni tad-Danimarka, anness mat-Trattat dwar l-Unjoni Ewropea u mat-Trattat dwar il-Funzjonament tal-Unjoni Ewropea, id-Danimarka mhijiex qiegħda tieħu sehem fl-adozzjoni ta’ din id-Deċiżjoni u mhijiex marbuta biha jew soġġetta għall-applikazzjoni tagħha,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tittieħed f’isem l-Unjoni fil-Kunsill tal-Organizzazzjoni tal-Avjazzjoni Ċivili Internazzjonali (“ICAO”) fir-rigward tal-adozzjoni tal-Istandards u l-Prattiki Rakkomandati rigward id-</w:t>
      </w:r>
      <w:r>
        <w:rPr>
          <w:i/>
          <w:iCs/>
          <w:noProof/>
        </w:rPr>
        <w:t>data</w:t>
      </w:r>
      <w:r>
        <w:rPr>
          <w:noProof/>
        </w:rPr>
        <w:t xml:space="preserve"> tar-Reġistru tal-Ismijiet tal-Passiġġieri, b’mod partikolari permezz tar-reviżjoni tal-Kapitolu 9 tal-Anness 9 (il-“Faċilitazzjoni”) tal-Konvenzjoni ta’ Chicago hija stabbilita fl-Anness.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 xml:space="preserve">Il-pożizzjoni msemmija fl-Artikolu 1 għandha tiġi espressa mill-Istati Membri tal-Unjoni li huma membri tal-Kunsill tal-ICAO, li jaġixxu b’mod konġunt.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id-Deċiżjoni hija indirizzata lill-Istati Membri</w:t>
      </w:r>
      <w:r>
        <w:rPr>
          <w:i/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ICAO, id-Dokument 9944 “Guidelines on Passenger Name Record (PNR) Data (Linji Gwida dwar id-</w:t>
      </w:r>
      <w:r>
        <w:rPr>
          <w:i/>
          <w:iCs/>
        </w:rPr>
        <w:t>Data</w:t>
      </w:r>
      <w:r>
        <w:t xml:space="preserve"> tar-Reġistru tal-Ismijiet tal-Passiġġieri)”, l-Ewwel Edizzjoni — 2010.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Ir-Riżoluzzjoni 2396 (2017) tal-Kunsill tas-Sigurtà dwar it-theddid għall-paċi u s-sigurtà internazzjonali kkawżat minn ġellieda terroristi barranin li jirritornaw.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(UE) 2016/681 tal-Parlament Ewropew u tal-Kunsill tas-27 ta’ April 2016 dwar l-użu ta’ </w:t>
      </w:r>
      <w:r>
        <w:rPr>
          <w:i/>
          <w:iCs/>
        </w:rPr>
        <w:t>data</w:t>
      </w:r>
      <w:r>
        <w:t xml:space="preserve"> tar-reġistru tal-ismijiet tal-passiġġieri (PNR) għall-prevenzjoni, l-iskoperta, l-investigazzjoni u l-prosekuzzjoni ta’ reati terroristiċi u kriminalità serja, ĠU L 119, 4.5.2016, p. 132–149.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Ara d-Dsatax-il Rapport ta’ Progress għal Unjoni tas-Sigurtà effettiva u ġenwina (COM (2019) 353 final, 24.7.2019) dwar il-qagħda tal-implimentazzjoni tad-Direttiva dwar il-PNR.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Deċiżjoni ta’ Implimentazzjoni tal-Kummissjoni (UE) 2017/759 tat-28 ta’ April 2017 dwar protokolli komuni u formati tad-</w:t>
      </w:r>
      <w:r>
        <w:rPr>
          <w:i/>
          <w:iCs/>
        </w:rPr>
        <w:t>data</w:t>
      </w:r>
      <w:r>
        <w:t xml:space="preserve"> biex jintużaw minn trasportaturi tal-ajru meta tiġi trasferita </w:t>
      </w:r>
      <w:r>
        <w:rPr>
          <w:i/>
          <w:iCs/>
        </w:rPr>
        <w:t>data</w:t>
      </w:r>
      <w:r>
        <w:t xml:space="preserve"> tal-PNR lill-Unitajiet tal-Informazzjoni dwar il-Passiġġieri, C/2017/2743, ĠU L 113, 29.4.2017, p. 48–51. </w:t>
      </w:r>
    </w:p>
  </w:footnote>
  <w:footnote w:id="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ĠU L 186, 14.7.2012, p. 4–16. </w:t>
      </w:r>
    </w:p>
  </w:footnote>
  <w:footnote w:id="7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ĠU L 215, 11.8.2012, p. 5-14. </w:t>
      </w:r>
    </w:p>
  </w:footnote>
  <w:footnote w:id="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Opinjoni 1/15 tal-Qorti (Awla Manja), is-26 ta’ Lulju 2017, ECLI:EU:C:2017:592.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Skont din id-dispożizzjoni, </w:t>
      </w:r>
      <w:r>
        <w:rPr>
          <w:i/>
          <w:iCs/>
        </w:rPr>
        <w:t>“il-Kummissjoni għandha, sa Mejju 2020, tagħmel rieżami tal-elementi kollha ta’ din id-Direttiva”</w:t>
      </w:r>
      <w:r>
        <w:t xml:space="preserve">. Jekk ikun xieraq, għandha tipproponi emendi (il-para. (4)). 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 C-399/12, ECLI:EU:C:2014:2258, il-paragrafu 64. 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Is-sentenza tal-Qorti tal-Ġustizzja tas-7 ta’ Ottubru 2014, il-Ġermanja vs il-Kunsill, C-399/12, ECLI:EU:C:2014:2258, il-paragrafi minn 61 sa 64.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S/RES/2396(2017) tal-21 ta’ Diċembru 2017.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(UE) 2016/681 tal-Parlament Ewropew u tal-Kunsill tas-27 ta’ April 2016 dwar l-użu ta’ </w:t>
      </w:r>
      <w:r>
        <w:rPr>
          <w:i/>
          <w:iCs/>
        </w:rPr>
        <w:t>data</w:t>
      </w:r>
      <w:r>
        <w:t xml:space="preserve"> tar-reġistru tal-ismijiet tal-passiġġieri (PNR) għall-prevenzjoni, l-iskoperta, l-investigazzjoni u l-prosekuzzjoni ta’ reati terroristiċi u kriminalità serja, (ĠU L 119, 4.5.2016, p. 132).</w:t>
      </w:r>
    </w:p>
  </w:footnote>
  <w:footnote w:id="1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ĠU L 186, 14.7.2012, p. 4-16. </w:t>
      </w:r>
    </w:p>
  </w:footnote>
  <w:footnote w:id="1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 xml:space="preserve">ĠU L 215, 11.8.2012, p. 5-14. 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Opinjoni 1/15 tal-Qorti (Awla Manja), tas-26 ta’ Lulju 2017, ECLI:EU:C:2017:592.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2016/679 tal-Parlament Ewropew u tal-Kunsill tas-27 ta’ April 2016 dwar il-protezzjoni tal-persuni fiżiċi fir-rigward tal-ipproċessar ta’ </w:t>
      </w:r>
      <w:r>
        <w:rPr>
          <w:i/>
          <w:iCs/>
        </w:rPr>
        <w:t>data</w:t>
      </w:r>
      <w:r>
        <w:t xml:space="preserve"> personali u dwar il-moviment liberu ta’ tali </w:t>
      </w:r>
      <w:r>
        <w:rPr>
          <w:i/>
          <w:iCs/>
        </w:rPr>
        <w:t>data</w:t>
      </w:r>
      <w:r>
        <w:t>, u li jħassar id-Direttiva 95/46/KE (Regolament Ġenerali dwar il-Protezzjoni tad-</w:t>
      </w:r>
      <w:r>
        <w:rPr>
          <w:i/>
          <w:iCs/>
        </w:rPr>
        <w:t>Data</w:t>
      </w:r>
      <w:r>
        <w:t>) (ĠU L 119, 4.5.2016, p. 1).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Id-Direttiva (UE) 2016/680 tal-Parlament Ewropew u tal-Kunsill tas-27 ta’ April 2016 dwar il-protezzjoni ta’ persuni fiżiċi fir-rigward tal-ipproċessar ta’ </w:t>
      </w:r>
      <w:r>
        <w:rPr>
          <w:i/>
          <w:iCs/>
        </w:rPr>
        <w:t>data</w:t>
      </w:r>
      <w:r>
        <w:t xml:space="preserve"> personali mill-awtoritajiet kompetenti għall-finijiet tal-prevenzjoni, l-investigazzjoni, is-sejbien jew il-prosekuzzjoni ta’ reati kriminali jew l-eżekuzzjoni ta’ pieni kriminali, u dwar il-moviment liberu ta’ tali </w:t>
      </w:r>
      <w:r>
        <w:rPr>
          <w:i/>
          <w:iCs/>
        </w:rPr>
        <w:t>data</w:t>
      </w:r>
      <w:r>
        <w:t>, u li tħassar id-Deċiżjoni Qafas tal-Kunsill 2008/977/ĠAI (ĠU L 119, 4.5.2016, p. 89).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20A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74B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3B448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8F6B7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D941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0C8DC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7682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CAC7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9-13 10:0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02D7B518-A400-4FBB-86CB-49FC49001D22"/>
    <w:docVar w:name="LW_COVERPAGE_TYPE" w:val="1"/>
    <w:docVar w:name="LW_CROSSREFERENCE" w:val="&lt;UNUSED&gt;"/>
    <w:docVar w:name="LW_DocType" w:val="COM"/>
    <w:docVar w:name="LW_EMISSION" w:val="13.9.2019"/>
    <w:docVar w:name="LW_EMISSION_ISODATE" w:val="2019-09-13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95"/>
    <w:docVar w:name="LW_REF.II.NEW.CP_YEAR" w:val="2019"/>
    <w:docVar w:name="LW_REF.INST.NEW" w:val="COM"/>
    <w:docVar w:name="LW_REF.INST.NEW_ADOPTED" w:val="final"/>
    <w:docVar w:name="LW_REF.INST.NEW_TEXT" w:val="(2019) 41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nsill tal-Organizzazzjoni tal-Avjazzjoni \u266?ivili Internazzjonali fir-rigward tar-revi\u380?joni tal-Kapitolu 9 tal-Anness 9 (il-\u8220?Fa\u267?ilitazzjoni\u8221?) tal-Konvenzjoni dwar l-Avjazzjoni \u266?ivili Internazzjonali fir-rigward tal-istandards u l-prattiki rakkomandati dwar id-&lt;FMT:Italic&gt;data&lt;/FMT&gt; tar-re\u289?istru tal-ismijiet tal-passi\u289?\u289?ieri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?????? Pro W3" w:hAnsi="Arial" w:cs="Times New Roman"/>
      <w:color w:val="000000"/>
      <w:sz w:val="18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customStyle="1" w:styleId="s1">
    <w:name w:val="s1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?????? Pro W3" w:hAnsi="Arial" w:cs="Times New Roman"/>
      <w:color w:val="000000"/>
      <w:sz w:val="18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customStyle="1" w:styleId="s1">
    <w:name w:val="s1"/>
    <w:basedOn w:val="DefaultParagraphFon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24978D-D82A-4E41-9BA0-2DB37218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10</Pages>
  <Words>3013</Words>
  <Characters>22571</Characters>
  <Application>Microsoft Office Word</Application>
  <DocSecurity>0</DocSecurity>
  <Lines>347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2019-08-06T08:17:00Z</cp:lastPrinted>
  <dcterms:created xsi:type="dcterms:W3CDTF">2019-09-11T14:37:00Z</dcterms:created>
  <dcterms:modified xsi:type="dcterms:W3CDTF">2019-09-13T08:01:00Z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