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693F1C7-38DC-42E0-AE4E-6D0E3D2D906C" style="width:450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0" w:name="_GoBack"/>
      <w:bookmarkEnd w:id="0"/>
    </w:p>
    <w:p>
      <w:pPr>
        <w:tabs>
          <w:tab w:val="left" w:pos="3458"/>
        </w:tabs>
        <w:rPr>
          <w:noProof/>
        </w:rPr>
      </w:pPr>
      <w:r>
        <w:rPr>
          <w:noProof/>
        </w:rPr>
        <w:tab/>
      </w:r>
    </w:p>
    <w:p>
      <w:pPr>
        <w:tabs>
          <w:tab w:val="left" w:pos="3458"/>
        </w:tabs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  <w:r>
        <w:rPr>
          <w:noProof/>
        </w:rPr>
        <w:tab/>
      </w:r>
    </w:p>
    <w:p>
      <w:pPr>
        <w:pStyle w:val="Annexetitre"/>
        <w:rPr>
          <w:noProof/>
        </w:rPr>
      </w:pPr>
      <w:r>
        <w:rPr>
          <w:noProof/>
        </w:rPr>
        <w:lastRenderedPageBreak/>
        <w:t xml:space="preserve">ZAŁĄCZNIK </w:t>
      </w:r>
    </w:p>
    <w:p>
      <w:pPr>
        <w:rPr>
          <w:noProof/>
        </w:rPr>
      </w:pPr>
    </w:p>
    <w:p>
      <w:pPr>
        <w:jc w:val="center"/>
        <w:rPr>
          <w:b/>
          <w:bCs/>
          <w:noProof/>
        </w:rPr>
      </w:pPr>
      <w:r>
        <w:rPr>
          <w:b/>
          <w:bCs/>
          <w:noProof/>
        </w:rPr>
        <w:t>Stanowisko, jakie ma być zajęte w imieniu Unii Europejskiej na forum Rady Organizacji Międzynarodowego Lotnictwa Cywilnego względem zmiany rozdziału 9 załącznika 9 („Ułatwienia”) do Konwencji o międzynarodowym lotnictwie cywilnym w odniesieniu do norm i zalecanych metod postępowania w zakresie danych dotyczących przelotu pasażera</w:t>
      </w:r>
    </w:p>
    <w:p>
      <w:pPr>
        <w:rPr>
          <w:b/>
          <w:bCs/>
          <w:noProof/>
        </w:rPr>
      </w:pPr>
    </w:p>
    <w:p>
      <w:pPr>
        <w:rPr>
          <w:b/>
          <w:bCs/>
          <w:noProof/>
        </w:rPr>
      </w:pPr>
      <w:r>
        <w:rPr>
          <w:b/>
          <w:bCs/>
          <w:noProof/>
        </w:rPr>
        <w:t xml:space="preserve">Zasady ogólne </w:t>
      </w:r>
    </w:p>
    <w:p>
      <w:pPr>
        <w:rPr>
          <w:noProof/>
        </w:rPr>
      </w:pPr>
      <w:r>
        <w:rPr>
          <w:noProof/>
        </w:rPr>
        <w:t xml:space="preserve">W ramach działań Organizacji Międzynarodowego Lotnictwa Cywilnego (ICAO) w odniesieniu do zmiany rozdziału 9 załącznika 9 („Ułatwienia”) do konwencji chicagowskiej odnoszącej się do opracowania norm i zalecanych metod postępowania dotyczących danych dotyczących przelotu pasażera (danych PNR) państwa członkowskie, działając wspólnie w interesie Unii: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działają zgodnie z celami realizowanymi przez Unię w ramach jej polityki dotyczącej danych PNR, a zwłaszcza w celu zapewnienia ochrony, ochrony życia i bezpieczeństwa osób oraz pełnego poszanowania praw podstawowych, w szczególności prawa do prywatności i do ochrony danych osobowych;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szerzą wiedzę wśród wszystkich umawiających się państw ICAO na temat unijnych norm i zasad dotyczących przekazywania danych PNR, zgodnie z odpowiednim prawem Unii i orzecznictwem Trybunału Sprawiedliwości Unii Europejskiej;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propagują opracowanie rozwiązań wielostronnych zgodnych z prawami podstawowymi w zakresie przekazywania przez linie lotnicze danych PNR organom egzekwowania prawa, w interesie zapewnienia pewności prawa, poszanowania praw podstawowych oraz w celu uproszczenia obowiązków przewoźników lotniczych;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propagują wymianę danych PNR i wyników przetwarzania tych danych między umawiającymi się państwami ICAO, w przypadku gdy uznaje się to za konieczne do zapobiegania przestępstwom terrorystycznym lub poważnej przestępczości, ich wykrywania, prowadzenia postępowań przygotowawczych w ich sprawie lub ich ścigania, przy pełnym poszanowaniu podstawowych praw i wolności; 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stale wspierają opracowanie przez ICAO norm dotyczących gromadzenia, wykorzystywania, przetwarzania i ochrony danych PNR, zgodnie z rezolucją Rady Bezpieczeństwa ONZ nr 2396 (2017) z dnia 21 grudnia 2017 r.; 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stale wspierają rozwój – we wszystkich umawiających się państwach ICAO – zdolności do gromadzenia, przetwarzania i analizowania – na potrzeby norm i zalecanych metod postępowania ICAO – danych PNR oraz do zapewnienia, aby dane te były dostępne dla wszystkich właściwych organów krajowych i przez nie wykorzystywane, przy pełnym poszanowaniu praw człowieka i podstawowych wolności, do celów zapobiegania przestępstwom terrorystycznym i związanym z nimi podróżom, ich wykrywania i prowadzenia postępowań przygotowawczych w ich sprawie, zgodnie z wymogami rezolucji Rady Bezpieczeństwa ONZ nr 2396 (2017) z dnia 21 grudnia 2017 r.; 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 xml:space="preserve">propagują tworzenie środowiska sprzyjającego rozwojowi międzynarodowego transportu lotniczego w ramach otwartego, zliberalizowanego i globalnego rynku, jak również dalszemu wzrostowi tego transportu, dbając jednocześnie o kwestię ochrony i przy zapewnieniu wprowadzenia odpowiednich zabezpieczeń. 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rPr>
          <w:b/>
          <w:bCs/>
          <w:noProof/>
        </w:rPr>
      </w:pPr>
      <w:r>
        <w:rPr>
          <w:b/>
          <w:bCs/>
          <w:noProof/>
        </w:rPr>
        <w:t xml:space="preserve">Kierunki działania </w:t>
      </w:r>
    </w:p>
    <w:p>
      <w:pPr>
        <w:rPr>
          <w:noProof/>
        </w:rPr>
      </w:pPr>
      <w:r>
        <w:rPr>
          <w:noProof/>
        </w:rPr>
        <w:t xml:space="preserve">Państwa członkowskie, działając wspólnie w interesie Unii, wspierają włączenie następujących norm i zasad do wszelkich przyszłych norm i zalecanych metod postępowania ICAO dotyczących danych PNR: </w:t>
      </w:r>
    </w:p>
    <w:p>
      <w:pPr>
        <w:pStyle w:val="NumPar1"/>
        <w:numPr>
          <w:ilvl w:val="0"/>
          <w:numId w:val="9"/>
        </w:numPr>
        <w:rPr>
          <w:b/>
          <w:noProof/>
        </w:rPr>
      </w:pPr>
      <w:r>
        <w:rPr>
          <w:b/>
          <w:noProof/>
        </w:rPr>
        <w:t xml:space="preserve">W odniesieniu do warunków przekazywania danych PNR: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b/>
          <w:bCs/>
          <w:noProof/>
        </w:rPr>
        <w:t>Metoda przekazywania danych:</w:t>
      </w:r>
      <w:r>
        <w:rPr>
          <w:noProof/>
        </w:rPr>
        <w:t xml:space="preserve"> W celu ochrony danych osobowych zawartych w systemach przewoźników oraz w celu zapewnienia, aby utrzymali oni kontrolę nad tymi systemami, dane należy przekazywać wyłącznie za pomocą systemu „push”.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b/>
          <w:bCs/>
          <w:noProof/>
        </w:rPr>
        <w:t>Protokoły przekazywania danych:</w:t>
      </w:r>
      <w:r>
        <w:rPr>
          <w:noProof/>
        </w:rPr>
        <w:t xml:space="preserve"> Należy zachęcać do stosowania właściwych i bezpiecznych protokołów otwartych, stanowiących część przyjętych na szczeblu międzynarodowym referencyjnych protokołów przekazywania danych PNR w celu stopniowego zwiększania ich wykorzystania i ewentualnego zastąpienia norm własnościowych.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>
        <w:rPr>
          <w:b/>
          <w:bCs/>
          <w:noProof/>
        </w:rPr>
        <w:t>Częstotliwość przekazywania danych:</w:t>
      </w:r>
      <w:r>
        <w:rPr>
          <w:noProof/>
        </w:rPr>
        <w:t xml:space="preserve"> Częstotliwość i terminy przekazywania danych PNR nie powinny stwarzać nieuzasadnionego obciążenia dla przewoźników i powinny ograniczać się do tego, co jest absolutnie niezbędne do celów egzekwowania prawa i bezpieczeństwa granic w celu zwalczania terroryzmu i poważnej przestępczości.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</w:r>
      <w:r>
        <w:rPr>
          <w:b/>
          <w:bCs/>
          <w:noProof/>
        </w:rPr>
        <w:t>Brak obowiązku gromadzenia przez przewoźników dodatkowych danych:</w:t>
      </w:r>
      <w:r>
        <w:rPr>
          <w:noProof/>
        </w:rPr>
        <w:t xml:space="preserve"> Przewoźnicy nie powinni być zobowiązani do gromadzenia dodatkowych danych PNR, ani do gromadzenia określonych rodzajów danych, lecz wyłącznie do przekazywania danych, które już gromadzą w ramach swojej działalności.</w:t>
      </w:r>
    </w:p>
    <w:p>
      <w:pPr>
        <w:pStyle w:val="NumPar1"/>
        <w:rPr>
          <w:b/>
          <w:noProof/>
        </w:rPr>
      </w:pPr>
      <w:r>
        <w:rPr>
          <w:b/>
          <w:noProof/>
        </w:rPr>
        <w:t xml:space="preserve">W odniesieniu do warunków przetwarzania danych PNR: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b/>
          <w:bCs/>
          <w:noProof/>
        </w:rPr>
        <w:t>Terminy przekazywania i przetwarzania:</w:t>
      </w:r>
      <w:r>
        <w:rPr>
          <w:noProof/>
        </w:rPr>
        <w:t xml:space="preserve"> Z zastrzeżeniem odpowiednich gwarancji ochrony prywatności osób, których to dotyczy, dane PNR mogą być udostępniane z odpowiednim wyprzedzeniem przed przylotem lub odlotem, co zapewni organom więcej czasu na przetwarzanie i analizę tych danych oraz ewentualne podjęcie działań.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b/>
          <w:bCs/>
          <w:noProof/>
        </w:rPr>
        <w:t>Porównanie z wcześniej ustalonymi kryteriami i bazami danych:</w:t>
      </w:r>
      <w:r>
        <w:rPr>
          <w:noProof/>
        </w:rPr>
        <w:t xml:space="preserve"> Organy powinny przetwarzać dane PNR przy wykorzystaniu opartych na dowodach kryteriów i baz danych, które są istotne z punktu widzenia zwalczania terroryzmu i poważnej przestępczości. </w:t>
      </w:r>
    </w:p>
    <w:p>
      <w:pPr>
        <w:pStyle w:val="NumPar1"/>
        <w:rPr>
          <w:b/>
          <w:noProof/>
        </w:rPr>
      </w:pPr>
      <w:r>
        <w:rPr>
          <w:b/>
          <w:noProof/>
        </w:rPr>
        <w:t xml:space="preserve">W odniesieniu do ochrony danych osobowych: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b/>
          <w:bCs/>
          <w:noProof/>
        </w:rPr>
        <w:t>Legalność, rzetelność i przejrzystość przetwarzania:</w:t>
      </w:r>
      <w:r>
        <w:rPr>
          <w:noProof/>
        </w:rPr>
        <w:t xml:space="preserve"> Musi istnieć podstawa prawna dla przetwarzania danych osobowych, aby uświadomić jednostkom ryzyko, zabezpieczenia i prawa związane z przetwarzaniem ich danych osobowych oraz sposoby egzekwowania ich praw w odniesieniu do przetwarzania tych danych.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b/>
          <w:bCs/>
          <w:noProof/>
        </w:rPr>
        <w:t>Ograniczenie celu:</w:t>
      </w:r>
      <w:r>
        <w:rPr>
          <w:noProof/>
        </w:rPr>
        <w:t xml:space="preserve"> Cele, dla których dane PNR mogą być wykorzystywane przez organy, powinny być jasno określone i nie powinny wykraczać poza to, co jest konieczne do ich osiągnięcia, w szczególności na potrzeby egzekwowania prawa i bezpieczeństwa granic w celu zwalczania terroryzmu i poważnej przestępczości.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>
        <w:rPr>
          <w:b/>
          <w:bCs/>
          <w:noProof/>
        </w:rPr>
        <w:t>Zakres danych PNR:</w:t>
      </w:r>
      <w:r>
        <w:rPr>
          <w:noProof/>
        </w:rPr>
        <w:t xml:space="preserve"> Elementy danych PNR, które mają być przekazywane przez linie lotnicze, powinny być wyraźnie określone i wymienione w sposób wyczerpujący. Wykaz tych elementów powinien być ustandaryzowany, aby zapewnić, że dane te są ograniczone do minimum, przy jednoczesnym zapobieganiu przetwarzania danych wrażliwych, w tym danych ujawniających pochodzenie rasowe lub etniczne osoby, jej poglądy polityczne, przekonania religijne lub filozoficzne, przynależność do związków zawodowych, stan zdrowia, życie seksualne lub orientację seksualną.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</w:r>
      <w:r>
        <w:rPr>
          <w:b/>
          <w:bCs/>
          <w:noProof/>
        </w:rPr>
        <w:t>Wykorzystanie danych PNR:</w:t>
      </w:r>
      <w:r>
        <w:rPr>
          <w:noProof/>
        </w:rPr>
        <w:t xml:space="preserve"> Dalsze przetwarzanie danych PNR powinno ograniczać się do celów pierwotnego przekazania, w oparciu o obiektywne kryteria i z zastrzeżeniem materialnych i proceduralnych warunków zgodnych z wymogami mającymi zastosowanie do przekazywania danych osobowych.  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</w:r>
      <w:r>
        <w:rPr>
          <w:b/>
          <w:bCs/>
          <w:noProof/>
        </w:rPr>
        <w:t>Automatyczne przetwarzanie danych PNR:</w:t>
      </w:r>
      <w:r>
        <w:rPr>
          <w:noProof/>
        </w:rPr>
        <w:t xml:space="preserve"> Automatyczne przetwarzanie powinno opierać się na obiektywnych, niedyskryminacyjnych i wiarygodnych, wcześniej ustalonych kryteriach i nie powinno być wykorzystywane jako jedyna podstawa decyzji wywołujących negatywne skutki prawne lub poważnie wpływających na daną osobę.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</w:r>
      <w:r>
        <w:rPr>
          <w:b/>
          <w:bCs/>
          <w:noProof/>
        </w:rPr>
        <w:t xml:space="preserve">Przechowywanie danych: </w:t>
      </w:r>
      <w:r>
        <w:rPr>
          <w:noProof/>
        </w:rPr>
        <w:t>Okres przechowywania danych PNR powinien być ograniczony i nie powinien być dłuższy niż jest to konieczne do osiągnięcia pierwotnego celu. Należy zapewnić usunięcie danych zgodnie z wymogami prawnymi kraju pochodzenia. Po upływie okresu przechowywania dane PNR powinny zostać usunięte lub zanonimizowane.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</w:r>
      <w:r>
        <w:rPr>
          <w:b/>
          <w:bCs/>
          <w:noProof/>
        </w:rPr>
        <w:t>Ujawnianie danych PNR upoważnionym organom:</w:t>
      </w:r>
      <w:r>
        <w:rPr>
          <w:noProof/>
        </w:rPr>
        <w:t xml:space="preserve"> Dalsze ujawnianie danych PNR innym organom rządowym w tym samym państwie lub innym umawiającym się państwom ICAO dokonywane jest w konkretnych przypadkach i może mieć miejsce tylko wtedy, gdy organ przyjmujący pełni funkcje związane z walką z terroryzmem lub poważną przestępczością międzynarodową i zapewnia taką samą ochronę, jaką zapewnia organ ujawniający informacje. 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</w:r>
      <w:r>
        <w:rPr>
          <w:b/>
          <w:bCs/>
          <w:noProof/>
        </w:rPr>
        <w:t>Ochrona danych:</w:t>
      </w:r>
      <w:r>
        <w:rPr>
          <w:noProof/>
        </w:rPr>
        <w:t xml:space="preserve"> Należy zastosować odpowiednie środki w celu ochrony bezpieczeństwa, poufności i integralności danych PNR.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</w:r>
      <w:r>
        <w:rPr>
          <w:b/>
          <w:bCs/>
          <w:noProof/>
        </w:rPr>
        <w:t>Przejrzystość i udzielanie informacji:</w:t>
      </w:r>
      <w:r>
        <w:rPr>
          <w:noProof/>
        </w:rPr>
        <w:t xml:space="preserve"> Z zastrzeżeniem koniecznych i proporcjonalnych ograniczeń osoby powinny być powiadamiane o przetwarzaniu ich danych PNR oraz informowane o przysługujących im prawach i środkach dochodzenia roszczeń. 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</w:r>
      <w:r>
        <w:rPr>
          <w:b/>
          <w:bCs/>
          <w:noProof/>
        </w:rPr>
        <w:t>Dostęp, poprawianie i usuwanie:</w:t>
      </w:r>
      <w:r>
        <w:rPr>
          <w:noProof/>
        </w:rPr>
        <w:t xml:space="preserve"> Z zastrzeżeniem koniecznych i proporcjonalnych ograniczeń osoby powinny mieć prawo dostępu do swoich danych PNR oraz prawo do ich poprawiania. </w:t>
      </w:r>
    </w:p>
    <w:p>
      <w:pPr>
        <w:pStyle w:val="Point0"/>
        <w:rPr>
          <w:noProof/>
        </w:rPr>
      </w:pPr>
      <w:r>
        <w:rPr>
          <w:noProof/>
        </w:rPr>
        <w:t>k)</w:t>
      </w:r>
      <w:r>
        <w:rPr>
          <w:noProof/>
        </w:rPr>
        <w:tab/>
      </w:r>
      <w:r>
        <w:rPr>
          <w:b/>
          <w:bCs/>
          <w:noProof/>
        </w:rPr>
        <w:t>Środki dochodzenia roszczeń:</w:t>
      </w:r>
      <w:r>
        <w:rPr>
          <w:noProof/>
        </w:rPr>
        <w:t xml:space="preserve"> Osoby powinny mieć prawo do skutecznych administracyjnych i sądowych środków dochodzenia roszczeń, jeżeli uznają, że ich prawo do prywatności i ochrony danych zostało naruszone. </w:t>
      </w:r>
    </w:p>
    <w:p>
      <w:pPr>
        <w:pStyle w:val="Point0"/>
        <w:rPr>
          <w:noProof/>
        </w:rPr>
      </w:pPr>
      <w:r>
        <w:rPr>
          <w:noProof/>
        </w:rPr>
        <w:t>l)</w:t>
      </w:r>
      <w:r>
        <w:rPr>
          <w:noProof/>
        </w:rPr>
        <w:tab/>
      </w:r>
      <w:r>
        <w:rPr>
          <w:b/>
          <w:bCs/>
          <w:noProof/>
        </w:rPr>
        <w:t>Nadzór i odpowiedzialność:</w:t>
      </w:r>
      <w:r>
        <w:rPr>
          <w:noProof/>
        </w:rPr>
        <w:t xml:space="preserve"> Organy wykorzystujące dane PNR powinny być odpowiedzialne przed niezależnym organem publicznym i być przez niego nadzorowane; organ ten powinien dysponować skutecznymi uprawnieniami do przeprowadzania dochodzeń i egzekwowania prawa, a także powinien być w stanie wykonywać swoje zadania w sposób wolny od wszelkich wpływów, w szczególności od wpływów organów egzekwowania prawa. </w:t>
      </w:r>
    </w:p>
    <w:p>
      <w:pPr>
        <w:pStyle w:val="NumPar1"/>
        <w:rPr>
          <w:b/>
          <w:noProof/>
        </w:rPr>
      </w:pPr>
      <w:r>
        <w:rPr>
          <w:b/>
          <w:noProof/>
        </w:rPr>
        <w:t xml:space="preserve">W sprawie wymiany informacji dotyczących danych PNR między organami egzekwowania prawa: </w:t>
      </w:r>
    </w:p>
    <w:p>
      <w:pPr>
        <w:pStyle w:val="Point0"/>
        <w:rPr>
          <w:bCs/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b/>
          <w:bCs/>
          <w:noProof/>
        </w:rPr>
        <w:t xml:space="preserve">Propagowanie wymiany informacji: </w:t>
      </w:r>
      <w:r>
        <w:rPr>
          <w:noProof/>
        </w:rPr>
        <w:t xml:space="preserve">należy propagować wymianę danych PNR dokonywaną w konkretnych przypadkach między organami egzekwowania prawa różnych umawiających się państw ICAO w celu usprawnienia międzynarodowej współpracy w zakresie zapobiegania przestępstwom terrorystycznym i poważnej przestępczości, ich wykrywania, prowadzenia postępowań przygotowawczych w ich sprawie i ich ścigania.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b/>
          <w:bCs/>
          <w:noProof/>
        </w:rPr>
        <w:t xml:space="preserve">Bezpieczeństwo wymiany informacji: </w:t>
      </w:r>
      <w:r>
        <w:rPr>
          <w:noProof/>
        </w:rPr>
        <w:t>Wymiana informacji powinna odbywać się za pośrednictwem odpowiednich kanałów zapewniających właściwe bezpieczeństwo danych oraz powinna być w pełni zgodna z międzynarodowymi i krajowymi ramami prawnymi dotyczącymi ochrony danych osobowych.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3A4B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7299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EF0AB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23053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52C92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5886B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354F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9C41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9-13 10:02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693F1C7-38DC-42E0-AE4E-6D0E3D2D906C"/>
    <w:docVar w:name="LW_COVERPAGE_TYPE" w:val="1"/>
    <w:docVar w:name="LW_CROSSREFERENCE" w:val="&lt;UNUSED&gt;"/>
    <w:docVar w:name="LW_DocType" w:val="ANNEX"/>
    <w:docVar w:name="LW_EMISSION" w:val="13.9.2019"/>
    <w:docVar w:name="LW_EMISSION_ISODATE" w:val="2019-09-1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by\u263? zaj\u281?te w imieniu Unii Europejskiej na forum Rady Organizacji Mi\u281?dzynarodowego Lotnictwa Cywilnego wzgl\u281?dem zmiany rozdzia\u322?u 9 za\u322?\u261?cznika 9 (\u8222?U\u322?atwienia\u8221?) do Konwencji o mi\u281?dzynarodowym lotnictwie cywilnym w odniesieniu do norm i zalecanych metod post\u281?powania w zakresie danych dotycz\u261?cych przelotu pasa\u380?era"/>
    <w:docVar w:name="LW_OBJETACTEPRINCIPAL.CP" w:val="w sprawie stanowiska, jakie ma by\u263? zaj\u281?te w imieniu Unii Europejskiej na forum Rady Organizacji Mi\u281?dzynarodowego Lotnictwa Cywilnego wzgl\u281?dem zmiany rozdzia\u322?u 9 za\u322?\u261?cznika 9 (\u8222?U\u322?atwienia\u8221?) do Konwencji o mi\u281?dzynarodowym lotnictwie cywilnym w odniesieniu do norm i zalecanych metod post\u281?powania w zakresie danych dotycz\u261?cych przelotu pasa\u380?era"/>
    <w:docVar w:name="LW_PART_NBR" w:val="1"/>
    <w:docVar w:name="LW_PART_NBR_TOTAL" w:val="1"/>
    <w:docVar w:name="LW_REF.INST.NEW" w:val="COM"/>
    <w:docVar w:name="LW_REF.INST.NEW_ADOPTED" w:val="final"/>
    <w:docVar w:name="LW_REF.INST.NEW_TEXT" w:val="(2019) 41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s1">
    <w:name w:val="s1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treobjet">
    <w:name w:val="Titre objet"/>
    <w:basedOn w:val="Normal"/>
    <w:next w:val="Normal"/>
    <w:pPr>
      <w:spacing w:before="180" w:after="180"/>
      <w:jc w:val="center"/>
    </w:pPr>
    <w:rPr>
      <w:b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s1">
    <w:name w:val="s1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A4CA46-BD6C-4852-AF4E-3BDC7FE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1239</Words>
  <Characters>8369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 MANSILLA Maria (HOME)</dc:creator>
  <cp:lastModifiedBy>WES PDFC Administrator</cp:lastModifiedBy>
  <cp:revision>9</cp:revision>
  <dcterms:created xsi:type="dcterms:W3CDTF">2019-09-11T13:39:00Z</dcterms:created>
  <dcterms:modified xsi:type="dcterms:W3CDTF">2019-09-13T08:02:00Z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