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573E5347-F1A1-4CA9-8483-AD1257F970DC" style="width:450.75pt;height:30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jc w:val="center"/>
        <w:rPr>
          <w:rFonts w:ascii="Times New Roman" w:eastAsiaTheme="majorEastAsia" w:hAnsi="Times New Roman" w:cs="Times New Roman"/>
          <w:b/>
          <w:bCs/>
          <w:noProof/>
          <w:color w:val="000000" w:themeColor="text1"/>
          <w:sz w:val="28"/>
          <w:szCs w:val="28"/>
        </w:rPr>
      </w:pPr>
      <w:bookmarkStart w:id="1" w:name="_GoBack"/>
      <w:bookmarkEnd w:id="1"/>
      <w:r>
        <w:rPr>
          <w:rFonts w:ascii="Times New Roman" w:eastAsiaTheme="majorEastAsia" w:hAnsi="Times New Roman"/>
          <w:b/>
          <w:noProof/>
          <w:color w:val="000000" w:themeColor="text1"/>
          <w:sz w:val="28"/>
        </w:rPr>
        <w:lastRenderedPageBreak/>
        <w:t>SINTESI</w:t>
      </w:r>
    </w:p>
    <w:p>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0"/>
        <w:ind w:right="57"/>
        <w:jc w:val="both"/>
        <w:rPr>
          <w:rFonts w:ascii="Times New Roman" w:eastAsia="Times New Roman" w:hAnsi="Times New Roman" w:cs="Times New Roman"/>
          <w:noProof/>
          <w:spacing w:val="-2"/>
        </w:rPr>
      </w:pPr>
      <w:r>
        <w:rPr>
          <w:rFonts w:ascii="Times New Roman" w:hAnsi="Times New Roman"/>
          <w:noProof/>
          <w:spacing w:val="-2"/>
        </w:rPr>
        <w:t xml:space="preserve">L'Europa è solidale con coloro che ne hanno più bisogno. Il Fondo europeo di adeguamento alla globalizzazione (FEG) è stato istituito nel 2007 con l'obiettivo di sostenere i lavoratori che perdono il proprio impiego a causa della globalizzazione e delle trasformazioni della struttura del commercio. Il fondo è stato ulteriormente adattato per sostenere i licenziamenti dovuti alla crisi finanziaria ed economica mondiale. </w:t>
      </w:r>
      <w:r>
        <w:rPr>
          <w:rStyle w:val="Emphasis"/>
          <w:rFonts w:ascii="Times New Roman" w:hAnsi="Times New Roman"/>
          <w:i w:val="0"/>
          <w:noProof/>
        </w:rPr>
        <w:t>L'obiettivo principale del fondo è sostenere i lavoratori in esubero che incontrano avversità nelle transizioni difficili, aiutandoli ad adattare le loro competenze e a trovare nuovi posti di lavoro</w:t>
      </w:r>
      <w:r>
        <w:rPr>
          <w:rFonts w:ascii="Times New Roman" w:hAnsi="Times New Roman"/>
          <w:i/>
          <w:noProof/>
          <w:spacing w:val="-2"/>
        </w:rPr>
        <w:t>.</w:t>
      </w:r>
      <w:r>
        <w:rPr>
          <w:rFonts w:ascii="Times New Roman" w:hAnsi="Times New Roman"/>
          <w:noProof/>
          <w:spacing w:val="-2"/>
        </w:rPr>
        <w:t xml:space="preserve"> Le misure comprendono assistenza e orientamento personalizzati nella ricerca di un lavoro, una serie di opportunità di formazione professionale e miglioramento delle competenze, il sostegno all'imprenditorialità e alla creazione di imprese, nonché incentivi e indennità finanziari temporanei. Inoltre, il FEG può essere utilizzato specificamente per aiutare i giovani. Nelle regioni con un'elevata disoccupazione giovanile, il FEG fornisce sostegno ai giovani che non lavorano e non partecipano ad alcun ciclo di istruzione o formazione (NEET). Il FEG cofinanzia fino al 60 % del costo delle misure proposte dagli Stati membri che presentano domande di sostegno del FEG.</w:t>
      </w:r>
    </w:p>
    <w:p>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0"/>
        <w:ind w:right="57"/>
        <w:jc w:val="both"/>
        <w:rPr>
          <w:rFonts w:ascii="Times New Roman" w:eastAsia="Times New Roman" w:hAnsi="Times New Roman" w:cs="Times New Roman"/>
          <w:noProof/>
          <w:spacing w:val="-2"/>
        </w:rPr>
      </w:pPr>
    </w:p>
    <w:p>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0"/>
        <w:ind w:right="57"/>
        <w:jc w:val="both"/>
        <w:rPr>
          <w:rFonts w:ascii="Times New Roman" w:eastAsia="Times New Roman" w:hAnsi="Times New Roman" w:cs="Times New Roman"/>
          <w:noProof/>
          <w:spacing w:val="-2"/>
        </w:rPr>
      </w:pPr>
      <w:r>
        <w:rPr>
          <w:rFonts w:ascii="Times New Roman" w:hAnsi="Times New Roman"/>
          <w:noProof/>
          <w:spacing w:val="-2"/>
        </w:rPr>
        <w:t>La presente relazione fornisce una panoramica delle attività e dei risultati del FEG negli anni 2017 e 2018.</w:t>
      </w:r>
    </w:p>
    <w:p>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0"/>
        <w:ind w:right="57"/>
        <w:jc w:val="both"/>
        <w:rPr>
          <w:rFonts w:ascii="Times New Roman" w:eastAsia="Times New Roman" w:hAnsi="Times New Roman" w:cs="Times New Roman"/>
          <w:noProof/>
          <w:spacing w:val="-2"/>
        </w:rPr>
      </w:pPr>
    </w:p>
    <w:p>
      <w:pPr>
        <w:pStyle w:val="ListParagraph"/>
        <w:numPr>
          <w:ilvl w:val="0"/>
          <w:numId w:val="32"/>
        </w:num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left="360" w:right="57"/>
        <w:jc w:val="both"/>
        <w:rPr>
          <w:rFonts w:eastAsia="Times New Roman" w:cs="Times New Roman"/>
          <w:noProof/>
          <w:spacing w:val="-2"/>
        </w:rPr>
      </w:pPr>
      <w:r>
        <w:rPr>
          <w:noProof/>
        </w:rPr>
        <w:t xml:space="preserve"> Durante questo periodo sono state presentate 13 domande da 10 Stati membri per 41 milioni di EUR complessivamente, destinati a 12 896 lavoratori e 1 155 giovani che non lavorano e non partecipano ad alcun ciclo di istruzione o formazione. Il maggior numero di lavoratori apparteneva al settore dei macchinari/delle apparecchiature, seguito da quelli del commercio al dettaglio e del trasporto aereo.</w:t>
      </w:r>
    </w:p>
    <w:p>
      <w:pPr>
        <w:pStyle w:val="ListParagraph"/>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left="360" w:right="57"/>
        <w:jc w:val="both"/>
        <w:rPr>
          <w:rFonts w:eastAsia="Times New Roman" w:cs="Times New Roman"/>
          <w:noProof/>
          <w:spacing w:val="-2"/>
        </w:rPr>
      </w:pPr>
    </w:p>
    <w:p>
      <w:pPr>
        <w:pStyle w:val="ListParagraph"/>
        <w:numPr>
          <w:ilvl w:val="0"/>
          <w:numId w:val="32"/>
        </w:numPr>
        <w:tabs>
          <w:tab w:val="left" w:pos="284"/>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left="360" w:right="57"/>
        <w:jc w:val="both"/>
        <w:rPr>
          <w:rFonts w:eastAsia="Times New Roman" w:cs="Times New Roman"/>
          <w:noProof/>
          <w:spacing w:val="-2"/>
        </w:rPr>
      </w:pPr>
      <w:r>
        <w:rPr>
          <w:noProof/>
        </w:rPr>
        <w:t xml:space="preserve"> Il Parlamento europeo e il Consiglio hanno adottato 15 decisioni</w:t>
      </w:r>
      <w:r>
        <w:rPr>
          <w:rStyle w:val="FootnoteReference"/>
          <w:noProof/>
          <w:spacing w:val="-2"/>
        </w:rPr>
        <w:footnoteReference w:id="1"/>
      </w:r>
      <w:r>
        <w:rPr>
          <w:noProof/>
        </w:rPr>
        <w:t xml:space="preserve"> di mobilitazione dei finanziamenti del FEG per un importo totale di 45,5 milioni di EUR a sostegno di 14 517 beneficiari.</w:t>
      </w:r>
    </w:p>
    <w:p>
      <w:pPr>
        <w:pStyle w:val="ListParagraph"/>
        <w:ind w:left="0"/>
        <w:rPr>
          <w:rFonts w:eastAsia="Times New Roman" w:cs="Times New Roman"/>
          <w:noProof/>
          <w:spacing w:val="-2"/>
        </w:rPr>
      </w:pPr>
    </w:p>
    <w:p>
      <w:pPr>
        <w:pStyle w:val="ListParagraph"/>
        <w:numPr>
          <w:ilvl w:val="0"/>
          <w:numId w:val="32"/>
        </w:numPr>
        <w:tabs>
          <w:tab w:val="left" w:pos="284"/>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left="360" w:right="57"/>
        <w:jc w:val="both"/>
        <w:rPr>
          <w:rFonts w:eastAsia="Times New Roman" w:cs="Times New Roman"/>
          <w:noProof/>
          <w:spacing w:val="-2"/>
        </w:rPr>
      </w:pPr>
      <w:r>
        <w:rPr>
          <w:noProof/>
        </w:rPr>
        <w:t xml:space="preserve"> Gli Stati membri hanno riferito in merito a 23 casi di intervento del FEG adottati tra il 2014 e il 2016. I risultati registrano un aumento rispetto al periodo 2015-2016 e mostrano che il 60 % dei lavoratori che hanno partecipato alle misure hanno trovato un nuovo lavoro entro la fine del periodo di attuazione. Nel periodo 2015-2016, soltanto il 47 % dei lavoratori assistiti aveva trovato un nuovo lavoro. Sono stati riscontrati tassi di reinserimento particolarmente elevati nei seguenti casi: Volvo Trucks (Svezia) 84 %, Broadcom (Finlandia) 84 %, Aleo Solar (Germania) 81 %, e PWA International (Irlanda) 79 %.</w:t>
      </w:r>
    </w:p>
    <w:p>
      <w:pPr>
        <w:pStyle w:val="ListParagraph"/>
        <w:tabs>
          <w:tab w:val="left" w:pos="284"/>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left="360" w:right="57"/>
        <w:jc w:val="both"/>
        <w:rPr>
          <w:rFonts w:eastAsia="Times New Roman" w:cs="Times New Roman"/>
          <w:noProof/>
          <w:spacing w:val="-2"/>
        </w:rPr>
      </w:pPr>
    </w:p>
    <w:p>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rPr>
          <w:rFonts w:ascii="Times New Roman" w:eastAsia="Times New Roman" w:hAnsi="Times New Roman" w:cs="Times New Roman"/>
          <w:noProof/>
          <w:spacing w:val="-2"/>
        </w:rPr>
      </w:pPr>
      <w:r>
        <w:rPr>
          <w:rFonts w:ascii="Times New Roman" w:hAnsi="Times New Roman"/>
          <w:noProof/>
          <w:spacing w:val="-2"/>
        </w:rPr>
        <w:t>Nella sua proposta per il FEG per il periodo successivo al 2020</w:t>
      </w:r>
      <w:r>
        <w:rPr>
          <w:rStyle w:val="FootnoteReference"/>
          <w:rFonts w:ascii="Times New Roman" w:hAnsi="Times New Roman"/>
          <w:noProof/>
          <w:spacing w:val="-2"/>
        </w:rPr>
        <w:footnoteReference w:id="2"/>
      </w:r>
      <w:r>
        <w:rPr>
          <w:rFonts w:ascii="Times New Roman" w:hAnsi="Times New Roman"/>
          <w:noProof/>
          <w:spacing w:val="-2"/>
        </w:rPr>
        <w:t xml:space="preserve">, la Commissione ha suggerito di estenderne l'utilizzo in modo da poter intervenire in maniera più efficace a sostegno di un numero maggiore di lavoratori che hanno perso il posto di lavoro. Di conseguenza, il FEG offrirà sostegno ai lavoratori non soltanto in caso di trasformazioni rilevanti della struttura del commercio mondiale dovute alla globalizzazione nonché alla crisi economica e finanziaria globale, ma anche per altre ragioni quali </w:t>
      </w:r>
      <w:r>
        <w:rPr>
          <w:rFonts w:ascii="Times New Roman" w:hAnsi="Times New Roman"/>
          <w:noProof/>
          <w:spacing w:val="-2"/>
        </w:rPr>
        <w:lastRenderedPageBreak/>
        <w:t xml:space="preserve">l'automazione, la digitalizzazione o la transizione verso un'economia a basse emissioni di carbonio. Ciò tiene conto delle nuove sfide poste dall'evoluzione del mondo del lavoro. </w:t>
      </w:r>
    </w:p>
    <w:p>
      <w:pPr>
        <w:tabs>
          <w:tab w:val="left" w:pos="1060"/>
        </w:tabs>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1"/>
          <w:cols w:space="720"/>
          <w:docGrid w:linePitch="360"/>
        </w:sectPr>
      </w:pPr>
    </w:p>
    <w:p>
      <w:pPr>
        <w:tabs>
          <w:tab w:val="left" w:pos="3662"/>
        </w:tabs>
        <w:jc w:val="both"/>
        <w:rPr>
          <w:rFonts w:ascii="Times New Roman" w:hAnsi="Times New Roman" w:cs="Times New Roman"/>
          <w:b/>
          <w:noProof/>
          <w:sz w:val="28"/>
          <w:szCs w:val="28"/>
        </w:rPr>
      </w:pPr>
      <w:r>
        <w:rPr>
          <w:rFonts w:ascii="Times New Roman" w:hAnsi="Times New Roman"/>
          <w:b/>
          <w:noProof/>
          <w:sz w:val="28"/>
        </w:rPr>
        <w:lastRenderedPageBreak/>
        <w:t>INDICE</w:t>
      </w:r>
    </w:p>
    <w:p>
      <w:pPr>
        <w:jc w:val="both"/>
        <w:rPr>
          <w:rFonts w:ascii="Times New Roman" w:hAnsi="Times New Roman" w:cs="Times New Roman"/>
          <w:b/>
          <w:noProof/>
          <w:sz w:val="28"/>
          <w:szCs w:val="28"/>
        </w:rPr>
      </w:pPr>
    </w:p>
    <w:sdt>
      <w:sdtPr>
        <w:rPr>
          <w:rFonts w:asciiTheme="minorHAnsi" w:eastAsiaTheme="minorEastAsia" w:hAnsiTheme="minorHAnsi" w:cs="Times New Roman"/>
          <w:noProof/>
        </w:rPr>
        <w:id w:val="-1626144639"/>
        <w:docPartObj>
          <w:docPartGallery w:val="Table of Contents"/>
          <w:docPartUnique/>
        </w:docPartObj>
      </w:sdtPr>
      <w:sdtEndPr>
        <w:rPr>
          <w:rFonts w:ascii="Times New Roman" w:eastAsiaTheme="minorHAnsi" w:hAnsi="Times New Roman" w:cstheme="minorBidi"/>
        </w:rPr>
      </w:sdtEndPr>
      <w:sdtContent>
        <w:p>
          <w:pPr>
            <w:pStyle w:val="TOC1"/>
            <w:rPr>
              <w:rFonts w:eastAsiaTheme="minorEastAsia" w:cs="Times New Roman"/>
              <w:noProof/>
            </w:rPr>
          </w:pPr>
          <w:r>
            <w:rPr>
              <w:noProof/>
            </w:rPr>
            <w:t>Introduzione………………………………………………………………………………………...3</w:t>
          </w:r>
        </w:p>
        <w:p>
          <w:pPr>
            <w:pStyle w:val="TOC1"/>
            <w:rPr>
              <w:rFonts w:asciiTheme="minorHAnsi" w:eastAsiaTheme="minorEastAsia" w:hAnsiTheme="minorHAnsi"/>
              <w:noProof/>
              <w:lang w:bidi="ar-SA"/>
            </w:rPr>
          </w:pPr>
          <w:r>
            <w:rPr>
              <w:rFonts w:cs="Times New Roman"/>
              <w:noProof/>
            </w:rPr>
            <w:fldChar w:fldCharType="begin"/>
          </w:r>
          <w:r>
            <w:rPr>
              <w:rFonts w:cs="Times New Roman"/>
              <w:noProof/>
            </w:rPr>
            <w:instrText xml:space="preserve"> TOC \o "1-3" \h \z \u </w:instrText>
          </w:r>
          <w:r>
            <w:rPr>
              <w:rFonts w:cs="Times New Roman"/>
              <w:noProof/>
            </w:rPr>
            <w:fldChar w:fldCharType="separate"/>
          </w:r>
          <w:hyperlink w:anchor="_Toc16945993" w:history="1">
            <w:r>
              <w:rPr>
                <w:rStyle w:val="Hyperlink"/>
                <w:noProof/>
              </w:rPr>
              <w:t>Analisi delle attività del FEG negli anni 2017 e 2018</w:t>
            </w:r>
            <w:r>
              <w:rPr>
                <w:noProof/>
                <w:webHidden/>
              </w:rPr>
              <w:tab/>
            </w:r>
            <w:r>
              <w:rPr>
                <w:noProof/>
                <w:webHidden/>
              </w:rPr>
              <w:fldChar w:fldCharType="begin"/>
            </w:r>
            <w:r>
              <w:rPr>
                <w:noProof/>
                <w:webHidden/>
              </w:rPr>
              <w:instrText xml:space="preserve"> PAGEREF _Toc16945993 \h </w:instrText>
            </w:r>
            <w:r>
              <w:rPr>
                <w:noProof/>
                <w:webHidden/>
              </w:rPr>
            </w:r>
            <w:r>
              <w:rPr>
                <w:noProof/>
                <w:webHidden/>
              </w:rPr>
              <w:fldChar w:fldCharType="separate"/>
            </w:r>
            <w:r>
              <w:rPr>
                <w:noProof/>
                <w:webHidden/>
              </w:rPr>
              <w:t>3</w:t>
            </w:r>
            <w:r>
              <w:rPr>
                <w:noProof/>
                <w:webHidden/>
              </w:rPr>
              <w:fldChar w:fldCharType="end"/>
            </w:r>
          </w:hyperlink>
        </w:p>
        <w:p>
          <w:pPr>
            <w:pStyle w:val="TOC2"/>
            <w:rPr>
              <w:rFonts w:asciiTheme="minorHAnsi" w:hAnsiTheme="minorHAnsi"/>
              <w:noProof/>
              <w:lang w:bidi="ar-SA"/>
            </w:rPr>
          </w:pPr>
          <w:hyperlink w:anchor="_Toc16945994" w:history="1">
            <w:r>
              <w:rPr>
                <w:rStyle w:val="Hyperlink"/>
                <w:noProof/>
              </w:rPr>
              <w:t>2.1. Domande presentate</w:t>
            </w:r>
            <w:r>
              <w:rPr>
                <w:noProof/>
                <w:webHidden/>
              </w:rPr>
              <w:tab/>
            </w:r>
            <w:r>
              <w:rPr>
                <w:noProof/>
                <w:webHidden/>
              </w:rPr>
              <w:fldChar w:fldCharType="begin"/>
            </w:r>
            <w:r>
              <w:rPr>
                <w:noProof/>
                <w:webHidden/>
              </w:rPr>
              <w:instrText xml:space="preserve"> PAGEREF _Toc16945994 \h </w:instrText>
            </w:r>
            <w:r>
              <w:rPr>
                <w:noProof/>
                <w:webHidden/>
              </w:rPr>
            </w:r>
            <w:r>
              <w:rPr>
                <w:noProof/>
                <w:webHidden/>
              </w:rPr>
              <w:fldChar w:fldCharType="separate"/>
            </w:r>
            <w:r>
              <w:rPr>
                <w:noProof/>
                <w:webHidden/>
              </w:rPr>
              <w:t>3</w:t>
            </w:r>
            <w:r>
              <w:rPr>
                <w:noProof/>
                <w:webHidden/>
              </w:rPr>
              <w:fldChar w:fldCharType="end"/>
            </w:r>
          </w:hyperlink>
        </w:p>
        <w:p>
          <w:pPr>
            <w:pStyle w:val="TOC3"/>
            <w:tabs>
              <w:tab w:val="right" w:leader="dot" w:pos="9062"/>
            </w:tabs>
            <w:rPr>
              <w:rFonts w:asciiTheme="minorHAnsi" w:hAnsiTheme="minorHAnsi"/>
              <w:noProof/>
              <w:lang w:bidi="ar-SA"/>
            </w:rPr>
          </w:pPr>
          <w:hyperlink w:anchor="_Toc16945995" w:history="1">
            <w:r>
              <w:rPr>
                <w:rStyle w:val="Hyperlink"/>
                <w:noProof/>
              </w:rPr>
              <w:t>2.1.1. Domande presentate: causa del licenziamento e criterio di intervento</w:t>
            </w:r>
            <w:r>
              <w:rPr>
                <w:noProof/>
                <w:webHidden/>
              </w:rPr>
              <w:tab/>
            </w:r>
            <w:r>
              <w:rPr>
                <w:noProof/>
                <w:webHidden/>
              </w:rPr>
              <w:fldChar w:fldCharType="begin"/>
            </w:r>
            <w:r>
              <w:rPr>
                <w:noProof/>
                <w:webHidden/>
              </w:rPr>
              <w:instrText xml:space="preserve"> PAGEREF _Toc16945995 \h </w:instrText>
            </w:r>
            <w:r>
              <w:rPr>
                <w:noProof/>
                <w:webHidden/>
              </w:rPr>
            </w:r>
            <w:r>
              <w:rPr>
                <w:noProof/>
                <w:webHidden/>
              </w:rPr>
              <w:fldChar w:fldCharType="separate"/>
            </w:r>
            <w:r>
              <w:rPr>
                <w:noProof/>
                <w:webHidden/>
              </w:rPr>
              <w:t>5</w:t>
            </w:r>
            <w:r>
              <w:rPr>
                <w:noProof/>
                <w:webHidden/>
              </w:rPr>
              <w:fldChar w:fldCharType="end"/>
            </w:r>
          </w:hyperlink>
        </w:p>
        <w:p>
          <w:pPr>
            <w:pStyle w:val="TOC3"/>
            <w:tabs>
              <w:tab w:val="right" w:leader="dot" w:pos="9062"/>
            </w:tabs>
            <w:rPr>
              <w:rFonts w:asciiTheme="minorHAnsi" w:hAnsiTheme="minorHAnsi"/>
              <w:noProof/>
              <w:lang w:bidi="ar-SA"/>
            </w:rPr>
          </w:pPr>
          <w:hyperlink w:anchor="_Toc16945996" w:history="1">
            <w:r>
              <w:rPr>
                <w:rStyle w:val="Hyperlink"/>
                <w:noProof/>
              </w:rPr>
              <w:t>2.1.2. Domande presentate: settore (NACE Rev. 2)</w:t>
            </w:r>
            <w:r>
              <w:rPr>
                <w:noProof/>
                <w:webHidden/>
              </w:rPr>
              <w:tab/>
            </w:r>
            <w:r>
              <w:rPr>
                <w:noProof/>
                <w:webHidden/>
              </w:rPr>
              <w:fldChar w:fldCharType="begin"/>
            </w:r>
            <w:r>
              <w:rPr>
                <w:noProof/>
                <w:webHidden/>
              </w:rPr>
              <w:instrText xml:space="preserve"> PAGEREF _Toc16945996 \h </w:instrText>
            </w:r>
            <w:r>
              <w:rPr>
                <w:noProof/>
                <w:webHidden/>
              </w:rPr>
            </w:r>
            <w:r>
              <w:rPr>
                <w:noProof/>
                <w:webHidden/>
              </w:rPr>
              <w:fldChar w:fldCharType="separate"/>
            </w:r>
            <w:r>
              <w:rPr>
                <w:noProof/>
                <w:webHidden/>
              </w:rPr>
              <w:t>5</w:t>
            </w:r>
            <w:r>
              <w:rPr>
                <w:noProof/>
                <w:webHidden/>
              </w:rPr>
              <w:fldChar w:fldCharType="end"/>
            </w:r>
          </w:hyperlink>
        </w:p>
        <w:p>
          <w:pPr>
            <w:pStyle w:val="TOC3"/>
            <w:tabs>
              <w:tab w:val="right" w:leader="dot" w:pos="9062"/>
            </w:tabs>
            <w:rPr>
              <w:rFonts w:asciiTheme="minorHAnsi" w:hAnsiTheme="minorHAnsi"/>
              <w:noProof/>
              <w:lang w:bidi="ar-SA"/>
            </w:rPr>
          </w:pPr>
          <w:hyperlink w:anchor="_Toc16945997" w:history="1">
            <w:r>
              <w:rPr>
                <w:rStyle w:val="Hyperlink"/>
                <w:noProof/>
              </w:rPr>
              <w:t>2.1.3. Domande presentate: numero di beneficiari interessati per Stato membro</w:t>
            </w:r>
            <w:r>
              <w:rPr>
                <w:noProof/>
                <w:webHidden/>
              </w:rPr>
              <w:tab/>
            </w:r>
            <w:r>
              <w:rPr>
                <w:noProof/>
                <w:webHidden/>
              </w:rPr>
              <w:fldChar w:fldCharType="begin"/>
            </w:r>
            <w:r>
              <w:rPr>
                <w:noProof/>
                <w:webHidden/>
              </w:rPr>
              <w:instrText xml:space="preserve"> PAGEREF _Toc16945997 \h </w:instrText>
            </w:r>
            <w:r>
              <w:rPr>
                <w:noProof/>
                <w:webHidden/>
              </w:rPr>
            </w:r>
            <w:r>
              <w:rPr>
                <w:noProof/>
                <w:webHidden/>
              </w:rPr>
              <w:fldChar w:fldCharType="separate"/>
            </w:r>
            <w:r>
              <w:rPr>
                <w:noProof/>
                <w:webHidden/>
              </w:rPr>
              <w:t>6</w:t>
            </w:r>
            <w:r>
              <w:rPr>
                <w:noProof/>
                <w:webHidden/>
              </w:rPr>
              <w:fldChar w:fldCharType="end"/>
            </w:r>
          </w:hyperlink>
        </w:p>
        <w:p>
          <w:pPr>
            <w:pStyle w:val="TOC3"/>
            <w:tabs>
              <w:tab w:val="right" w:leader="dot" w:pos="9062"/>
            </w:tabs>
            <w:rPr>
              <w:rFonts w:asciiTheme="minorHAnsi" w:hAnsiTheme="minorHAnsi"/>
              <w:noProof/>
              <w:lang w:bidi="ar-SA"/>
            </w:rPr>
          </w:pPr>
          <w:hyperlink w:anchor="_Toc16945998" w:history="1">
            <w:r>
              <w:rPr>
                <w:rStyle w:val="Hyperlink"/>
                <w:noProof/>
              </w:rPr>
              <w:t>2.1.4. Domande presentate: importo richiesto</w:t>
            </w:r>
            <w:r>
              <w:rPr>
                <w:noProof/>
                <w:webHidden/>
              </w:rPr>
              <w:tab/>
            </w:r>
            <w:r>
              <w:rPr>
                <w:noProof/>
                <w:webHidden/>
              </w:rPr>
              <w:fldChar w:fldCharType="begin"/>
            </w:r>
            <w:r>
              <w:rPr>
                <w:noProof/>
                <w:webHidden/>
              </w:rPr>
              <w:instrText xml:space="preserve"> PAGEREF _Toc16945998 \h </w:instrText>
            </w:r>
            <w:r>
              <w:rPr>
                <w:noProof/>
                <w:webHidden/>
              </w:rPr>
            </w:r>
            <w:r>
              <w:rPr>
                <w:noProof/>
                <w:webHidden/>
              </w:rPr>
              <w:fldChar w:fldCharType="separate"/>
            </w:r>
            <w:r>
              <w:rPr>
                <w:noProof/>
                <w:webHidden/>
              </w:rPr>
              <w:t>7</w:t>
            </w:r>
            <w:r>
              <w:rPr>
                <w:noProof/>
                <w:webHidden/>
              </w:rPr>
              <w:fldChar w:fldCharType="end"/>
            </w:r>
          </w:hyperlink>
        </w:p>
        <w:p>
          <w:pPr>
            <w:pStyle w:val="TOC3"/>
            <w:tabs>
              <w:tab w:val="right" w:leader="dot" w:pos="9062"/>
            </w:tabs>
            <w:rPr>
              <w:rFonts w:asciiTheme="minorHAnsi" w:hAnsiTheme="minorHAnsi"/>
              <w:noProof/>
              <w:lang w:bidi="ar-SA"/>
            </w:rPr>
          </w:pPr>
          <w:hyperlink w:anchor="_Toc16945999" w:history="1">
            <w:r>
              <w:rPr>
                <w:rStyle w:val="Hyperlink"/>
                <w:noProof/>
              </w:rPr>
              <w:t>2.1.5. Domande presentate: importo richiesto per beneficiario</w:t>
            </w:r>
            <w:r>
              <w:rPr>
                <w:noProof/>
                <w:webHidden/>
              </w:rPr>
              <w:tab/>
            </w:r>
            <w:r>
              <w:rPr>
                <w:noProof/>
                <w:webHidden/>
              </w:rPr>
              <w:fldChar w:fldCharType="begin"/>
            </w:r>
            <w:r>
              <w:rPr>
                <w:noProof/>
                <w:webHidden/>
              </w:rPr>
              <w:instrText xml:space="preserve"> PAGEREF _Toc16945999 \h </w:instrText>
            </w:r>
            <w:r>
              <w:rPr>
                <w:noProof/>
                <w:webHidden/>
              </w:rPr>
            </w:r>
            <w:r>
              <w:rPr>
                <w:noProof/>
                <w:webHidden/>
              </w:rPr>
              <w:fldChar w:fldCharType="separate"/>
            </w:r>
            <w:r>
              <w:rPr>
                <w:noProof/>
                <w:webHidden/>
              </w:rPr>
              <w:t>8</w:t>
            </w:r>
            <w:r>
              <w:rPr>
                <w:noProof/>
                <w:webHidden/>
              </w:rPr>
              <w:fldChar w:fldCharType="end"/>
            </w:r>
          </w:hyperlink>
        </w:p>
        <w:p>
          <w:pPr>
            <w:pStyle w:val="TOC2"/>
            <w:rPr>
              <w:rFonts w:asciiTheme="minorHAnsi" w:hAnsiTheme="minorHAnsi"/>
              <w:noProof/>
              <w:lang w:bidi="ar-SA"/>
            </w:rPr>
          </w:pPr>
          <w:hyperlink w:anchor="_Toc16946000" w:history="1">
            <w:r>
              <w:rPr>
                <w:rStyle w:val="Hyperlink"/>
                <w:noProof/>
              </w:rPr>
              <w:t>2.2. Decisioni adottate e contributi concessi</w:t>
            </w:r>
            <w:r>
              <w:rPr>
                <w:noProof/>
                <w:webHidden/>
              </w:rPr>
              <w:tab/>
            </w:r>
            <w:r>
              <w:rPr>
                <w:noProof/>
                <w:webHidden/>
              </w:rPr>
              <w:fldChar w:fldCharType="begin"/>
            </w:r>
            <w:r>
              <w:rPr>
                <w:noProof/>
                <w:webHidden/>
              </w:rPr>
              <w:instrText xml:space="preserve"> PAGEREF _Toc16946000 \h </w:instrText>
            </w:r>
            <w:r>
              <w:rPr>
                <w:noProof/>
                <w:webHidden/>
              </w:rPr>
            </w:r>
            <w:r>
              <w:rPr>
                <w:noProof/>
                <w:webHidden/>
              </w:rPr>
              <w:fldChar w:fldCharType="separate"/>
            </w:r>
            <w:r>
              <w:rPr>
                <w:noProof/>
                <w:webHidden/>
              </w:rPr>
              <w:t>9</w:t>
            </w:r>
            <w:r>
              <w:rPr>
                <w:noProof/>
                <w:webHidden/>
              </w:rPr>
              <w:fldChar w:fldCharType="end"/>
            </w:r>
          </w:hyperlink>
        </w:p>
        <w:p>
          <w:pPr>
            <w:pStyle w:val="TOC3"/>
            <w:tabs>
              <w:tab w:val="right" w:leader="dot" w:pos="9062"/>
            </w:tabs>
            <w:rPr>
              <w:rFonts w:asciiTheme="minorHAnsi" w:hAnsiTheme="minorHAnsi"/>
              <w:noProof/>
              <w:lang w:bidi="ar-SA"/>
            </w:rPr>
          </w:pPr>
          <w:hyperlink w:anchor="_Toc16946001" w:history="1">
            <w:r>
              <w:rPr>
                <w:rStyle w:val="Hyperlink"/>
                <w:noProof/>
              </w:rPr>
              <w:t>2.2.1. Azioni finanziate con l'assistenza del FEG</w:t>
            </w:r>
            <w:r>
              <w:rPr>
                <w:noProof/>
                <w:webHidden/>
              </w:rPr>
              <w:tab/>
            </w:r>
            <w:r>
              <w:rPr>
                <w:noProof/>
                <w:webHidden/>
              </w:rPr>
              <w:fldChar w:fldCharType="begin"/>
            </w:r>
            <w:r>
              <w:rPr>
                <w:noProof/>
                <w:webHidden/>
              </w:rPr>
              <w:instrText xml:space="preserve"> PAGEREF _Toc16946001 \h </w:instrText>
            </w:r>
            <w:r>
              <w:rPr>
                <w:noProof/>
                <w:webHidden/>
              </w:rPr>
            </w:r>
            <w:r>
              <w:rPr>
                <w:noProof/>
                <w:webHidden/>
              </w:rPr>
              <w:fldChar w:fldCharType="separate"/>
            </w:r>
            <w:r>
              <w:rPr>
                <w:noProof/>
                <w:webHidden/>
              </w:rPr>
              <w:t>13</w:t>
            </w:r>
            <w:r>
              <w:rPr>
                <w:noProof/>
                <w:webHidden/>
              </w:rPr>
              <w:fldChar w:fldCharType="end"/>
            </w:r>
          </w:hyperlink>
        </w:p>
        <w:p>
          <w:pPr>
            <w:pStyle w:val="TOC3"/>
            <w:tabs>
              <w:tab w:val="right" w:leader="dot" w:pos="9062"/>
            </w:tabs>
            <w:rPr>
              <w:rFonts w:asciiTheme="minorHAnsi" w:hAnsiTheme="minorHAnsi"/>
              <w:noProof/>
              <w:lang w:bidi="ar-SA"/>
            </w:rPr>
          </w:pPr>
          <w:hyperlink w:anchor="_Toc16946002" w:history="1">
            <w:r>
              <w:rPr>
                <w:rStyle w:val="Hyperlink"/>
                <w:noProof/>
              </w:rPr>
              <w:t>2.2.2. Complementarità con le azioni finanziate dal Fondo sociale europeo (FSE)</w:t>
            </w:r>
            <w:r>
              <w:rPr>
                <w:noProof/>
                <w:webHidden/>
              </w:rPr>
              <w:tab/>
            </w:r>
            <w:r>
              <w:rPr>
                <w:noProof/>
                <w:webHidden/>
              </w:rPr>
              <w:fldChar w:fldCharType="begin"/>
            </w:r>
            <w:r>
              <w:rPr>
                <w:noProof/>
                <w:webHidden/>
              </w:rPr>
              <w:instrText xml:space="preserve"> PAGEREF _Toc16946002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hAnsiTheme="minorHAnsi"/>
              <w:noProof/>
              <w:lang w:bidi="ar-SA"/>
            </w:rPr>
          </w:pPr>
          <w:hyperlink w:anchor="_Toc16946003" w:history="1">
            <w:r>
              <w:rPr>
                <w:rStyle w:val="Hyperlink"/>
                <w:noProof/>
              </w:rPr>
              <w:t>2.3. Domande che non soddisfano le condizioni necessarie per ottenere un contributo finanziario del FEG</w:t>
            </w:r>
            <w:r>
              <w:rPr>
                <w:noProof/>
                <w:webHidden/>
              </w:rPr>
              <w:tab/>
            </w:r>
            <w:r>
              <w:rPr>
                <w:noProof/>
                <w:webHidden/>
              </w:rPr>
              <w:fldChar w:fldCharType="begin"/>
            </w:r>
            <w:r>
              <w:rPr>
                <w:noProof/>
                <w:webHidden/>
              </w:rPr>
              <w:instrText xml:space="preserve"> PAGEREF _Toc16946003 \h </w:instrText>
            </w:r>
            <w:r>
              <w:rPr>
                <w:noProof/>
                <w:webHidden/>
              </w:rPr>
            </w:r>
            <w:r>
              <w:rPr>
                <w:noProof/>
                <w:webHidden/>
              </w:rPr>
              <w:fldChar w:fldCharType="separate"/>
            </w:r>
            <w:r>
              <w:rPr>
                <w:noProof/>
                <w:webHidden/>
              </w:rPr>
              <w:t>14</w:t>
            </w:r>
            <w:r>
              <w:rPr>
                <w:noProof/>
                <w:webHidden/>
              </w:rPr>
              <w:fldChar w:fldCharType="end"/>
            </w:r>
          </w:hyperlink>
        </w:p>
        <w:p>
          <w:pPr>
            <w:pStyle w:val="TOC2"/>
            <w:rPr>
              <w:rFonts w:asciiTheme="minorHAnsi" w:hAnsiTheme="minorHAnsi"/>
              <w:noProof/>
              <w:lang w:bidi="ar-SA"/>
            </w:rPr>
          </w:pPr>
          <w:hyperlink w:anchor="_Toc16946004" w:history="1">
            <w:r>
              <w:rPr>
                <w:rStyle w:val="Hyperlink"/>
                <w:noProof/>
              </w:rPr>
              <w:t>2.4. Risultati raggiunti dal FEG</w:t>
            </w:r>
            <w:r>
              <w:rPr>
                <w:noProof/>
                <w:webHidden/>
              </w:rPr>
              <w:tab/>
            </w:r>
            <w:r>
              <w:rPr>
                <w:noProof/>
                <w:webHidden/>
              </w:rPr>
              <w:fldChar w:fldCharType="begin"/>
            </w:r>
            <w:r>
              <w:rPr>
                <w:noProof/>
                <w:webHidden/>
              </w:rPr>
              <w:instrText xml:space="preserve"> PAGEREF _Toc16946004 \h </w:instrText>
            </w:r>
            <w:r>
              <w:rPr>
                <w:noProof/>
                <w:webHidden/>
              </w:rPr>
            </w:r>
            <w:r>
              <w:rPr>
                <w:noProof/>
                <w:webHidden/>
              </w:rPr>
              <w:fldChar w:fldCharType="separate"/>
            </w:r>
            <w:r>
              <w:rPr>
                <w:noProof/>
                <w:webHidden/>
              </w:rPr>
              <w:t>14</w:t>
            </w:r>
            <w:r>
              <w:rPr>
                <w:noProof/>
                <w:webHidden/>
              </w:rPr>
              <w:fldChar w:fldCharType="end"/>
            </w:r>
          </w:hyperlink>
        </w:p>
        <w:p>
          <w:pPr>
            <w:pStyle w:val="TOC3"/>
            <w:tabs>
              <w:tab w:val="right" w:leader="dot" w:pos="9062"/>
            </w:tabs>
            <w:rPr>
              <w:rFonts w:asciiTheme="minorHAnsi" w:hAnsiTheme="minorHAnsi"/>
              <w:noProof/>
              <w:lang w:bidi="ar-SA"/>
            </w:rPr>
          </w:pPr>
          <w:hyperlink w:anchor="_Toc16946005" w:history="1">
            <w:r>
              <w:rPr>
                <w:rStyle w:val="Hyperlink"/>
                <w:noProof/>
              </w:rPr>
              <w:t>2.4.1. Sintesi dei risultati tratti dalle relazioni del 2017 e del 2018</w:t>
            </w:r>
            <w:r>
              <w:rPr>
                <w:noProof/>
                <w:webHidden/>
              </w:rPr>
              <w:tab/>
            </w:r>
            <w:r>
              <w:rPr>
                <w:noProof/>
                <w:webHidden/>
              </w:rPr>
              <w:fldChar w:fldCharType="begin"/>
            </w:r>
            <w:r>
              <w:rPr>
                <w:noProof/>
                <w:webHidden/>
              </w:rPr>
              <w:instrText xml:space="preserve"> PAGEREF _Toc16946005 \h </w:instrText>
            </w:r>
            <w:r>
              <w:rPr>
                <w:noProof/>
                <w:webHidden/>
              </w:rPr>
            </w:r>
            <w:r>
              <w:rPr>
                <w:noProof/>
                <w:webHidden/>
              </w:rPr>
              <w:fldChar w:fldCharType="separate"/>
            </w:r>
            <w:r>
              <w:rPr>
                <w:noProof/>
                <w:webHidden/>
              </w:rPr>
              <w:t>17</w:t>
            </w:r>
            <w:r>
              <w:rPr>
                <w:noProof/>
                <w:webHidden/>
              </w:rPr>
              <w:fldChar w:fldCharType="end"/>
            </w:r>
          </w:hyperlink>
        </w:p>
        <w:p>
          <w:pPr>
            <w:pStyle w:val="TOC3"/>
            <w:tabs>
              <w:tab w:val="right" w:leader="dot" w:pos="9062"/>
            </w:tabs>
            <w:rPr>
              <w:rFonts w:asciiTheme="minorHAnsi" w:hAnsiTheme="minorHAnsi"/>
              <w:noProof/>
              <w:lang w:bidi="ar-SA"/>
            </w:rPr>
          </w:pPr>
          <w:hyperlink w:anchor="_Toc16946006" w:history="1">
            <w:r>
              <w:rPr>
                <w:rStyle w:val="Hyperlink"/>
                <w:noProof/>
              </w:rPr>
              <w:t>2.4.2. Tasso di reinserimento dei beneficiari assistiti per Stato membro</w:t>
            </w:r>
            <w:r>
              <w:rPr>
                <w:noProof/>
                <w:webHidden/>
              </w:rPr>
              <w:tab/>
            </w:r>
            <w:r>
              <w:rPr>
                <w:noProof/>
                <w:webHidden/>
              </w:rPr>
              <w:fldChar w:fldCharType="begin"/>
            </w:r>
            <w:r>
              <w:rPr>
                <w:noProof/>
                <w:webHidden/>
              </w:rPr>
              <w:instrText xml:space="preserve"> PAGEREF _Toc16946006 \h </w:instrText>
            </w:r>
            <w:r>
              <w:rPr>
                <w:noProof/>
                <w:webHidden/>
              </w:rPr>
            </w:r>
            <w:r>
              <w:rPr>
                <w:noProof/>
                <w:webHidden/>
              </w:rPr>
              <w:fldChar w:fldCharType="separate"/>
            </w:r>
            <w:r>
              <w:rPr>
                <w:noProof/>
                <w:webHidden/>
              </w:rPr>
              <w:t>18</w:t>
            </w:r>
            <w:r>
              <w:rPr>
                <w:noProof/>
                <w:webHidden/>
              </w:rPr>
              <w:fldChar w:fldCharType="end"/>
            </w:r>
          </w:hyperlink>
        </w:p>
        <w:p>
          <w:pPr>
            <w:pStyle w:val="TOC3"/>
            <w:tabs>
              <w:tab w:val="right" w:leader="dot" w:pos="9062"/>
            </w:tabs>
            <w:rPr>
              <w:rFonts w:asciiTheme="minorHAnsi" w:hAnsiTheme="minorHAnsi"/>
              <w:noProof/>
              <w:lang w:bidi="ar-SA"/>
            </w:rPr>
          </w:pPr>
          <w:hyperlink w:anchor="_Toc16946007" w:history="1">
            <w:r>
              <w:rPr>
                <w:rStyle w:val="Hyperlink"/>
                <w:noProof/>
              </w:rPr>
              <w:t>2.4.3. Valutazione qualitativa delle relazioni finali presentate nel 2017 e nel 2018</w:t>
            </w:r>
            <w:r>
              <w:rPr>
                <w:noProof/>
                <w:webHidden/>
              </w:rPr>
              <w:tab/>
            </w:r>
            <w:r>
              <w:rPr>
                <w:noProof/>
                <w:webHidden/>
              </w:rPr>
              <w:fldChar w:fldCharType="begin"/>
            </w:r>
            <w:r>
              <w:rPr>
                <w:noProof/>
                <w:webHidden/>
              </w:rPr>
              <w:instrText xml:space="preserve"> PAGEREF _Toc16946007 \h </w:instrText>
            </w:r>
            <w:r>
              <w:rPr>
                <w:noProof/>
                <w:webHidden/>
              </w:rPr>
            </w:r>
            <w:r>
              <w:rPr>
                <w:noProof/>
                <w:webHidden/>
              </w:rPr>
              <w:fldChar w:fldCharType="separate"/>
            </w:r>
            <w:r>
              <w:rPr>
                <w:noProof/>
                <w:webHidden/>
              </w:rPr>
              <w:t>19</w:t>
            </w:r>
            <w:r>
              <w:rPr>
                <w:noProof/>
                <w:webHidden/>
              </w:rPr>
              <w:fldChar w:fldCharType="end"/>
            </w:r>
          </w:hyperlink>
        </w:p>
        <w:p>
          <w:pPr>
            <w:pStyle w:val="TOC2"/>
            <w:rPr>
              <w:rFonts w:asciiTheme="minorHAnsi" w:hAnsiTheme="minorHAnsi"/>
              <w:noProof/>
              <w:lang w:bidi="ar-SA"/>
            </w:rPr>
          </w:pPr>
          <w:hyperlink w:anchor="_Toc16946008" w:history="1">
            <w:r>
              <w:rPr>
                <w:rStyle w:val="Hyperlink"/>
                <w:noProof/>
              </w:rPr>
              <w:t>2.5. Esecuzione finanziaria</w:t>
            </w:r>
            <w:r>
              <w:rPr>
                <w:noProof/>
                <w:webHidden/>
              </w:rPr>
              <w:tab/>
            </w:r>
            <w:r>
              <w:rPr>
                <w:noProof/>
                <w:webHidden/>
              </w:rPr>
              <w:fldChar w:fldCharType="begin"/>
            </w:r>
            <w:r>
              <w:rPr>
                <w:noProof/>
                <w:webHidden/>
              </w:rPr>
              <w:instrText xml:space="preserve"> PAGEREF _Toc16946008 \h </w:instrText>
            </w:r>
            <w:r>
              <w:rPr>
                <w:noProof/>
                <w:webHidden/>
              </w:rPr>
            </w:r>
            <w:r>
              <w:rPr>
                <w:noProof/>
                <w:webHidden/>
              </w:rPr>
              <w:fldChar w:fldCharType="separate"/>
            </w:r>
            <w:r>
              <w:rPr>
                <w:noProof/>
                <w:webHidden/>
              </w:rPr>
              <w:t>21</w:t>
            </w:r>
            <w:r>
              <w:rPr>
                <w:noProof/>
                <w:webHidden/>
              </w:rPr>
              <w:fldChar w:fldCharType="end"/>
            </w:r>
          </w:hyperlink>
        </w:p>
        <w:p>
          <w:pPr>
            <w:pStyle w:val="TOC3"/>
            <w:tabs>
              <w:tab w:val="right" w:leader="dot" w:pos="9062"/>
            </w:tabs>
            <w:rPr>
              <w:rFonts w:asciiTheme="minorHAnsi" w:hAnsiTheme="minorHAnsi"/>
              <w:noProof/>
              <w:lang w:bidi="ar-SA"/>
            </w:rPr>
          </w:pPr>
          <w:hyperlink w:anchor="_Toc16946009" w:history="1">
            <w:r>
              <w:rPr>
                <w:rStyle w:val="Hyperlink"/>
                <w:noProof/>
              </w:rPr>
              <w:t>2.5.1. Contributi concessi dal FEG</w:t>
            </w:r>
            <w:r>
              <w:rPr>
                <w:noProof/>
                <w:webHidden/>
              </w:rPr>
              <w:tab/>
            </w:r>
            <w:r>
              <w:rPr>
                <w:noProof/>
                <w:webHidden/>
              </w:rPr>
              <w:fldChar w:fldCharType="begin"/>
            </w:r>
            <w:r>
              <w:rPr>
                <w:noProof/>
                <w:webHidden/>
              </w:rPr>
              <w:instrText xml:space="preserve"> PAGEREF _Toc16946009 \h </w:instrText>
            </w:r>
            <w:r>
              <w:rPr>
                <w:noProof/>
                <w:webHidden/>
              </w:rPr>
            </w:r>
            <w:r>
              <w:rPr>
                <w:noProof/>
                <w:webHidden/>
              </w:rPr>
              <w:fldChar w:fldCharType="separate"/>
            </w:r>
            <w:r>
              <w:rPr>
                <w:noProof/>
                <w:webHidden/>
              </w:rPr>
              <w:t>21</w:t>
            </w:r>
            <w:r>
              <w:rPr>
                <w:noProof/>
                <w:webHidden/>
              </w:rPr>
              <w:fldChar w:fldCharType="end"/>
            </w:r>
          </w:hyperlink>
        </w:p>
        <w:p>
          <w:pPr>
            <w:pStyle w:val="TOC3"/>
            <w:tabs>
              <w:tab w:val="right" w:leader="dot" w:pos="9062"/>
            </w:tabs>
            <w:rPr>
              <w:rFonts w:asciiTheme="minorHAnsi" w:hAnsiTheme="minorHAnsi"/>
              <w:noProof/>
              <w:lang w:bidi="ar-SA"/>
            </w:rPr>
          </w:pPr>
          <w:hyperlink w:anchor="_Toc16946010" w:history="1">
            <w:r>
              <w:rPr>
                <w:rStyle w:val="Hyperlink"/>
                <w:noProof/>
              </w:rPr>
              <w:t>2.5.2. Spese di assistenza tecnica</w:t>
            </w:r>
            <w:r>
              <w:rPr>
                <w:noProof/>
                <w:webHidden/>
              </w:rPr>
              <w:tab/>
            </w:r>
            <w:r>
              <w:rPr>
                <w:noProof/>
                <w:webHidden/>
              </w:rPr>
              <w:fldChar w:fldCharType="begin"/>
            </w:r>
            <w:r>
              <w:rPr>
                <w:noProof/>
                <w:webHidden/>
              </w:rPr>
              <w:instrText xml:space="preserve"> PAGEREF _Toc16946010 \h </w:instrText>
            </w:r>
            <w:r>
              <w:rPr>
                <w:noProof/>
                <w:webHidden/>
              </w:rPr>
            </w:r>
            <w:r>
              <w:rPr>
                <w:noProof/>
                <w:webHidden/>
              </w:rPr>
              <w:fldChar w:fldCharType="separate"/>
            </w:r>
            <w:r>
              <w:rPr>
                <w:noProof/>
                <w:webHidden/>
              </w:rPr>
              <w:t>22</w:t>
            </w:r>
            <w:r>
              <w:rPr>
                <w:noProof/>
                <w:webHidden/>
              </w:rPr>
              <w:fldChar w:fldCharType="end"/>
            </w:r>
          </w:hyperlink>
        </w:p>
        <w:p>
          <w:pPr>
            <w:pStyle w:val="TOC3"/>
            <w:tabs>
              <w:tab w:val="right" w:leader="dot" w:pos="9062"/>
            </w:tabs>
            <w:rPr>
              <w:rFonts w:asciiTheme="minorHAnsi" w:hAnsiTheme="minorHAnsi"/>
              <w:noProof/>
              <w:lang w:bidi="ar-SA"/>
            </w:rPr>
          </w:pPr>
          <w:hyperlink w:anchor="_Toc16946011" w:history="1">
            <w:r>
              <w:rPr>
                <w:rStyle w:val="Hyperlink"/>
                <w:noProof/>
              </w:rPr>
              <w:t>2.5.3 Irregolarità segnalate</w:t>
            </w:r>
            <w:r>
              <w:rPr>
                <w:noProof/>
                <w:webHidden/>
              </w:rPr>
              <w:tab/>
            </w:r>
            <w:r>
              <w:rPr>
                <w:noProof/>
                <w:webHidden/>
              </w:rPr>
              <w:fldChar w:fldCharType="begin"/>
            </w:r>
            <w:r>
              <w:rPr>
                <w:noProof/>
                <w:webHidden/>
              </w:rPr>
              <w:instrText xml:space="preserve"> PAGEREF _Toc16946011 \h </w:instrText>
            </w:r>
            <w:r>
              <w:rPr>
                <w:noProof/>
                <w:webHidden/>
              </w:rPr>
            </w:r>
            <w:r>
              <w:rPr>
                <w:noProof/>
                <w:webHidden/>
              </w:rPr>
              <w:fldChar w:fldCharType="separate"/>
            </w:r>
            <w:r>
              <w:rPr>
                <w:noProof/>
                <w:webHidden/>
              </w:rPr>
              <w:t>23</w:t>
            </w:r>
            <w:r>
              <w:rPr>
                <w:noProof/>
                <w:webHidden/>
              </w:rPr>
              <w:fldChar w:fldCharType="end"/>
            </w:r>
          </w:hyperlink>
        </w:p>
        <w:p>
          <w:pPr>
            <w:pStyle w:val="TOC3"/>
            <w:tabs>
              <w:tab w:val="right" w:leader="dot" w:pos="9062"/>
            </w:tabs>
            <w:rPr>
              <w:rFonts w:asciiTheme="minorHAnsi" w:hAnsiTheme="minorHAnsi"/>
              <w:noProof/>
              <w:lang w:bidi="ar-SA"/>
            </w:rPr>
          </w:pPr>
          <w:hyperlink w:anchor="_Toc16946012" w:history="1">
            <w:r>
              <w:rPr>
                <w:rStyle w:val="Hyperlink"/>
                <w:noProof/>
              </w:rPr>
              <w:t>2.5.4 Chiusura dei contributi finanziari del FEG</w:t>
            </w:r>
            <w:r>
              <w:rPr>
                <w:noProof/>
                <w:webHidden/>
              </w:rPr>
              <w:tab/>
            </w:r>
            <w:r>
              <w:rPr>
                <w:noProof/>
                <w:webHidden/>
              </w:rPr>
              <w:fldChar w:fldCharType="begin"/>
            </w:r>
            <w:r>
              <w:rPr>
                <w:noProof/>
                <w:webHidden/>
              </w:rPr>
              <w:instrText xml:space="preserve"> PAGEREF _Toc16946012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hAnsiTheme="minorHAnsi"/>
              <w:noProof/>
              <w:lang w:bidi="ar-SA"/>
            </w:rPr>
          </w:pPr>
          <w:hyperlink w:anchor="_Toc16946013" w:history="1">
            <w:r>
              <w:rPr>
                <w:rStyle w:val="Hyperlink"/>
                <w:noProof/>
              </w:rPr>
              <w:t>2.6. Attività di assistenza tecnica della Commissione</w:t>
            </w:r>
            <w:r>
              <w:rPr>
                <w:noProof/>
                <w:webHidden/>
              </w:rPr>
              <w:tab/>
            </w:r>
            <w:r>
              <w:rPr>
                <w:noProof/>
                <w:webHidden/>
              </w:rPr>
              <w:fldChar w:fldCharType="begin"/>
            </w:r>
            <w:r>
              <w:rPr>
                <w:noProof/>
                <w:webHidden/>
              </w:rPr>
              <w:instrText xml:space="preserve"> PAGEREF _Toc16946013 \h </w:instrText>
            </w:r>
            <w:r>
              <w:rPr>
                <w:noProof/>
                <w:webHidden/>
              </w:rPr>
            </w:r>
            <w:r>
              <w:rPr>
                <w:noProof/>
                <w:webHidden/>
              </w:rPr>
              <w:fldChar w:fldCharType="separate"/>
            </w:r>
            <w:r>
              <w:rPr>
                <w:noProof/>
                <w:webHidden/>
              </w:rPr>
              <w:t>28</w:t>
            </w:r>
            <w:r>
              <w:rPr>
                <w:noProof/>
                <w:webHidden/>
              </w:rPr>
              <w:fldChar w:fldCharType="end"/>
            </w:r>
          </w:hyperlink>
        </w:p>
        <w:p>
          <w:pPr>
            <w:pStyle w:val="TOC3"/>
            <w:tabs>
              <w:tab w:val="right" w:leader="dot" w:pos="9062"/>
            </w:tabs>
            <w:rPr>
              <w:rFonts w:asciiTheme="minorHAnsi" w:hAnsiTheme="minorHAnsi"/>
              <w:noProof/>
              <w:lang w:bidi="ar-SA"/>
            </w:rPr>
          </w:pPr>
          <w:hyperlink w:anchor="_Toc16946014" w:history="1">
            <w:r>
              <w:rPr>
                <w:rStyle w:val="Hyperlink"/>
                <w:noProof/>
              </w:rPr>
              <w:t>2.6.1. Informazione e pubblicità: il sito Internet</w:t>
            </w:r>
            <w:r>
              <w:rPr>
                <w:noProof/>
                <w:webHidden/>
              </w:rPr>
              <w:tab/>
            </w:r>
            <w:r>
              <w:rPr>
                <w:noProof/>
                <w:webHidden/>
              </w:rPr>
              <w:fldChar w:fldCharType="begin"/>
            </w:r>
            <w:r>
              <w:rPr>
                <w:noProof/>
                <w:webHidden/>
              </w:rPr>
              <w:instrText xml:space="preserve"> PAGEREF _Toc16946014 \h </w:instrText>
            </w:r>
            <w:r>
              <w:rPr>
                <w:noProof/>
                <w:webHidden/>
              </w:rPr>
            </w:r>
            <w:r>
              <w:rPr>
                <w:noProof/>
                <w:webHidden/>
              </w:rPr>
              <w:fldChar w:fldCharType="separate"/>
            </w:r>
            <w:r>
              <w:rPr>
                <w:noProof/>
                <w:webHidden/>
              </w:rPr>
              <w:t>28</w:t>
            </w:r>
            <w:r>
              <w:rPr>
                <w:noProof/>
                <w:webHidden/>
              </w:rPr>
              <w:fldChar w:fldCharType="end"/>
            </w:r>
          </w:hyperlink>
        </w:p>
        <w:p>
          <w:pPr>
            <w:pStyle w:val="TOC3"/>
            <w:tabs>
              <w:tab w:val="right" w:leader="dot" w:pos="9062"/>
            </w:tabs>
            <w:rPr>
              <w:rFonts w:asciiTheme="minorHAnsi" w:hAnsiTheme="minorHAnsi"/>
              <w:noProof/>
              <w:lang w:bidi="ar-SA"/>
            </w:rPr>
          </w:pPr>
          <w:hyperlink w:anchor="_Toc16946015" w:history="1">
            <w:r>
              <w:rPr>
                <w:rStyle w:val="Hyperlink"/>
                <w:noProof/>
              </w:rPr>
              <w:t>2.6.2. Riunioni con le autorità nazionali e le parti interessate del FEG</w:t>
            </w:r>
            <w:r>
              <w:rPr>
                <w:noProof/>
                <w:webHidden/>
              </w:rPr>
              <w:tab/>
            </w:r>
            <w:r>
              <w:rPr>
                <w:noProof/>
                <w:webHidden/>
              </w:rPr>
              <w:fldChar w:fldCharType="begin"/>
            </w:r>
            <w:r>
              <w:rPr>
                <w:noProof/>
                <w:webHidden/>
              </w:rPr>
              <w:instrText xml:space="preserve"> PAGEREF _Toc16946015 \h </w:instrText>
            </w:r>
            <w:r>
              <w:rPr>
                <w:noProof/>
                <w:webHidden/>
              </w:rPr>
            </w:r>
            <w:r>
              <w:rPr>
                <w:noProof/>
                <w:webHidden/>
              </w:rPr>
              <w:fldChar w:fldCharType="separate"/>
            </w:r>
            <w:r>
              <w:rPr>
                <w:noProof/>
                <w:webHidden/>
              </w:rPr>
              <w:t>28</w:t>
            </w:r>
            <w:r>
              <w:rPr>
                <w:noProof/>
                <w:webHidden/>
              </w:rPr>
              <w:fldChar w:fldCharType="end"/>
            </w:r>
          </w:hyperlink>
        </w:p>
        <w:p>
          <w:pPr>
            <w:pStyle w:val="TOC3"/>
            <w:tabs>
              <w:tab w:val="right" w:leader="dot" w:pos="9062"/>
            </w:tabs>
            <w:rPr>
              <w:rFonts w:asciiTheme="minorHAnsi" w:hAnsiTheme="minorHAnsi"/>
              <w:noProof/>
              <w:lang w:bidi="ar-SA"/>
            </w:rPr>
          </w:pPr>
          <w:hyperlink w:anchor="_Toc16946016" w:history="1">
            <w:r>
              <w:rPr>
                <w:rStyle w:val="Hyperlink"/>
                <w:noProof/>
              </w:rPr>
              <w:t>2.6.3. Sistema elettronico di scambio di dati (SFC2014)</w:t>
            </w:r>
            <w:r>
              <w:rPr>
                <w:noProof/>
                <w:webHidden/>
              </w:rPr>
              <w:tab/>
            </w:r>
            <w:r>
              <w:rPr>
                <w:noProof/>
                <w:webHidden/>
              </w:rPr>
              <w:fldChar w:fldCharType="begin"/>
            </w:r>
            <w:r>
              <w:rPr>
                <w:noProof/>
                <w:webHidden/>
              </w:rPr>
              <w:instrText xml:space="preserve"> PAGEREF _Toc16946016 \h </w:instrText>
            </w:r>
            <w:r>
              <w:rPr>
                <w:noProof/>
                <w:webHidden/>
              </w:rPr>
            </w:r>
            <w:r>
              <w:rPr>
                <w:noProof/>
                <w:webHidden/>
              </w:rPr>
              <w:fldChar w:fldCharType="separate"/>
            </w:r>
            <w:r>
              <w:rPr>
                <w:noProof/>
                <w:webHidden/>
              </w:rPr>
              <w:t>28</w:t>
            </w:r>
            <w:r>
              <w:rPr>
                <w:noProof/>
                <w:webHidden/>
              </w:rPr>
              <w:fldChar w:fldCharType="end"/>
            </w:r>
          </w:hyperlink>
        </w:p>
        <w:p>
          <w:pPr>
            <w:pStyle w:val="TOC3"/>
            <w:tabs>
              <w:tab w:val="right" w:leader="dot" w:pos="9062"/>
            </w:tabs>
            <w:rPr>
              <w:rFonts w:asciiTheme="minorHAnsi" w:hAnsiTheme="minorHAnsi"/>
              <w:noProof/>
              <w:lang w:bidi="ar-SA"/>
            </w:rPr>
          </w:pPr>
          <w:hyperlink w:anchor="_Toc16946017" w:history="1">
            <w:r>
              <w:rPr>
                <w:rStyle w:val="Hyperlink"/>
                <w:noProof/>
              </w:rPr>
              <w:t>2.6.4. Valutazione intermedia del FEG 2014-2020</w:t>
            </w:r>
            <w:r>
              <w:rPr>
                <w:noProof/>
                <w:webHidden/>
              </w:rPr>
              <w:tab/>
            </w:r>
            <w:r>
              <w:rPr>
                <w:noProof/>
                <w:webHidden/>
              </w:rPr>
              <w:fldChar w:fldCharType="begin"/>
            </w:r>
            <w:r>
              <w:rPr>
                <w:noProof/>
                <w:webHidden/>
              </w:rPr>
              <w:instrText xml:space="preserve"> PAGEREF _Toc16946017 \h </w:instrText>
            </w:r>
            <w:r>
              <w:rPr>
                <w:noProof/>
                <w:webHidden/>
              </w:rPr>
            </w:r>
            <w:r>
              <w:rPr>
                <w:noProof/>
                <w:webHidden/>
              </w:rPr>
              <w:fldChar w:fldCharType="separate"/>
            </w:r>
            <w:r>
              <w:rPr>
                <w:noProof/>
                <w:webHidden/>
              </w:rPr>
              <w:t>29</w:t>
            </w:r>
            <w:r>
              <w:rPr>
                <w:noProof/>
                <w:webHidden/>
              </w:rPr>
              <w:fldChar w:fldCharType="end"/>
            </w:r>
          </w:hyperlink>
        </w:p>
        <w:p>
          <w:pPr>
            <w:pStyle w:val="TOC1"/>
            <w:rPr>
              <w:rFonts w:asciiTheme="minorHAnsi" w:eastAsiaTheme="minorEastAsia" w:hAnsiTheme="minorHAnsi"/>
              <w:noProof/>
              <w:lang w:bidi="ar-SA"/>
            </w:rPr>
          </w:pPr>
          <w:hyperlink w:anchor="_Toc16946018" w:history="1">
            <w:r>
              <w:rPr>
                <w:rStyle w:val="Hyperlink"/>
                <w:noProof/>
              </w:rPr>
              <w:t>Sviluppo della politica del FEG</w:t>
            </w:r>
            <w:r>
              <w:rPr>
                <w:noProof/>
                <w:webHidden/>
              </w:rPr>
              <w:tab/>
            </w:r>
            <w:r>
              <w:rPr>
                <w:noProof/>
                <w:webHidden/>
              </w:rPr>
              <w:fldChar w:fldCharType="begin"/>
            </w:r>
            <w:r>
              <w:rPr>
                <w:noProof/>
                <w:webHidden/>
              </w:rPr>
              <w:instrText xml:space="preserve"> PAGEREF _Toc16946018 \h </w:instrText>
            </w:r>
            <w:r>
              <w:rPr>
                <w:noProof/>
                <w:webHidden/>
              </w:rPr>
            </w:r>
            <w:r>
              <w:rPr>
                <w:noProof/>
                <w:webHidden/>
              </w:rPr>
              <w:fldChar w:fldCharType="separate"/>
            </w:r>
            <w:r>
              <w:rPr>
                <w:noProof/>
                <w:webHidden/>
              </w:rPr>
              <w:t>30</w:t>
            </w:r>
            <w:r>
              <w:rPr>
                <w:noProof/>
                <w:webHidden/>
              </w:rPr>
              <w:fldChar w:fldCharType="end"/>
            </w:r>
          </w:hyperlink>
        </w:p>
        <w:p>
          <w:pPr>
            <w:pStyle w:val="TOC2"/>
            <w:rPr>
              <w:rFonts w:asciiTheme="minorHAnsi" w:hAnsiTheme="minorHAnsi"/>
              <w:noProof/>
              <w:lang w:bidi="ar-SA"/>
            </w:rPr>
          </w:pPr>
          <w:hyperlink w:anchor="_Toc16946019" w:history="1">
            <w:r>
              <w:rPr>
                <w:rStyle w:val="Hyperlink"/>
                <w:noProof/>
              </w:rPr>
              <w:t>3.1. Modifica del regolamento (UE) 1309/2013 nel contesto del regolamento (UE) 2018/1046</w:t>
            </w:r>
            <w:r>
              <w:rPr>
                <w:noProof/>
                <w:webHidden/>
              </w:rPr>
              <w:tab/>
            </w:r>
            <w:r>
              <w:rPr>
                <w:noProof/>
                <w:webHidden/>
              </w:rPr>
              <w:fldChar w:fldCharType="begin"/>
            </w:r>
            <w:r>
              <w:rPr>
                <w:noProof/>
                <w:webHidden/>
              </w:rPr>
              <w:instrText xml:space="preserve"> PAGEREF _Toc16946019 \h </w:instrText>
            </w:r>
            <w:r>
              <w:rPr>
                <w:noProof/>
                <w:webHidden/>
              </w:rPr>
            </w:r>
            <w:r>
              <w:rPr>
                <w:noProof/>
                <w:webHidden/>
              </w:rPr>
              <w:fldChar w:fldCharType="separate"/>
            </w:r>
            <w:r>
              <w:rPr>
                <w:noProof/>
                <w:webHidden/>
              </w:rPr>
              <w:t>30</w:t>
            </w:r>
            <w:r>
              <w:rPr>
                <w:noProof/>
                <w:webHidden/>
              </w:rPr>
              <w:fldChar w:fldCharType="end"/>
            </w:r>
          </w:hyperlink>
        </w:p>
        <w:p>
          <w:pPr>
            <w:pStyle w:val="TOC2"/>
            <w:rPr>
              <w:rFonts w:asciiTheme="minorHAnsi" w:hAnsiTheme="minorHAnsi"/>
              <w:noProof/>
              <w:lang w:bidi="ar-SA"/>
            </w:rPr>
          </w:pPr>
          <w:hyperlink w:anchor="_Toc16946020" w:history="1">
            <w:r>
              <w:rPr>
                <w:rStyle w:val="Hyperlink"/>
                <w:noProof/>
              </w:rPr>
              <w:t>3.2. Proposta legislativa per il FEG post-2020</w:t>
            </w:r>
            <w:r>
              <w:rPr>
                <w:noProof/>
                <w:webHidden/>
              </w:rPr>
              <w:tab/>
            </w:r>
            <w:r>
              <w:rPr>
                <w:noProof/>
                <w:webHidden/>
              </w:rPr>
              <w:fldChar w:fldCharType="begin"/>
            </w:r>
            <w:r>
              <w:rPr>
                <w:noProof/>
                <w:webHidden/>
              </w:rPr>
              <w:instrText xml:space="preserve"> PAGEREF _Toc16946020 \h </w:instrText>
            </w:r>
            <w:r>
              <w:rPr>
                <w:noProof/>
                <w:webHidden/>
              </w:rPr>
            </w:r>
            <w:r>
              <w:rPr>
                <w:noProof/>
                <w:webHidden/>
              </w:rPr>
              <w:fldChar w:fldCharType="separate"/>
            </w:r>
            <w:r>
              <w:rPr>
                <w:noProof/>
                <w:webHidden/>
              </w:rPr>
              <w:t>30</w:t>
            </w:r>
            <w:r>
              <w:rPr>
                <w:noProof/>
                <w:webHidden/>
              </w:rPr>
              <w:fldChar w:fldCharType="end"/>
            </w:r>
          </w:hyperlink>
        </w:p>
        <w:p>
          <w:pPr>
            <w:pStyle w:val="TOC1"/>
            <w:numPr>
              <w:ilvl w:val="0"/>
              <w:numId w:val="0"/>
            </w:numPr>
            <w:rPr>
              <w:rFonts w:asciiTheme="minorHAnsi" w:hAnsiTheme="minorHAnsi"/>
              <w:noProof/>
            </w:rPr>
          </w:pPr>
          <w:r>
            <w:rPr>
              <w:noProof/>
            </w:rPr>
            <w:fldChar w:fldCharType="end"/>
          </w:r>
        </w:p>
      </w:sdtContent>
    </w:sdt>
    <w:p>
      <w:pPr>
        <w:rPr>
          <w:rFonts w:ascii="Times New Roman" w:eastAsiaTheme="majorEastAsia" w:hAnsi="Times New Roman" w:cs="Times New Roman"/>
          <w:b/>
          <w:bCs/>
          <w:noProof/>
          <w:color w:val="000000" w:themeColor="text1"/>
          <w:sz w:val="28"/>
          <w:szCs w:val="24"/>
        </w:rPr>
      </w:pPr>
      <w:r>
        <w:rPr>
          <w:rFonts w:ascii="Times New Roman" w:eastAsiaTheme="majorEastAsia" w:hAnsi="Times New Roman"/>
          <w:b/>
          <w:noProof/>
          <w:color w:val="000000" w:themeColor="text1"/>
          <w:sz w:val="28"/>
        </w:rPr>
        <w:t>1. Introduzione</w:t>
      </w:r>
    </w:p>
    <w:p>
      <w:pPr>
        <w:jc w:val="both"/>
        <w:rPr>
          <w:rFonts w:ascii="Times New Roman" w:hAnsi="Times New Roman" w:cs="Times New Roman"/>
          <w:noProof/>
        </w:rPr>
      </w:pPr>
      <w:r>
        <w:rPr>
          <w:rFonts w:ascii="Times New Roman" w:hAnsi="Times New Roman"/>
          <w:noProof/>
        </w:rPr>
        <w:t>Il Fondo europeo di adeguamento alla globalizzazione (FEG)</w:t>
      </w:r>
      <w:r>
        <w:rPr>
          <w:rStyle w:val="FootnoteReference"/>
          <w:rFonts w:ascii="Times New Roman" w:hAnsi="Times New Roman"/>
          <w:noProof/>
        </w:rPr>
        <w:footnoteReference w:id="3"/>
      </w:r>
      <w:r>
        <w:rPr>
          <w:rFonts w:ascii="Times New Roman" w:hAnsi="Times New Roman"/>
          <w:noProof/>
        </w:rPr>
        <w:t xml:space="preserve"> è una dimostrazione della solidarietà europea, nonché un sostegno tangibile a favore dei lavoratori in esubero a seguito di trasformazioni rilevanti della struttura del commercio mondiale, dovute alla globalizzazione e alla crisi economica e finanziaria globale.</w:t>
      </w:r>
    </w:p>
    <w:p>
      <w:pPr>
        <w:jc w:val="both"/>
        <w:rPr>
          <w:rFonts w:ascii="Times New Roman" w:hAnsi="Times New Roman" w:cs="Times New Roman"/>
          <w:noProof/>
        </w:rPr>
      </w:pPr>
      <w:r>
        <w:rPr>
          <w:rFonts w:ascii="Times New Roman" w:hAnsi="Times New Roman"/>
          <w:noProof/>
        </w:rPr>
        <w:t>Al fine di aiutare i lavoratori in esubero a trovare un nuovo posto di lavoro, il FEG cofinanzia misure di politica attiva del mercato del lavoro attuate dagli Stati membri. Esso integra le misure nazionali a favore del mercato del lavoro in caso di improvvisi esuberi collettivi, causati dalle ragioni di cui sopra, fornendo un approccio più personalizzato e mirato ai lavoratori in esubero più vulnerabili.</w:t>
      </w:r>
    </w:p>
    <w:p>
      <w:pPr>
        <w:jc w:val="both"/>
        <w:rPr>
          <w:rFonts w:ascii="Times New Roman" w:hAnsi="Times New Roman" w:cs="Times New Roman"/>
          <w:noProof/>
        </w:rPr>
      </w:pPr>
      <w:r>
        <w:rPr>
          <w:rFonts w:ascii="Times New Roman" w:hAnsi="Times New Roman"/>
          <w:noProof/>
        </w:rPr>
        <w:t>Conformemente all'articolo 19 del regolamento (UE) n. 1309/2013 del Parlamento europeo e del Consiglio, del 17 dicembre 2013, sul Fondo europeo di adeguamento alla globalizzazione (2014-2020) e che abroga il regolamento (CE) n. 1927/2006, la Commissione trasmette la presente relazione al Parlamento europeo e al Consiglio, fornendo una valutazione quantitativa e qualitativa sulle attività del FEG nel corso dei due anni precedenti. La relazione si concentra sui risultati ottenuti dal FEG e contiene, in particolare, informazioni in merito a:</w:t>
      </w:r>
    </w:p>
    <w:p>
      <w:pPr>
        <w:numPr>
          <w:ilvl w:val="0"/>
          <w:numId w:val="1"/>
        </w:numPr>
        <w:contextualSpacing/>
        <w:jc w:val="both"/>
        <w:rPr>
          <w:rFonts w:ascii="Times New Roman" w:hAnsi="Times New Roman" w:cs="Times New Roman"/>
          <w:noProof/>
        </w:rPr>
      </w:pPr>
      <w:r>
        <w:rPr>
          <w:rFonts w:ascii="Times New Roman" w:hAnsi="Times New Roman"/>
          <w:noProof/>
        </w:rPr>
        <w:t>domande presentate;</w:t>
      </w:r>
    </w:p>
    <w:p>
      <w:pPr>
        <w:numPr>
          <w:ilvl w:val="0"/>
          <w:numId w:val="1"/>
        </w:numPr>
        <w:contextualSpacing/>
        <w:jc w:val="both"/>
        <w:rPr>
          <w:rFonts w:ascii="Times New Roman" w:hAnsi="Times New Roman" w:cs="Times New Roman"/>
          <w:noProof/>
        </w:rPr>
      </w:pPr>
      <w:r>
        <w:rPr>
          <w:rFonts w:ascii="Times New Roman" w:hAnsi="Times New Roman"/>
          <w:noProof/>
        </w:rPr>
        <w:t>decisioni adottate;</w:t>
      </w:r>
    </w:p>
    <w:p>
      <w:pPr>
        <w:numPr>
          <w:ilvl w:val="0"/>
          <w:numId w:val="1"/>
        </w:numPr>
        <w:contextualSpacing/>
        <w:jc w:val="both"/>
        <w:rPr>
          <w:rFonts w:ascii="Times New Roman" w:hAnsi="Times New Roman" w:cs="Times New Roman"/>
          <w:noProof/>
        </w:rPr>
      </w:pPr>
      <w:r>
        <w:rPr>
          <w:rFonts w:ascii="Times New Roman" w:hAnsi="Times New Roman"/>
          <w:noProof/>
        </w:rPr>
        <w:t>azioni finanziate, compresa la loro complementarità con le azioni finanziate da altri strumenti dell'Unione, in particolare il Fondo sociale europeo (FSE);</w:t>
      </w:r>
    </w:p>
    <w:p>
      <w:pPr>
        <w:numPr>
          <w:ilvl w:val="0"/>
          <w:numId w:val="1"/>
        </w:numPr>
        <w:contextualSpacing/>
        <w:jc w:val="both"/>
        <w:rPr>
          <w:rFonts w:ascii="Times New Roman" w:hAnsi="Times New Roman" w:cs="Times New Roman"/>
          <w:noProof/>
        </w:rPr>
      </w:pPr>
      <w:r>
        <w:rPr>
          <w:rFonts w:ascii="Times New Roman" w:hAnsi="Times New Roman"/>
          <w:noProof/>
        </w:rPr>
        <w:t>statistiche sul tasso di reinserimento dei beneficiari assistiti per Stato membro;</w:t>
      </w:r>
    </w:p>
    <w:p>
      <w:pPr>
        <w:numPr>
          <w:ilvl w:val="0"/>
          <w:numId w:val="1"/>
        </w:numPr>
        <w:contextualSpacing/>
        <w:jc w:val="both"/>
        <w:rPr>
          <w:rFonts w:ascii="Times New Roman" w:hAnsi="Times New Roman" w:cs="Times New Roman"/>
          <w:noProof/>
        </w:rPr>
      </w:pPr>
      <w:r>
        <w:rPr>
          <w:rFonts w:ascii="Times New Roman" w:hAnsi="Times New Roman"/>
          <w:noProof/>
        </w:rPr>
        <w:t>chiusura dei contributi finanziari; e</w:t>
      </w:r>
    </w:p>
    <w:p>
      <w:pPr>
        <w:numPr>
          <w:ilvl w:val="0"/>
          <w:numId w:val="1"/>
        </w:numPr>
        <w:contextualSpacing/>
        <w:jc w:val="both"/>
        <w:rPr>
          <w:rFonts w:ascii="Times New Roman" w:hAnsi="Times New Roman" w:cs="Times New Roman"/>
          <w:noProof/>
        </w:rPr>
      </w:pPr>
      <w:r>
        <w:rPr>
          <w:rFonts w:ascii="Times New Roman" w:hAnsi="Times New Roman"/>
          <w:noProof/>
        </w:rPr>
        <w:t>domande che sono state respinte o ridimensionate per mancanza di stanziamenti sufficienti o a causa di non ammissibilità.</w:t>
      </w:r>
    </w:p>
    <w:p>
      <w:pPr>
        <w:jc w:val="both"/>
        <w:rPr>
          <w:noProof/>
        </w:rPr>
      </w:pPr>
      <w:r>
        <w:rPr>
          <w:rFonts w:ascii="Times New Roman" w:hAnsi="Times New Roman"/>
          <w:noProof/>
        </w:rPr>
        <w:t>La relazione si conclude spiegando in che modo la Commissione ha affrontato le sfide del futuro nella sua proposta per il FEG per il periodo successivo al 2020.</w:t>
      </w:r>
    </w:p>
    <w:p>
      <w:pPr>
        <w:pStyle w:val="Heading1"/>
        <w:spacing w:after="100" w:afterAutospacing="1"/>
        <w:rPr>
          <w:noProof/>
        </w:rPr>
      </w:pPr>
      <w:bookmarkStart w:id="2" w:name="_Toc13653146"/>
      <w:bookmarkStart w:id="3" w:name="_Toc16945993"/>
      <w:r>
        <w:rPr>
          <w:noProof/>
        </w:rPr>
        <w:t>2. Analisi delle attività del FEG negli anni 2017 e 2018</w:t>
      </w:r>
      <w:bookmarkEnd w:id="2"/>
      <w:bookmarkEnd w:id="3"/>
    </w:p>
    <w:p>
      <w:pPr>
        <w:pStyle w:val="Heading2"/>
        <w:spacing w:after="100" w:afterAutospacing="1"/>
        <w:rPr>
          <w:noProof/>
        </w:rPr>
      </w:pPr>
      <w:bookmarkStart w:id="4" w:name="_Toc13653147"/>
      <w:bookmarkStart w:id="5" w:name="_Toc16945994"/>
      <w:r>
        <w:rPr>
          <w:noProof/>
        </w:rPr>
        <w:t>2.1. Domande presentate</w:t>
      </w:r>
      <w:bookmarkEnd w:id="4"/>
      <w:bookmarkEnd w:id="5"/>
    </w:p>
    <w:p>
      <w:pPr>
        <w:spacing w:before="240"/>
        <w:jc w:val="both"/>
        <w:rPr>
          <w:rFonts w:ascii="Times New Roman" w:eastAsia="Times New Roman" w:hAnsi="Times New Roman" w:cs="Times New Roman"/>
          <w:noProof/>
          <w:color w:val="000000"/>
        </w:rPr>
        <w:sectPr>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pPr>
      <w:r>
        <w:rPr>
          <w:rFonts w:ascii="Times New Roman" w:hAnsi="Times New Roman"/>
          <w:noProof/>
          <w:color w:val="000000" w:themeColor="text1"/>
        </w:rPr>
        <w:t xml:space="preserve">Nel 2017 e nel 2018 sono pervenute alla Commissione 13 domande dai seguenti 10 Stati membri: Belgio, Germania, Grecia, Spagna, Francia, Italia, </w:t>
      </w:r>
      <w:r>
        <w:rPr>
          <w:rFonts w:ascii="Times New Roman" w:hAnsi="Times New Roman"/>
          <w:noProof/>
        </w:rPr>
        <w:t>Paesi Bassi</w:t>
      </w:r>
      <w:r>
        <w:rPr>
          <w:rFonts w:ascii="Times New Roman" w:hAnsi="Times New Roman"/>
          <w:noProof/>
          <w:color w:val="000000" w:themeColor="text1"/>
        </w:rPr>
        <w:t>, Portogallo, Finlandia e Svezia</w:t>
      </w:r>
      <w:r>
        <w:rPr>
          <w:rFonts w:ascii="Times New Roman" w:hAnsi="Times New Roman"/>
          <w:noProof/>
        </w:rPr>
        <w:t xml:space="preserve">. </w:t>
      </w:r>
      <w:r>
        <w:rPr>
          <w:rFonts w:ascii="Times New Roman" w:hAnsi="Times New Roman"/>
          <w:noProof/>
          <w:color w:val="000000" w:themeColor="text1"/>
        </w:rPr>
        <w:t xml:space="preserve">Tutti gli Stati membri avevano presentato domanda di finanziamento da parte del FEG anche negli anni precedenti. I dettagli concernenti queste domande sono riportati nella tabella 1. </w:t>
      </w:r>
    </w:p>
    <w:p>
      <w:pPr>
        <w:jc w:val="center"/>
        <w:rPr>
          <w:rFonts w:ascii="Times New Roman" w:hAnsi="Times New Roman" w:cs="Times New Roman"/>
          <w:b/>
          <w:i/>
          <w:noProof/>
          <w:sz w:val="28"/>
          <w:szCs w:val="28"/>
        </w:rPr>
      </w:pPr>
      <w:r>
        <w:rPr>
          <w:rFonts w:ascii="Times New Roman" w:hAnsi="Times New Roman"/>
          <w:b/>
          <w:i/>
          <w:noProof/>
          <w:sz w:val="28"/>
        </w:rPr>
        <w:t>Tabella 1: domande presentate negli anni 2017 e 2018</w:t>
      </w:r>
    </w:p>
    <w:p>
      <w:pPr>
        <w:jc w:val="center"/>
        <w:rPr>
          <w:noProof/>
        </w:rPr>
      </w:pPr>
    </w:p>
    <w:p>
      <w:pPr>
        <w:jc w:val="center"/>
        <w:rPr>
          <w:noProof/>
        </w:rPr>
        <w:sectPr>
          <w:headerReference w:type="even" r:id="rId28"/>
          <w:headerReference w:type="default" r:id="rId29"/>
          <w:footerReference w:type="even" r:id="rId30"/>
          <w:footerReference w:type="default" r:id="rId31"/>
          <w:headerReference w:type="first" r:id="rId32"/>
          <w:footerReference w:type="first" r:id="rId33"/>
          <w:pgSz w:w="16838" w:h="11906" w:orient="landscape"/>
          <w:pgMar w:top="1417" w:right="1417" w:bottom="1417" w:left="1417" w:header="708" w:footer="708" w:gutter="0"/>
          <w:cols w:space="708"/>
          <w:docGrid w:linePitch="360"/>
        </w:sectPr>
      </w:pPr>
      <w:r>
        <w:rPr>
          <w:noProof/>
          <w:lang w:val="en-GB" w:eastAsia="en-GB" w:bidi="ar-SA"/>
        </w:rPr>
        <w:drawing>
          <wp:inline distT="0" distB="0" distL="0" distR="0">
            <wp:extent cx="9145636" cy="41148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62503" cy="4122389"/>
                    </a:xfrm>
                    <a:prstGeom prst="rect">
                      <a:avLst/>
                    </a:prstGeom>
                    <a:noFill/>
                    <a:ln>
                      <a:noFill/>
                    </a:ln>
                  </pic:spPr>
                </pic:pic>
              </a:graphicData>
            </a:graphic>
          </wp:inline>
        </w:drawing>
      </w:r>
    </w:p>
    <w:p>
      <w:pPr>
        <w:pStyle w:val="Heading3"/>
        <w:ind w:left="0" w:firstLine="708"/>
        <w:rPr>
          <w:noProof/>
        </w:rPr>
      </w:pPr>
      <w:bookmarkStart w:id="6" w:name="_Toc13653148"/>
      <w:bookmarkStart w:id="7" w:name="_Toc16945995"/>
      <w:r>
        <w:rPr>
          <w:noProof/>
        </w:rPr>
        <w:t>2.1.1. Domande presentate: causa del licenziamento e criterio di intervento</w:t>
      </w:r>
      <w:bookmarkEnd w:id="6"/>
      <w:bookmarkEnd w:id="7"/>
    </w:p>
    <w:p>
      <w:pPr>
        <w:spacing w:before="240"/>
        <w:jc w:val="both"/>
        <w:rPr>
          <w:rFonts w:ascii="Times New Roman" w:hAnsi="Times New Roman" w:cs="Times New Roman"/>
          <w:noProof/>
          <w:color w:val="000000" w:themeColor="text1"/>
        </w:rPr>
      </w:pPr>
      <w:r>
        <w:rPr>
          <w:rFonts w:ascii="Times New Roman" w:hAnsi="Times New Roman"/>
          <w:noProof/>
          <w:color w:val="000000" w:themeColor="text1"/>
        </w:rPr>
        <w:t>Le domande del 2017 e del 2018 rientravano nell'ambito di applicazione del regolamento (UE) n. 1309/2013 che si applica ai licenziamenti derivanti da:</w:t>
      </w:r>
    </w:p>
    <w:p>
      <w:pPr>
        <w:pStyle w:val="ListParagraph"/>
        <w:numPr>
          <w:ilvl w:val="0"/>
          <w:numId w:val="12"/>
        </w:numPr>
        <w:spacing w:before="240" w:after="0"/>
        <w:jc w:val="both"/>
        <w:rPr>
          <w:rFonts w:cs="Times New Roman"/>
          <w:b/>
          <w:noProof/>
        </w:rPr>
      </w:pPr>
      <w:r>
        <w:rPr>
          <w:b/>
          <w:noProof/>
        </w:rPr>
        <w:t>trasformazioni rilevanti della struttura del commercio mondiale, dovute alla globalizzazione.</w:t>
      </w:r>
    </w:p>
    <w:p>
      <w:pPr>
        <w:pStyle w:val="ListParagraph"/>
        <w:spacing w:before="240" w:after="0"/>
        <w:jc w:val="both"/>
        <w:rPr>
          <w:rFonts w:cs="Times New Roman"/>
          <w:noProof/>
        </w:rPr>
      </w:pPr>
    </w:p>
    <w:p>
      <w:pPr>
        <w:pStyle w:val="ListParagraph"/>
        <w:spacing w:before="240" w:after="0"/>
        <w:jc w:val="both"/>
        <w:rPr>
          <w:rFonts w:cs="Times New Roman"/>
          <w:noProof/>
        </w:rPr>
      </w:pPr>
      <w:r>
        <w:rPr>
          <w:noProof/>
        </w:rPr>
        <w:t>Sono state presentate nove domande in relazione al criterio del commercio, delle quali una era giustificata da circostanze eccezionali e un'altra riguardava un mercato del lavoro di dimensioni ridotte</w:t>
      </w:r>
      <w:r>
        <w:rPr>
          <w:rStyle w:val="FootnoteReference"/>
          <w:noProof/>
        </w:rPr>
        <w:footnoteReference w:id="4"/>
      </w:r>
      <w:r>
        <w:rPr>
          <w:noProof/>
        </w:rPr>
        <w:t>.</w:t>
      </w:r>
    </w:p>
    <w:p>
      <w:pPr>
        <w:pStyle w:val="ListParagraph"/>
        <w:spacing w:before="240" w:after="0"/>
        <w:jc w:val="both"/>
        <w:rPr>
          <w:rFonts w:cs="Times New Roman"/>
          <w:noProof/>
        </w:rPr>
      </w:pPr>
    </w:p>
    <w:p>
      <w:pPr>
        <w:pStyle w:val="ListParagraph"/>
        <w:numPr>
          <w:ilvl w:val="0"/>
          <w:numId w:val="12"/>
        </w:numPr>
        <w:spacing w:before="240" w:after="0"/>
        <w:jc w:val="both"/>
        <w:rPr>
          <w:b/>
          <w:noProof/>
        </w:rPr>
      </w:pPr>
      <w:r>
        <w:rPr>
          <w:b/>
          <w:noProof/>
        </w:rPr>
        <w:t>gli effetti della crisi economica e finanziaria globale.</w:t>
      </w:r>
    </w:p>
    <w:p>
      <w:pPr>
        <w:pStyle w:val="ListParagraph"/>
        <w:spacing w:before="240" w:after="0"/>
        <w:jc w:val="both"/>
        <w:rPr>
          <w:noProof/>
        </w:rPr>
      </w:pPr>
    </w:p>
    <w:p>
      <w:pPr>
        <w:pStyle w:val="ListParagraph"/>
        <w:spacing w:before="240" w:after="0"/>
        <w:jc w:val="both"/>
        <w:rPr>
          <w:rFonts w:cs="Times New Roman"/>
          <w:noProof/>
          <w:color w:val="000000" w:themeColor="text1"/>
        </w:rPr>
      </w:pPr>
      <w:r>
        <w:rPr>
          <w:noProof/>
        </w:rPr>
        <w:t>Sono state presentate quattro domande dovute alle ripercussioni della crisi economica e finanziaria globale, una delle quali è stata giustificata da circostanze eccezionali</w:t>
      </w:r>
      <w:r>
        <w:rPr>
          <w:rStyle w:val="FootnoteReference"/>
          <w:noProof/>
        </w:rPr>
        <w:footnoteReference w:id="5"/>
      </w:r>
      <w:r>
        <w:rPr>
          <w:noProof/>
        </w:rPr>
        <w:t>.</w:t>
      </w:r>
    </w:p>
    <w:p>
      <w:pPr>
        <w:pStyle w:val="Heading3"/>
        <w:ind w:left="0" w:firstLine="708"/>
        <w:rPr>
          <w:noProof/>
        </w:rPr>
      </w:pPr>
      <w:bookmarkStart w:id="8" w:name="_Toc13653149"/>
      <w:bookmarkStart w:id="9" w:name="_Toc16945996"/>
      <w:r>
        <w:rPr>
          <w:noProof/>
        </w:rPr>
        <w:t>2.1.2. Domande presentate: settore (NACE Rev. 2)</w:t>
      </w:r>
      <w:r>
        <w:rPr>
          <w:noProof/>
          <w:vertAlign w:val="superscript"/>
        </w:rPr>
        <w:footnoteReference w:id="6"/>
      </w:r>
      <w:bookmarkEnd w:id="8"/>
      <w:bookmarkEnd w:id="9"/>
    </w:p>
    <w:p>
      <w:pPr>
        <w:jc w:val="both"/>
        <w:rPr>
          <w:rFonts w:ascii="Times New Roman" w:hAnsi="Times New Roman" w:cs="Times New Roman"/>
          <w:noProof/>
          <w:color w:val="000000" w:themeColor="text1"/>
        </w:rPr>
      </w:pPr>
      <w:r>
        <w:rPr>
          <w:rFonts w:ascii="Times New Roman" w:hAnsi="Times New Roman"/>
          <w:noProof/>
          <w:color w:val="000000" w:themeColor="text1"/>
        </w:rPr>
        <w:t xml:space="preserve">Le 13 domande presentate e adottate si riferivano a esuberi in 11 settori diversi: </w:t>
      </w:r>
    </w:p>
    <w:p>
      <w:pPr>
        <w:jc w:val="both"/>
        <w:rPr>
          <w:rFonts w:ascii="Times New Roman" w:hAnsi="Times New Roman" w:cs="Times New Roman"/>
          <w:noProof/>
          <w:color w:val="000000" w:themeColor="text1"/>
        </w:rPr>
      </w:pPr>
      <w:r>
        <w:rPr>
          <w:rFonts w:ascii="Times New Roman" w:hAnsi="Times New Roman"/>
          <w:noProof/>
          <w:color w:val="000000" w:themeColor="text1"/>
        </w:rPr>
        <w:t xml:space="preserve">1) estrazione di carbone e lignite; 2) fabbricazione di articoli in gomma e materie plastiche; 3) fabbricazione di computer e prodotti di elettronica e ottica; 4) macchine e apparecchiature; 5) trasporto aereo; 6) attività editoriali; 7) attività di programmazione e consulenza informatica; 8) prestazione di servizi finanziari; 9) attività amministrative e di supporto per le funzioni d'ufficio e altri servizi di supporto alle imprese; 10) confezione di articoli di abbigliamento (due domande); e 11) commercio al dettaglio (due domande). </w:t>
      </w:r>
    </w:p>
    <w:p>
      <w:pPr>
        <w:jc w:val="both"/>
        <w:rPr>
          <w:rFonts w:ascii="Times New Roman" w:hAnsi="Times New Roman" w:cs="Times New Roman"/>
          <w:noProof/>
          <w:color w:val="000000" w:themeColor="text1"/>
        </w:rPr>
      </w:pPr>
      <w:r>
        <w:rPr>
          <w:rFonts w:ascii="Times New Roman" w:hAnsi="Times New Roman"/>
          <w:noProof/>
          <w:color w:val="000000" w:themeColor="text1"/>
        </w:rPr>
        <w:t>Per la prima volta dall'avvio del FEG,</w:t>
      </w:r>
      <w:r>
        <w:rPr>
          <w:noProof/>
        </w:rPr>
        <w:t xml:space="preserve"> </w:t>
      </w:r>
      <w:r>
        <w:rPr>
          <w:rFonts w:ascii="Times New Roman" w:hAnsi="Times New Roman"/>
          <w:noProof/>
          <w:color w:val="000000" w:themeColor="text1"/>
        </w:rPr>
        <w:t>sono state presentate domande per i seguenti settori: estrazione di carbone e lignite, fabbricazione di articoli in gomma e materie plastiche e prestazione di servizi finanziari.</w:t>
      </w:r>
    </w:p>
    <w:p>
      <w:pPr>
        <w:spacing w:after="0"/>
        <w:jc w:val="both"/>
        <w:rPr>
          <w:rFonts w:ascii="Times New Roman" w:hAnsi="Times New Roman"/>
          <w:noProof/>
        </w:rPr>
      </w:pPr>
      <w:r>
        <w:rPr>
          <w:rFonts w:ascii="Times New Roman" w:hAnsi="Times New Roman"/>
          <w:noProof/>
        </w:rPr>
        <w:t>Il maggior numero di lavoratori interessati si trovava nel settore dei macchinari e delle apparecchiature (2 285), seguito dal commercio al dettaglio (2 225) e dal trasporto aereo (1 858).</w:t>
      </w:r>
    </w:p>
    <w:p>
      <w:pPr>
        <w:spacing w:after="0"/>
        <w:jc w:val="both"/>
        <w:rPr>
          <w:rFonts w:ascii="Times New Roman" w:hAnsi="Times New Roman"/>
          <w:noProof/>
        </w:rPr>
      </w:pPr>
    </w:p>
    <w:p>
      <w:pPr>
        <w:spacing w:after="0"/>
        <w:jc w:val="both"/>
        <w:rPr>
          <w:rFonts w:ascii="Times New Roman" w:hAnsi="Times New Roman"/>
          <w:noProof/>
        </w:rPr>
      </w:pPr>
    </w:p>
    <w:p>
      <w:pPr>
        <w:spacing w:after="0"/>
        <w:jc w:val="both"/>
        <w:rPr>
          <w:rFonts w:ascii="Times New Roman" w:hAnsi="Times New Roman"/>
          <w:noProof/>
        </w:rPr>
      </w:pPr>
    </w:p>
    <w:p>
      <w:pPr>
        <w:spacing w:after="0"/>
        <w:jc w:val="both"/>
        <w:rPr>
          <w:rFonts w:ascii="Times New Roman" w:hAnsi="Times New Roman"/>
          <w:noProof/>
        </w:rPr>
      </w:pPr>
    </w:p>
    <w:p>
      <w:pPr>
        <w:spacing w:before="240"/>
        <w:rPr>
          <w:rFonts w:ascii="Times New Roman" w:hAnsi="Times New Roman"/>
          <w:b/>
          <w:i/>
          <w:noProof/>
        </w:rPr>
      </w:pPr>
      <w:r>
        <w:rPr>
          <w:rFonts w:ascii="Times New Roman" w:hAnsi="Times New Roman"/>
          <w:b/>
          <w:i/>
          <w:noProof/>
        </w:rPr>
        <w:t>Grafico 1: numero di lavoratori interessati per settore (NACE Rev. 2) nel periodo 2017-2018</w:t>
      </w:r>
    </w:p>
    <w:p>
      <w:pPr>
        <w:jc w:val="both"/>
        <w:rPr>
          <w:rFonts w:ascii="Times New Roman" w:hAnsi="Times New Roman" w:cs="Times New Roman"/>
          <w:noProof/>
          <w:color w:val="000000" w:themeColor="text1"/>
        </w:rPr>
      </w:pPr>
      <w:r>
        <w:rPr>
          <w:noProof/>
          <w:lang w:val="en-GB" w:eastAsia="en-GB" w:bidi="ar-SA"/>
        </w:rPr>
        <w:drawing>
          <wp:inline distT="0" distB="0" distL="0" distR="0">
            <wp:extent cx="5760720" cy="3245031"/>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245031"/>
                    </a:xfrm>
                    <a:prstGeom prst="rect">
                      <a:avLst/>
                    </a:prstGeom>
                    <a:noFill/>
                    <a:ln>
                      <a:noFill/>
                    </a:ln>
                  </pic:spPr>
                </pic:pic>
              </a:graphicData>
            </a:graphic>
          </wp:inline>
        </w:drawing>
      </w:r>
    </w:p>
    <w:p>
      <w:pPr>
        <w:jc w:val="both"/>
        <w:rPr>
          <w:rFonts w:ascii="Times New Roman" w:hAnsi="Times New Roman" w:cs="Times New Roman"/>
          <w:noProof/>
          <w:color w:val="000000" w:themeColor="text1"/>
        </w:rPr>
      </w:pPr>
    </w:p>
    <w:p>
      <w:pPr>
        <w:spacing w:after="0"/>
        <w:rPr>
          <w:rFonts w:ascii="Times New Roman" w:hAnsi="Times New Roman"/>
          <w:i/>
          <w:noProof/>
          <w:sz w:val="18"/>
          <w:szCs w:val="18"/>
        </w:rPr>
      </w:pPr>
    </w:p>
    <w:p>
      <w:pPr>
        <w:pStyle w:val="Heading3"/>
        <w:spacing w:before="0" w:after="240"/>
        <w:ind w:left="0" w:firstLine="708"/>
        <w:rPr>
          <w:noProof/>
        </w:rPr>
      </w:pPr>
      <w:bookmarkStart w:id="10" w:name="_Toc13653150"/>
      <w:bookmarkStart w:id="11" w:name="_Toc16945997"/>
      <w:r>
        <w:rPr>
          <w:noProof/>
        </w:rPr>
        <w:t>2.1.3. Domande presentate: numero di beneficiari interessati per Stato membro</w:t>
      </w:r>
      <w:bookmarkEnd w:id="10"/>
      <w:bookmarkEnd w:id="11"/>
    </w:p>
    <w:p>
      <w:pPr>
        <w:jc w:val="both"/>
        <w:rPr>
          <w:rFonts w:ascii="Times New Roman" w:hAnsi="Times New Roman" w:cs="Times New Roman"/>
          <w:noProof/>
          <w:color w:val="000000" w:themeColor="text1"/>
        </w:rPr>
      </w:pPr>
      <w:r>
        <w:rPr>
          <w:rFonts w:ascii="Times New Roman" w:hAnsi="Times New Roman"/>
          <w:noProof/>
          <w:color w:val="000000" w:themeColor="text1"/>
        </w:rPr>
        <w:t xml:space="preserve">Il numero totale dei beneficiari (lavoratori e NEET) interessati del sostegno del FEG è stato pari a 14 051. </w:t>
      </w:r>
      <w:r>
        <w:rPr>
          <w:rFonts w:ascii="Times New Roman" w:hAnsi="Times New Roman"/>
          <w:noProof/>
        </w:rPr>
        <w:t xml:space="preserve">Il numero di beneficiari interessati per domanda è risultato variare </w:t>
      </w:r>
      <w:r>
        <w:rPr>
          <w:rFonts w:ascii="Times New Roman" w:hAnsi="Times New Roman"/>
          <w:noProof/>
          <w:color w:val="000000" w:themeColor="text1"/>
        </w:rPr>
        <w:t>da 303 a 2 585; tra queste, 6 domande</w:t>
      </w:r>
      <w:r>
        <w:rPr>
          <w:rFonts w:ascii="Times New Roman" w:hAnsi="Times New Roman"/>
          <w:noProof/>
        </w:rPr>
        <w:t xml:space="preserve"> hanno interessato più di</w:t>
      </w:r>
      <w:r>
        <w:rPr>
          <w:rFonts w:ascii="Times New Roman" w:hAnsi="Times New Roman"/>
          <w:noProof/>
          <w:color w:val="000000" w:themeColor="text1"/>
        </w:rPr>
        <w:t xml:space="preserve"> 1 000 </w:t>
      </w:r>
      <w:r>
        <w:rPr>
          <w:rFonts w:ascii="Times New Roman" w:hAnsi="Times New Roman"/>
          <w:noProof/>
        </w:rPr>
        <w:t>beneficiari,</w:t>
      </w:r>
      <w:r>
        <w:rPr>
          <w:rFonts w:ascii="Times New Roman" w:hAnsi="Times New Roman"/>
          <w:noProof/>
          <w:color w:val="000000" w:themeColor="text1"/>
        </w:rPr>
        <w:t xml:space="preserve"> </w:t>
      </w:r>
      <w:r>
        <w:rPr>
          <w:rFonts w:ascii="Times New Roman" w:hAnsi="Times New Roman"/>
          <w:noProof/>
        </w:rPr>
        <w:t>mentre 3 domande hanno interessato meno di 500 beneficiari</w:t>
      </w:r>
      <w:r>
        <w:rPr>
          <w:rStyle w:val="FootnoteReference"/>
          <w:rFonts w:ascii="Times New Roman" w:hAnsi="Times New Roman"/>
          <w:noProof/>
        </w:rPr>
        <w:footnoteReference w:id="7"/>
      </w:r>
      <w:r>
        <w:rPr>
          <w:rFonts w:ascii="Times New Roman" w:hAnsi="Times New Roman"/>
          <w:noProof/>
        </w:rPr>
        <w:t xml:space="preserve"> (cfr. tabella 1). Il numero medio di beneficiari interessati per domanda è stato pari a 1 081. </w:t>
      </w:r>
    </w:p>
    <w:p>
      <w:pPr>
        <w:jc w:val="both"/>
        <w:rPr>
          <w:rFonts w:ascii="Times New Roman" w:eastAsia="Times New Roman" w:hAnsi="Times New Roman"/>
          <w:noProof/>
          <w:color w:val="000000"/>
        </w:rPr>
      </w:pPr>
      <w:r>
        <w:rPr>
          <w:rFonts w:ascii="Times New Roman" w:hAnsi="Times New Roman"/>
          <w:noProof/>
          <w:color w:val="000000" w:themeColor="text1"/>
        </w:rPr>
        <w:t>Dei 14 051 beneficiari interessati, 12 896 erano lavoratori in esubero e 1 155 erano NEET. La Finlandia ha chiesto il sostegno del FEG per il maggior numero di lavoratori (2 500), seguita da Belgio (2 285) e Francia (1 858). Le tre domande che hanno previsto sostegno anche per i NEET sono state presentate dal Belgio (300 NEET), dalla Spagna (125 NEET) e dal Portogallo (730 NEET).</w:t>
      </w:r>
    </w:p>
    <w:p>
      <w:pPr>
        <w:jc w:val="both"/>
        <w:rPr>
          <w:rFonts w:ascii="Times New Roman" w:eastAsia="Times New Roman" w:hAnsi="Times New Roman"/>
          <w:noProof/>
          <w:color w:val="000000"/>
        </w:rPr>
      </w:pPr>
    </w:p>
    <w:p>
      <w:pPr>
        <w:jc w:val="both"/>
        <w:rPr>
          <w:rFonts w:ascii="Times New Roman" w:eastAsia="Times New Roman" w:hAnsi="Times New Roman"/>
          <w:noProof/>
          <w:color w:val="000000"/>
        </w:rPr>
      </w:pPr>
    </w:p>
    <w:p>
      <w:pPr>
        <w:jc w:val="both"/>
        <w:rPr>
          <w:rFonts w:ascii="Times New Roman" w:eastAsia="Times New Roman" w:hAnsi="Times New Roman"/>
          <w:noProof/>
          <w:color w:val="000000"/>
        </w:rPr>
      </w:pPr>
    </w:p>
    <w:p>
      <w:pPr>
        <w:jc w:val="both"/>
        <w:rPr>
          <w:rFonts w:ascii="Times New Roman" w:eastAsia="Times New Roman" w:hAnsi="Times New Roman"/>
          <w:noProof/>
          <w:color w:val="000000"/>
        </w:rPr>
      </w:pPr>
    </w:p>
    <w:p>
      <w:pPr>
        <w:jc w:val="both"/>
        <w:rPr>
          <w:rFonts w:ascii="Times New Roman" w:eastAsia="Times New Roman" w:hAnsi="Times New Roman"/>
          <w:noProof/>
          <w:color w:val="000000"/>
        </w:rPr>
      </w:pPr>
    </w:p>
    <w:p>
      <w:pPr>
        <w:jc w:val="both"/>
        <w:rPr>
          <w:rFonts w:ascii="Times New Roman" w:eastAsia="Times New Roman" w:hAnsi="Times New Roman"/>
          <w:noProof/>
          <w:color w:val="000000"/>
        </w:rPr>
      </w:pPr>
    </w:p>
    <w:p>
      <w:pPr>
        <w:spacing w:before="240"/>
        <w:jc w:val="both"/>
        <w:rPr>
          <w:rFonts w:ascii="Times New Roman" w:hAnsi="Times New Roman"/>
          <w:b/>
          <w:i/>
          <w:noProof/>
        </w:rPr>
      </w:pPr>
      <w:r>
        <w:rPr>
          <w:rFonts w:ascii="Times New Roman" w:hAnsi="Times New Roman"/>
          <w:b/>
          <w:i/>
          <w:noProof/>
        </w:rPr>
        <w:t>Grafico 2: numero di beneficiari interessati per Stato membro nel periodo 2017-2018</w:t>
      </w:r>
    </w:p>
    <w:p>
      <w:pPr>
        <w:spacing w:after="0"/>
        <w:jc w:val="center"/>
        <w:rPr>
          <w:rFonts w:ascii="Times New Roman" w:hAnsi="Times New Roman"/>
          <w:noProof/>
        </w:rPr>
      </w:pPr>
      <w:r>
        <w:rPr>
          <w:noProof/>
          <w:lang w:val="en-GB" w:eastAsia="en-GB" w:bidi="ar-SA"/>
        </w:rPr>
        <w:drawing>
          <wp:inline distT="0" distB="0" distL="0" distR="0">
            <wp:extent cx="5760720" cy="32085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08587"/>
                    </a:xfrm>
                    <a:prstGeom prst="rect">
                      <a:avLst/>
                    </a:prstGeom>
                    <a:noFill/>
                    <a:ln>
                      <a:noFill/>
                    </a:ln>
                  </pic:spPr>
                </pic:pic>
              </a:graphicData>
            </a:graphic>
          </wp:inline>
        </w:drawing>
      </w:r>
    </w:p>
    <w:p>
      <w:pPr>
        <w:spacing w:after="0"/>
        <w:rPr>
          <w:rFonts w:ascii="Times New Roman" w:hAnsi="Times New Roman"/>
          <w:i/>
          <w:noProof/>
        </w:rPr>
      </w:pPr>
      <w:r>
        <w:rPr>
          <w:rFonts w:ascii="Times New Roman" w:hAnsi="Times New Roman"/>
          <w:i/>
          <w:noProof/>
        </w:rPr>
        <w:t>Il numero di domande presentate è specificato tra parentesi.</w:t>
      </w:r>
    </w:p>
    <w:p>
      <w:pPr>
        <w:spacing w:after="0"/>
        <w:rPr>
          <w:rFonts w:ascii="Times New Roman" w:eastAsia="Times New Roman" w:hAnsi="Times New Roman" w:cs="Times New Roman"/>
          <w:b/>
          <w:bCs/>
          <w:noProof/>
          <w:color w:val="000000"/>
        </w:rPr>
      </w:pPr>
    </w:p>
    <w:p>
      <w:pPr>
        <w:spacing w:after="0"/>
        <w:rPr>
          <w:rFonts w:ascii="Times New Roman" w:eastAsia="Times New Roman" w:hAnsi="Times New Roman" w:cs="Times New Roman"/>
          <w:b/>
          <w:bCs/>
          <w:noProof/>
          <w:color w:val="000000"/>
        </w:rPr>
      </w:pPr>
      <w:r>
        <w:rPr>
          <w:rFonts w:ascii="Times New Roman" w:hAnsi="Times New Roman"/>
          <w:b/>
          <w:noProof/>
          <w:color w:val="000000"/>
        </w:rPr>
        <w:t xml:space="preserve">Numero totale di beneficiari </w:t>
      </w:r>
      <w:r>
        <w:rPr>
          <w:rFonts w:ascii="Times New Roman" w:hAnsi="Times New Roman"/>
          <w:b/>
          <w:noProof/>
        </w:rPr>
        <w:t>interessati</w:t>
      </w:r>
      <w:r>
        <w:rPr>
          <w:rFonts w:ascii="Times New Roman" w:hAnsi="Times New Roman"/>
          <w:b/>
          <w:noProof/>
          <w:color w:val="000000"/>
        </w:rPr>
        <w:t>:</w:t>
      </w:r>
      <w:r>
        <w:rPr>
          <w:noProof/>
        </w:rPr>
        <w:tab/>
      </w:r>
      <w:r>
        <w:rPr>
          <w:noProof/>
        </w:rPr>
        <w:tab/>
      </w:r>
      <w:r>
        <w:rPr>
          <w:rFonts w:ascii="Times New Roman" w:hAnsi="Times New Roman"/>
          <w:b/>
          <w:noProof/>
          <w:color w:val="000000"/>
        </w:rPr>
        <w:t>14 051</w:t>
      </w:r>
    </w:p>
    <w:p>
      <w:pPr>
        <w:spacing w:after="0"/>
        <w:rPr>
          <w:rFonts w:ascii="Times New Roman" w:eastAsia="Times New Roman" w:hAnsi="Times New Roman" w:cs="Times New Roman"/>
          <w:b/>
          <w:bCs/>
          <w:noProof/>
          <w:color w:val="000000"/>
        </w:rPr>
      </w:pPr>
      <w:r>
        <w:rPr>
          <w:rFonts w:ascii="Times New Roman" w:hAnsi="Times New Roman"/>
          <w:b/>
          <w:noProof/>
          <w:color w:val="000000"/>
        </w:rPr>
        <w:t xml:space="preserve">Numero medio di beneficiari </w:t>
      </w:r>
      <w:r>
        <w:rPr>
          <w:rFonts w:ascii="Times New Roman" w:hAnsi="Times New Roman"/>
          <w:b/>
          <w:noProof/>
        </w:rPr>
        <w:t>interessati</w:t>
      </w:r>
      <w:r>
        <w:rPr>
          <w:rFonts w:ascii="Times New Roman" w:hAnsi="Times New Roman"/>
          <w:b/>
          <w:noProof/>
          <w:color w:val="000000"/>
        </w:rPr>
        <w:t>:</w:t>
      </w:r>
      <w:r>
        <w:rPr>
          <w:noProof/>
        </w:rPr>
        <w:tab/>
      </w:r>
      <w:r>
        <w:rPr>
          <w:noProof/>
        </w:rPr>
        <w:tab/>
      </w:r>
      <w:r>
        <w:rPr>
          <w:rFonts w:ascii="Times New Roman" w:hAnsi="Times New Roman"/>
          <w:b/>
          <w:noProof/>
          <w:color w:val="000000"/>
        </w:rPr>
        <w:t xml:space="preserve">  1 405</w:t>
      </w:r>
    </w:p>
    <w:p>
      <w:pPr>
        <w:ind w:left="708"/>
        <w:jc w:val="both"/>
        <w:rPr>
          <w:rFonts w:ascii="Times New Roman" w:hAnsi="Times New Roman"/>
          <w:noProof/>
        </w:rPr>
      </w:pPr>
    </w:p>
    <w:p>
      <w:pPr>
        <w:spacing w:after="0"/>
        <w:jc w:val="both"/>
        <w:rPr>
          <w:rFonts w:ascii="Times New Roman" w:hAnsi="Times New Roman"/>
          <w:noProof/>
        </w:rPr>
      </w:pPr>
      <w:r>
        <w:rPr>
          <w:rFonts w:ascii="Times New Roman" w:hAnsi="Times New Roman"/>
          <w:noProof/>
        </w:rPr>
        <w:t>Le 13 domande presentate durante il periodo di riferimento hanno riguardato 16 133 esuberi, 12 896 dei quali, rappresentanti l'80 %, sono stati interessati dalle misure proposte per il cofinanziamento da parte del FEG.</w:t>
      </w:r>
    </w:p>
    <w:p>
      <w:pPr>
        <w:spacing w:after="0"/>
        <w:jc w:val="both"/>
        <w:rPr>
          <w:rFonts w:ascii="Times New Roman" w:hAnsi="Times New Roman"/>
          <w:noProof/>
        </w:rPr>
      </w:pPr>
    </w:p>
    <w:p>
      <w:pPr>
        <w:spacing w:after="0"/>
        <w:jc w:val="both"/>
        <w:rPr>
          <w:rFonts w:ascii="Times New Roman" w:hAnsi="Times New Roman"/>
          <w:noProof/>
        </w:rPr>
      </w:pPr>
      <w:r>
        <w:rPr>
          <w:rFonts w:ascii="Times New Roman" w:hAnsi="Times New Roman"/>
          <w:noProof/>
        </w:rPr>
        <w:t>Occorre sottolineare che il numero di lavoratori in esubero e il numero di lavoratori interessati dal sostegno del FEG possono differire tra loro dato che lo Stato membro può decidere di concentrarsi soltanto su gruppi specifici di persone, quali i lavoratori più vulnerabili, quelli che incontrano difficoltà eccezionali sul mercato del lavoro e/o quelli che hanno maggiormente bisogno di assistenza. In taluni casi, il normale sostegno messo a disposizione dei lavoratori in esubero negli Stati membri può essere sufficiente a garantire un rapido reinserimento lavorativo degli stessi oppure, in taluni casi, i lavoratori possono optare per il pensionamento anticipato.</w:t>
      </w:r>
    </w:p>
    <w:p>
      <w:pPr>
        <w:pStyle w:val="Heading3"/>
        <w:ind w:left="0" w:firstLine="708"/>
        <w:rPr>
          <w:bCs w:val="0"/>
          <w:i w:val="0"/>
          <w:noProof/>
        </w:rPr>
      </w:pPr>
      <w:bookmarkStart w:id="12" w:name="_Toc13653151"/>
      <w:bookmarkStart w:id="13" w:name="_Toc16945998"/>
      <w:r>
        <w:rPr>
          <w:noProof/>
        </w:rPr>
        <w:t>2.1.4. Domande presentate: importo richiesto</w:t>
      </w:r>
      <w:bookmarkEnd w:id="12"/>
      <w:bookmarkEnd w:id="13"/>
    </w:p>
    <w:p>
      <w:pPr>
        <w:jc w:val="both"/>
        <w:rPr>
          <w:rFonts w:ascii="Times New Roman" w:hAnsi="Times New Roman" w:cs="Times New Roman"/>
          <w:noProof/>
        </w:rPr>
      </w:pPr>
      <w:r>
        <w:rPr>
          <w:rFonts w:ascii="Times New Roman" w:hAnsi="Times New Roman"/>
          <w:noProof/>
        </w:rPr>
        <w:t>Ciascuno Stato membro che presenta una domanda di sostegno del FEG deve elaborare un pacchetto coordinato di misure che rispecchi al meglio i profili dei beneficiari interessati e deve stabilire l'importo del contributo da richiedere. Il regolamento (UE) n. 1309/2013 fissa il tasso massimo di cofinanziamento del FEG al 60 %.</w:t>
      </w:r>
    </w:p>
    <w:p>
      <w:pPr>
        <w:jc w:val="both"/>
        <w:rPr>
          <w:rFonts w:ascii="Times New Roman" w:eastAsia="Times New Roman" w:hAnsi="Times New Roman" w:cs="Times New Roman"/>
          <w:bCs/>
          <w:noProof/>
          <w:color w:val="000000"/>
        </w:rPr>
      </w:pPr>
      <w:r>
        <w:rPr>
          <w:rFonts w:ascii="Times New Roman" w:hAnsi="Times New Roman"/>
          <w:noProof/>
          <w:color w:val="000000"/>
        </w:rPr>
        <w:t>Complessivamente 10 Stati membri hanno chiesto 41 006 837 EUR per il sostegno del FEG. La Francia ha chiesto l'importo più elevato (9 894 483 EUR per una domanda), seguita da Finlandia (6 019 440 EUR per 2 domande) e Grecia (5 257 650 EUR per 2 domande). I contributi richiesti del FEG oscillano tra 720 000 EUR e 9 894 483 EUR, con una media di 3 154 372 EUR per domanda e di 4 100 684 EUR per Stato membro.</w:t>
      </w:r>
    </w:p>
    <w:p>
      <w:pPr>
        <w:spacing w:before="240" w:after="0"/>
        <w:rPr>
          <w:rFonts w:ascii="Times New Roman" w:hAnsi="Times New Roman"/>
          <w:b/>
          <w:i/>
          <w:noProof/>
        </w:rPr>
      </w:pPr>
      <w:r>
        <w:rPr>
          <w:rFonts w:ascii="Times New Roman" w:hAnsi="Times New Roman"/>
          <w:b/>
          <w:i/>
          <w:noProof/>
        </w:rPr>
        <w:t>Grafico 3: importi totali del contributo FEG (in EUR) richiesti per Stato membro nel periodo 2017-2018</w:t>
      </w:r>
    </w:p>
    <w:p>
      <w:pPr>
        <w:spacing w:after="0"/>
        <w:rPr>
          <w:rFonts w:ascii="Times New Roman" w:hAnsi="Times New Roman"/>
          <w:b/>
          <w:i/>
          <w:noProof/>
        </w:rPr>
      </w:pPr>
    </w:p>
    <w:p>
      <w:pPr>
        <w:spacing w:after="0"/>
        <w:jc w:val="center"/>
        <w:rPr>
          <w:rFonts w:ascii="Times New Roman" w:hAnsi="Times New Roman"/>
          <w:noProof/>
        </w:rPr>
      </w:pPr>
      <w:r>
        <w:rPr>
          <w:noProof/>
          <w:lang w:val="en-GB" w:eastAsia="en-GB" w:bidi="ar-SA"/>
        </w:rPr>
        <w:drawing>
          <wp:inline distT="0" distB="0" distL="0" distR="0">
            <wp:extent cx="5760720" cy="2906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906110"/>
                    </a:xfrm>
                    <a:prstGeom prst="rect">
                      <a:avLst/>
                    </a:prstGeom>
                    <a:noFill/>
                    <a:ln>
                      <a:noFill/>
                    </a:ln>
                  </pic:spPr>
                </pic:pic>
              </a:graphicData>
            </a:graphic>
          </wp:inline>
        </w:drawing>
      </w:r>
    </w:p>
    <w:p>
      <w:pPr>
        <w:spacing w:after="0"/>
        <w:rPr>
          <w:rFonts w:ascii="Times New Roman" w:hAnsi="Times New Roman"/>
          <w:i/>
          <w:noProof/>
        </w:rPr>
      </w:pPr>
      <w:r>
        <w:rPr>
          <w:rFonts w:ascii="Times New Roman" w:hAnsi="Times New Roman"/>
          <w:i/>
          <w:noProof/>
        </w:rPr>
        <w:t>Il numero di domande presentate è specificato tra parentesi.</w:t>
      </w:r>
    </w:p>
    <w:p>
      <w:pPr>
        <w:spacing w:after="0" w:line="240" w:lineRule="auto"/>
        <w:rPr>
          <w:rFonts w:ascii="Times New Roman" w:eastAsia="Times New Roman" w:hAnsi="Times New Roman" w:cs="Times New Roman"/>
          <w:b/>
          <w:bCs/>
          <w:noProof/>
          <w:color w:val="000000"/>
        </w:rPr>
      </w:pPr>
    </w:p>
    <w:p>
      <w:pPr>
        <w:spacing w:after="0" w:line="240" w:lineRule="auto"/>
        <w:rPr>
          <w:rFonts w:ascii="Times New Roman" w:eastAsia="Times New Roman" w:hAnsi="Times New Roman" w:cs="Times New Roman"/>
          <w:b/>
          <w:bCs/>
          <w:noProof/>
          <w:color w:val="000000"/>
        </w:rPr>
      </w:pPr>
      <w:r>
        <w:rPr>
          <w:rFonts w:ascii="Times New Roman" w:hAnsi="Times New Roman"/>
          <w:b/>
          <w:noProof/>
          <w:color w:val="000000"/>
        </w:rPr>
        <w:t>Importo totale del contributo FEG richiesto:</w:t>
      </w:r>
      <w:r>
        <w:rPr>
          <w:noProof/>
        </w:rPr>
        <w:tab/>
      </w:r>
      <w:r>
        <w:rPr>
          <w:noProof/>
        </w:rPr>
        <w:tab/>
      </w:r>
      <w:r>
        <w:rPr>
          <w:rFonts w:ascii="Times New Roman" w:hAnsi="Times New Roman"/>
          <w:b/>
          <w:noProof/>
          <w:color w:val="000000"/>
        </w:rPr>
        <w:t xml:space="preserve">41 006 837 EUR </w:t>
      </w:r>
    </w:p>
    <w:p>
      <w:pPr>
        <w:spacing w:after="0" w:line="240" w:lineRule="auto"/>
        <w:rPr>
          <w:rFonts w:ascii="Times New Roman" w:eastAsia="Times New Roman" w:hAnsi="Times New Roman" w:cs="Times New Roman"/>
          <w:b/>
          <w:bCs/>
          <w:noProof/>
          <w:color w:val="000000"/>
        </w:rPr>
      </w:pPr>
      <w:r>
        <w:rPr>
          <w:rFonts w:ascii="Times New Roman" w:hAnsi="Times New Roman"/>
          <w:b/>
          <w:noProof/>
          <w:color w:val="000000"/>
        </w:rPr>
        <w:t>Importo medio del contributo FEG richiesto:</w:t>
      </w:r>
      <w:r>
        <w:rPr>
          <w:noProof/>
        </w:rPr>
        <w:tab/>
      </w:r>
      <w:r>
        <w:rPr>
          <w:noProof/>
        </w:rPr>
        <w:tab/>
      </w:r>
      <w:r>
        <w:rPr>
          <w:rFonts w:ascii="Times New Roman" w:hAnsi="Times New Roman"/>
          <w:b/>
          <w:noProof/>
          <w:color w:val="000000"/>
        </w:rPr>
        <w:t xml:space="preserve">  4 100 684 EUR </w:t>
      </w:r>
    </w:p>
    <w:p>
      <w:pPr>
        <w:pStyle w:val="Heading3"/>
        <w:ind w:left="0" w:firstLine="708"/>
        <w:rPr>
          <w:noProof/>
        </w:rPr>
      </w:pPr>
      <w:bookmarkStart w:id="14" w:name="_Toc13653152"/>
      <w:bookmarkStart w:id="15" w:name="_Toc16945999"/>
      <w:r>
        <w:rPr>
          <w:noProof/>
        </w:rPr>
        <w:t>2.1.5. Domande presentate: importo richiesto per beneficiario</w:t>
      </w:r>
      <w:bookmarkEnd w:id="14"/>
      <w:bookmarkEnd w:id="15"/>
    </w:p>
    <w:p>
      <w:pPr>
        <w:jc w:val="both"/>
        <w:rPr>
          <w:rFonts w:ascii="Times New Roman" w:hAnsi="Times New Roman" w:cs="Times New Roman"/>
          <w:noProof/>
        </w:rPr>
      </w:pPr>
      <w:r>
        <w:rPr>
          <w:rFonts w:ascii="Times New Roman" w:hAnsi="Times New Roman"/>
          <w:noProof/>
        </w:rPr>
        <w:t>Il regolamento (UE) n. 1309/2013 non limita l'importo totale richiesto. L'importo richiesto per ogni beneficiario interessato può quindi variare secondo la situazione del mercato del lavoro colpito, la situazione personale dei beneficiari interessati, le misure già predisposte dallo Stato membro e il costo della prestazione dei servizi nello Stato membro in questione. Ciò spiega perché gli importi proposti per il sostegno del FEG per beneficiario nel 2017 e nel 2018 hanno oscillato da 1 666 EUR a 5 325 EUR con una media di 2 918 EUR per beneficiario interessato (come indicato nella tabella 1). L'importo medio più elevato per beneficiario è stato richiesto dalla Francia (5 325 EUR), seguita dalla Grecia (4 124 EUR) e dalla Germania (3 352 EUR).</w:t>
      </w:r>
    </w:p>
    <w:p>
      <w:pPr>
        <w:jc w:val="both"/>
        <w:rPr>
          <w:rFonts w:ascii="Times New Roman" w:hAnsi="Times New Roman" w:cs="Times New Roman"/>
          <w:noProof/>
        </w:rPr>
      </w:pPr>
    </w:p>
    <w:p>
      <w:pPr>
        <w:jc w:val="both"/>
        <w:rPr>
          <w:rFonts w:ascii="Times New Roman" w:hAnsi="Times New Roman" w:cs="Times New Roman"/>
          <w:noProof/>
        </w:rPr>
      </w:pPr>
    </w:p>
    <w:p>
      <w:pPr>
        <w:jc w:val="both"/>
        <w:rPr>
          <w:rFonts w:ascii="Times New Roman" w:hAnsi="Times New Roman" w:cs="Times New Roman"/>
          <w:noProof/>
        </w:rPr>
      </w:pPr>
    </w:p>
    <w:p>
      <w:pPr>
        <w:jc w:val="both"/>
        <w:rPr>
          <w:rFonts w:ascii="Times New Roman" w:hAnsi="Times New Roman" w:cs="Times New Roman"/>
          <w:noProof/>
        </w:rPr>
      </w:pPr>
    </w:p>
    <w:p>
      <w:pPr>
        <w:spacing w:before="720"/>
        <w:jc w:val="both"/>
        <w:rPr>
          <w:rFonts w:ascii="Times New Roman" w:hAnsi="Times New Roman" w:cs="Times New Roman"/>
          <w:noProof/>
        </w:rPr>
      </w:pPr>
      <w:r>
        <w:rPr>
          <w:rFonts w:ascii="Times New Roman" w:hAnsi="Times New Roman"/>
          <w:b/>
          <w:i/>
          <w:noProof/>
        </w:rPr>
        <w:t xml:space="preserve">Grafico 4: importo del contributo FEG (in EUR) richiesto per beneficiario e per Stato membro </w:t>
      </w:r>
      <w:r>
        <w:rPr>
          <w:rFonts w:ascii="Times New Roman" w:hAnsi="Times New Roman"/>
          <w:b/>
          <w:i/>
          <w:noProof/>
        </w:rPr>
        <w:br/>
        <w:t>nel periodo 2017–2018</w:t>
      </w:r>
    </w:p>
    <w:p>
      <w:pPr>
        <w:spacing w:after="0"/>
        <w:jc w:val="center"/>
        <w:rPr>
          <w:rFonts w:ascii="Times New Roman" w:hAnsi="Times New Roman"/>
          <w:i/>
          <w:noProof/>
        </w:rPr>
      </w:pPr>
      <w:r>
        <w:rPr>
          <w:noProof/>
          <w:lang w:val="en-GB" w:eastAsia="en-GB" w:bidi="ar-SA"/>
        </w:rPr>
        <w:drawing>
          <wp:inline distT="0" distB="0" distL="0" distR="0">
            <wp:extent cx="5760720" cy="359868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598689"/>
                    </a:xfrm>
                    <a:prstGeom prst="rect">
                      <a:avLst/>
                    </a:prstGeom>
                    <a:noFill/>
                    <a:ln>
                      <a:noFill/>
                    </a:ln>
                  </pic:spPr>
                </pic:pic>
              </a:graphicData>
            </a:graphic>
          </wp:inline>
        </w:drawing>
      </w:r>
    </w:p>
    <w:p>
      <w:pPr>
        <w:spacing w:after="240"/>
        <w:rPr>
          <w:rFonts w:ascii="Times New Roman" w:hAnsi="Times New Roman"/>
          <w:i/>
          <w:noProof/>
        </w:rPr>
      </w:pPr>
      <w:r>
        <w:rPr>
          <w:rFonts w:ascii="Times New Roman" w:hAnsi="Times New Roman"/>
          <w:i/>
          <w:noProof/>
        </w:rPr>
        <w:t xml:space="preserve">            Il numero di domande presentate è specificato tra parentesi.</w:t>
      </w:r>
    </w:p>
    <w:p>
      <w:pPr>
        <w:spacing w:after="240"/>
        <w:rPr>
          <w:rFonts w:ascii="Times New Roman" w:hAnsi="Times New Roman"/>
          <w:b/>
          <w:noProof/>
        </w:rPr>
      </w:pPr>
      <w:r>
        <w:rPr>
          <w:rFonts w:ascii="Times New Roman" w:hAnsi="Times New Roman"/>
          <w:b/>
          <w:noProof/>
        </w:rPr>
        <w:t>Importo medio del contributo FEG richiesto per Stato membro:</w:t>
      </w:r>
      <w:r>
        <w:rPr>
          <w:noProof/>
        </w:rPr>
        <w:tab/>
      </w:r>
      <w:r>
        <w:rPr>
          <w:noProof/>
        </w:rPr>
        <w:tab/>
      </w:r>
      <w:r>
        <w:rPr>
          <w:rFonts w:ascii="Times New Roman" w:hAnsi="Times New Roman"/>
          <w:b/>
          <w:noProof/>
        </w:rPr>
        <w:t>2 918 EUR</w:t>
      </w:r>
    </w:p>
    <w:p>
      <w:pPr>
        <w:pStyle w:val="Heading2"/>
        <w:spacing w:before="360"/>
        <w:rPr>
          <w:noProof/>
        </w:rPr>
      </w:pPr>
      <w:bookmarkStart w:id="16" w:name="_Toc13653153"/>
      <w:bookmarkStart w:id="17" w:name="_Toc16946000"/>
      <w:r>
        <w:rPr>
          <w:noProof/>
        </w:rPr>
        <w:t>2.2. Decisioni adottate e contributi concessi</w:t>
      </w:r>
      <w:bookmarkEnd w:id="16"/>
      <w:bookmarkEnd w:id="17"/>
    </w:p>
    <w:p>
      <w:pPr>
        <w:jc w:val="both"/>
        <w:rPr>
          <w:rFonts w:ascii="Times New Roman" w:hAnsi="Times New Roman" w:cs="Times New Roman"/>
          <w:noProof/>
        </w:rPr>
      </w:pPr>
      <w:r>
        <w:rPr>
          <w:rFonts w:ascii="Times New Roman" w:hAnsi="Times New Roman"/>
          <w:noProof/>
        </w:rPr>
        <w:t xml:space="preserve">Il Parlamento europeo e il Consiglio hanno adottato sette decisioni di mobilitazione dei finanziamenti del FEG nel 2017 e otto decisioni nel 2018. In tutti i casi il tasso di cofinanziamento è stato pari al 60 %. Le tabelle 2 e 3 presentano i dettagli dei finanziamenti concessi negli anni 2017 e 2018. Le due tabelle comprendono anche due domande presentate prima dell'1.1.2017 ma adottate nel 2017 e, pertanto, riguardano un insieme di casi diverso da quello della tabella 1, che riporta le domande presentate negli anni 2017 e 2018. </w:t>
      </w:r>
    </w:p>
    <w:p>
      <w:pPr>
        <w:jc w:val="both"/>
        <w:rPr>
          <w:noProof/>
        </w:rPr>
      </w:pPr>
      <w:r>
        <w:rPr>
          <w:rFonts w:ascii="Times New Roman" w:hAnsi="Times New Roman"/>
          <w:noProof/>
        </w:rPr>
        <w:t xml:space="preserve">I </w:t>
      </w:r>
      <w:r>
        <w:rPr>
          <w:rFonts w:ascii="Times New Roman" w:hAnsi="Times New Roman"/>
          <w:noProof/>
          <w:color w:val="000000" w:themeColor="text1"/>
        </w:rPr>
        <w:t xml:space="preserve">15 contributi concessi hanno interessato 15 672 beneficiari (compresi 1 155 </w:t>
      </w:r>
      <w:r>
        <w:rPr>
          <w:rFonts w:ascii="Times New Roman" w:hAnsi="Times New Roman"/>
          <w:noProof/>
        </w:rPr>
        <w:t>giovani che non lavorano e non partecipano ad alcun ciclo di istruzione o formazione</w:t>
      </w:r>
      <w:r>
        <w:rPr>
          <w:rStyle w:val="FootnoteReference"/>
          <w:rFonts w:ascii="Times New Roman" w:hAnsi="Times New Roman"/>
          <w:noProof/>
          <w:spacing w:val="-2"/>
        </w:rPr>
        <w:footnoteReference w:id="8"/>
      </w:r>
      <w:r>
        <w:rPr>
          <w:rFonts w:ascii="Times New Roman" w:hAnsi="Times New Roman"/>
          <w:noProof/>
          <w:color w:val="000000" w:themeColor="text1"/>
        </w:rPr>
        <w:t>) in 10 Stati membri, con un importo totale di 45 467 387 EUR</w:t>
      </w:r>
      <w:r>
        <w:rPr>
          <w:rFonts w:ascii="Times New Roman" w:hAnsi="Times New Roman"/>
          <w:noProof/>
        </w:rPr>
        <w:t xml:space="preserve"> di cofinanziamento del FEG e una media di 2 901 EUR per beneficiario interessato. Dei 14 517 lavoratori interessati (rappresentanti l'80 % dei lavoratori licenziati), il 57 % erano uomini, il 69 % aveva un'età compresa tra i 25 e i 54 anni e il 98 % erano cittadini UE. </w:t>
      </w:r>
    </w:p>
    <w:p>
      <w:pPr>
        <w:jc w:val="both"/>
        <w:rPr>
          <w:rFonts w:ascii="Times New Roman" w:hAnsi="Times New Roman" w:cs="Times New Roman"/>
          <w:noProof/>
        </w:rPr>
        <w:sectPr>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docGrid w:linePitch="360"/>
        </w:sectPr>
      </w:pPr>
    </w:p>
    <w:p>
      <w:pPr>
        <w:spacing w:after="0"/>
        <w:jc w:val="center"/>
        <w:rPr>
          <w:rFonts w:ascii="Times New Roman" w:hAnsi="Times New Roman" w:cs="Times New Roman"/>
          <w:b/>
          <w:i/>
          <w:noProof/>
          <w:sz w:val="28"/>
          <w:szCs w:val="28"/>
        </w:rPr>
      </w:pPr>
      <w:r>
        <w:rPr>
          <w:rFonts w:ascii="Times New Roman" w:hAnsi="Times New Roman"/>
          <w:b/>
          <w:i/>
          <w:noProof/>
          <w:sz w:val="28"/>
        </w:rPr>
        <w:t>Tabella 2: dettagli dei contributi concessi negli anni 2017 e nel 2018</w:t>
      </w:r>
    </w:p>
    <w:p>
      <w:pPr>
        <w:spacing w:after="0"/>
        <w:jc w:val="center"/>
        <w:rPr>
          <w:rFonts w:ascii="Times New Roman" w:hAnsi="Times New Roman" w:cs="Times New Roman"/>
          <w:b/>
          <w:i/>
          <w:noProof/>
          <w:sz w:val="28"/>
          <w:szCs w:val="28"/>
        </w:rPr>
      </w:pPr>
      <w:r>
        <w:rPr>
          <w:rFonts w:ascii="Times New Roman" w:hAnsi="Times New Roman"/>
          <w:b/>
          <w:i/>
          <w:noProof/>
          <w:sz w:val="28"/>
        </w:rPr>
        <w:t>(data di firma da parte dell'autorità di bilancio negli anni 2017 e 2018)</w:t>
      </w:r>
    </w:p>
    <w:p>
      <w:pPr>
        <w:spacing w:after="0"/>
        <w:jc w:val="center"/>
        <w:rPr>
          <w:rFonts w:ascii="Times New Roman" w:hAnsi="Times New Roman" w:cs="Times New Roman"/>
          <w:b/>
          <w:i/>
          <w:noProof/>
          <w:sz w:val="28"/>
          <w:szCs w:val="28"/>
        </w:rPr>
      </w:pPr>
    </w:p>
    <w:p>
      <w:pPr>
        <w:jc w:val="center"/>
        <w:rPr>
          <w:rFonts w:ascii="Times New Roman" w:hAnsi="Times New Roman" w:cs="Times New Roman"/>
          <w:b/>
          <w:i/>
          <w:noProof/>
          <w:sz w:val="28"/>
          <w:szCs w:val="28"/>
        </w:rPr>
      </w:pPr>
      <w:r>
        <w:rPr>
          <w:noProof/>
          <w:lang w:val="en-GB" w:eastAsia="en-GB" w:bidi="ar-SA"/>
        </w:rPr>
        <w:drawing>
          <wp:inline distT="0" distB="0" distL="0" distR="0">
            <wp:extent cx="8892540" cy="4303424"/>
            <wp:effectExtent l="0" t="0" r="381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92540" cy="4303424"/>
                    </a:xfrm>
                    <a:prstGeom prst="rect">
                      <a:avLst/>
                    </a:prstGeom>
                    <a:noFill/>
                    <a:ln>
                      <a:noFill/>
                    </a:ln>
                  </pic:spPr>
                </pic:pic>
              </a:graphicData>
            </a:graphic>
          </wp:inline>
        </w:drawing>
      </w:r>
    </w:p>
    <w:p>
      <w:pPr>
        <w:spacing w:after="0"/>
        <w:jc w:val="center"/>
        <w:rPr>
          <w:rFonts w:ascii="Times New Roman" w:hAnsi="Times New Roman"/>
          <w:b/>
          <w:i/>
          <w:noProof/>
          <w:sz w:val="28"/>
        </w:rPr>
      </w:pPr>
    </w:p>
    <w:p>
      <w:pPr>
        <w:spacing w:after="0"/>
        <w:jc w:val="center"/>
        <w:rPr>
          <w:rFonts w:ascii="Times New Roman" w:hAnsi="Times New Roman" w:cs="Times New Roman"/>
          <w:b/>
          <w:i/>
          <w:noProof/>
          <w:sz w:val="28"/>
          <w:szCs w:val="28"/>
        </w:rPr>
      </w:pPr>
      <w:r>
        <w:rPr>
          <w:rFonts w:ascii="Times New Roman" w:hAnsi="Times New Roman"/>
          <w:b/>
          <w:i/>
          <w:noProof/>
          <w:sz w:val="28"/>
        </w:rPr>
        <w:t>Tabella 3: dettagli dei contributi concessi negli anni 2017 e nel 2018</w:t>
      </w:r>
    </w:p>
    <w:p>
      <w:pPr>
        <w:spacing w:after="0"/>
        <w:jc w:val="center"/>
        <w:rPr>
          <w:rFonts w:ascii="Times New Roman" w:hAnsi="Times New Roman" w:cs="Times New Roman"/>
          <w:b/>
          <w:i/>
          <w:noProof/>
          <w:sz w:val="28"/>
          <w:szCs w:val="28"/>
        </w:rPr>
      </w:pPr>
      <w:r>
        <w:rPr>
          <w:rFonts w:ascii="Times New Roman" w:hAnsi="Times New Roman"/>
          <w:b/>
          <w:i/>
          <w:noProof/>
          <w:sz w:val="28"/>
        </w:rPr>
        <w:t>Profilo dei lavoratori interessati (NEET esclusi*)</w:t>
      </w:r>
    </w:p>
    <w:p>
      <w:pPr>
        <w:spacing w:after="0"/>
        <w:jc w:val="center"/>
        <w:rPr>
          <w:rFonts w:ascii="Times New Roman" w:hAnsi="Times New Roman" w:cs="Times New Roman"/>
          <w:b/>
          <w:i/>
          <w:noProof/>
          <w:sz w:val="28"/>
          <w:szCs w:val="28"/>
        </w:rPr>
        <w:sectPr>
          <w:headerReference w:type="even" r:id="rId46"/>
          <w:headerReference w:type="default" r:id="rId47"/>
          <w:footerReference w:type="even" r:id="rId48"/>
          <w:footerReference w:type="default" r:id="rId49"/>
          <w:headerReference w:type="first" r:id="rId50"/>
          <w:footerReference w:type="first" r:id="rId51"/>
          <w:pgSz w:w="16838" w:h="11906" w:orient="landscape"/>
          <w:pgMar w:top="1417" w:right="1417" w:bottom="1417" w:left="1417" w:header="708" w:footer="708" w:gutter="0"/>
          <w:cols w:space="708"/>
          <w:docGrid w:linePitch="360"/>
        </w:sectPr>
      </w:pPr>
      <w:r>
        <w:rPr>
          <w:noProof/>
          <w:lang w:val="en-GB" w:eastAsia="en-GB" w:bidi="ar-SA"/>
        </w:rPr>
        <w:drawing>
          <wp:inline distT="0" distB="0" distL="0" distR="0">
            <wp:extent cx="8892540" cy="4775220"/>
            <wp:effectExtent l="0" t="0" r="3810" b="635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92540" cy="4775220"/>
                    </a:xfrm>
                    <a:prstGeom prst="rect">
                      <a:avLst/>
                    </a:prstGeom>
                    <a:noFill/>
                    <a:ln>
                      <a:noFill/>
                    </a:ln>
                  </pic:spPr>
                </pic:pic>
              </a:graphicData>
            </a:graphic>
          </wp:inline>
        </w:drawing>
      </w:r>
    </w:p>
    <w:p>
      <w:pPr>
        <w:spacing w:before="720"/>
        <w:rPr>
          <w:rFonts w:ascii="Times New Roman" w:hAnsi="Times New Roman"/>
          <w:b/>
          <w:i/>
          <w:noProof/>
        </w:rPr>
      </w:pPr>
      <w:r>
        <w:rPr>
          <w:rFonts w:ascii="Times New Roman" w:hAnsi="Times New Roman"/>
          <w:b/>
          <w:i/>
          <w:noProof/>
        </w:rPr>
        <w:t xml:space="preserve">Grafico 5: profilo dei lavoratori interessati per genere </w:t>
      </w:r>
    </w:p>
    <w:p>
      <w:pPr>
        <w:spacing w:before="100" w:beforeAutospacing="1" w:after="100" w:afterAutospacing="1" w:line="240" w:lineRule="auto"/>
        <w:jc w:val="center"/>
        <w:rPr>
          <w:rFonts w:ascii="Times New Roman" w:hAnsi="Times New Roman" w:cs="Times New Roman"/>
          <w:noProof/>
        </w:rPr>
      </w:pPr>
      <w:r>
        <w:rPr>
          <w:noProof/>
          <w:lang w:val="en-GB" w:eastAsia="en-GB" w:bidi="ar-SA"/>
        </w:rPr>
        <w:drawing>
          <wp:inline distT="0" distB="0" distL="0" distR="0">
            <wp:extent cx="5760720" cy="2686262"/>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686262"/>
                    </a:xfrm>
                    <a:prstGeom prst="rect">
                      <a:avLst/>
                    </a:prstGeom>
                    <a:noFill/>
                    <a:ln>
                      <a:noFill/>
                    </a:ln>
                  </pic:spPr>
                </pic:pic>
              </a:graphicData>
            </a:graphic>
          </wp:inline>
        </w:drawing>
      </w:r>
    </w:p>
    <w:p>
      <w:pPr>
        <w:spacing w:before="120" w:after="120"/>
        <w:rPr>
          <w:rFonts w:ascii="Times New Roman" w:hAnsi="Times New Roman"/>
          <w:b/>
          <w:i/>
          <w:noProof/>
        </w:rPr>
      </w:pPr>
      <w:r>
        <w:rPr>
          <w:rFonts w:ascii="Times New Roman" w:hAnsi="Times New Roman"/>
          <w:b/>
          <w:i/>
          <w:noProof/>
        </w:rPr>
        <w:t>Grafico 6: profilo dei lavoratori interessati per cittadinanza</w:t>
      </w:r>
    </w:p>
    <w:p>
      <w:pPr>
        <w:spacing w:after="0"/>
        <w:jc w:val="center"/>
        <w:rPr>
          <w:rFonts w:ascii="Times New Roman" w:hAnsi="Times New Roman"/>
          <w:b/>
          <w:i/>
          <w:noProof/>
        </w:rPr>
      </w:pPr>
      <w:r>
        <w:rPr>
          <w:noProof/>
          <w:lang w:val="en-GB" w:eastAsia="en-GB" w:bidi="ar-SA"/>
        </w:rPr>
        <w:drawing>
          <wp:inline distT="0" distB="0" distL="0" distR="0">
            <wp:extent cx="4040684" cy="171450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40684" cy="1714500"/>
                    </a:xfrm>
                    <a:prstGeom prst="rect">
                      <a:avLst/>
                    </a:prstGeom>
                    <a:noFill/>
                    <a:ln>
                      <a:noFill/>
                    </a:ln>
                  </pic:spPr>
                </pic:pic>
              </a:graphicData>
            </a:graphic>
          </wp:inline>
        </w:drawing>
      </w:r>
    </w:p>
    <w:p>
      <w:pPr>
        <w:spacing w:after="0"/>
        <w:jc w:val="both"/>
        <w:rPr>
          <w:rFonts w:ascii="Times New Roman" w:hAnsi="Times New Roman"/>
          <w:b/>
          <w:i/>
          <w:noProof/>
        </w:rPr>
      </w:pPr>
    </w:p>
    <w:p>
      <w:pPr>
        <w:spacing w:after="0"/>
        <w:jc w:val="both"/>
        <w:rPr>
          <w:rFonts w:ascii="Times New Roman" w:hAnsi="Times New Roman"/>
          <w:b/>
          <w:i/>
          <w:noProof/>
        </w:rPr>
      </w:pPr>
      <w:r>
        <w:rPr>
          <w:rFonts w:ascii="Times New Roman" w:hAnsi="Times New Roman"/>
          <w:b/>
          <w:i/>
          <w:noProof/>
        </w:rPr>
        <w:t>Grafico 7: profilo dei lavoratori interessati per età</w:t>
      </w:r>
    </w:p>
    <w:p>
      <w:pPr>
        <w:spacing w:after="0"/>
        <w:jc w:val="center"/>
        <w:rPr>
          <w:noProof/>
        </w:rPr>
      </w:pPr>
      <w:r>
        <w:rPr>
          <w:noProof/>
          <w:lang w:val="en-GB" w:eastAsia="en-GB" w:bidi="ar-SA"/>
        </w:rPr>
        <w:drawing>
          <wp:inline distT="0" distB="0" distL="0" distR="0">
            <wp:extent cx="5467350" cy="2315583"/>
            <wp:effectExtent l="0" t="0" r="0" b="889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4671" cy="2318684"/>
                    </a:xfrm>
                    <a:prstGeom prst="rect">
                      <a:avLst/>
                    </a:prstGeom>
                    <a:noFill/>
                    <a:ln>
                      <a:noFill/>
                    </a:ln>
                  </pic:spPr>
                </pic:pic>
              </a:graphicData>
            </a:graphic>
          </wp:inline>
        </w:drawing>
      </w:r>
    </w:p>
    <w:p>
      <w:pPr>
        <w:pStyle w:val="Heading3"/>
        <w:ind w:left="0" w:firstLine="708"/>
        <w:rPr>
          <w:noProof/>
        </w:rPr>
      </w:pPr>
      <w:bookmarkStart w:id="18" w:name="_Toc13653154"/>
      <w:bookmarkStart w:id="19" w:name="_Toc16946001"/>
      <w:r>
        <w:rPr>
          <w:noProof/>
        </w:rPr>
        <w:t>2.2.1. Azioni finanziate con l'assistenza del FEG</w:t>
      </w:r>
      <w:bookmarkEnd w:id="18"/>
      <w:bookmarkEnd w:id="19"/>
    </w:p>
    <w:p>
      <w:pPr>
        <w:autoSpaceDE w:val="0"/>
        <w:autoSpaceDN w:val="0"/>
        <w:adjustRightInd w:val="0"/>
        <w:spacing w:after="0"/>
        <w:jc w:val="both"/>
        <w:rPr>
          <w:rFonts w:ascii="Times New Roman" w:hAnsi="Times New Roman" w:cs="Times New Roman"/>
          <w:noProof/>
        </w:rPr>
      </w:pPr>
      <w:r>
        <w:rPr>
          <w:rFonts w:ascii="Times New Roman" w:hAnsi="Times New Roman"/>
          <w:noProof/>
        </w:rPr>
        <w:t>A norma dell'articolo 7 del regolamento (UE) n. 1309/2013, può essere concesso un contributo finanziario a valere sul FEG per misure attive del mercato del lavoro che si iscrivono in un pacchetto coordinato di servizi personalizzati volti a facilitare la reintegrazione nel mercato del lavoro dipendente o autonomo dei beneficiari interessati, in particolare i disoccupati svantaggiati, giovani e meno giovani. Le misure approvate per i 15 contributi del FEG concessi erano principalmente le seguenti:</w:t>
      </w:r>
    </w:p>
    <w:p>
      <w:pPr>
        <w:autoSpaceDE w:val="0"/>
        <w:autoSpaceDN w:val="0"/>
        <w:adjustRightInd w:val="0"/>
        <w:spacing w:after="0"/>
        <w:jc w:val="both"/>
        <w:rPr>
          <w:rFonts w:ascii="Times New Roman" w:hAnsi="Times New Roman" w:cs="Times New Roman"/>
          <w:noProof/>
        </w:rPr>
      </w:pPr>
    </w:p>
    <w:p>
      <w:pPr>
        <w:numPr>
          <w:ilvl w:val="0"/>
          <w:numId w:val="5"/>
        </w:numPr>
        <w:autoSpaceDE w:val="0"/>
        <w:autoSpaceDN w:val="0"/>
        <w:spacing w:after="0"/>
        <w:contextualSpacing/>
        <w:jc w:val="both"/>
        <w:rPr>
          <w:rFonts w:ascii="Times New Roman" w:hAnsi="Times New Roman"/>
          <w:noProof/>
          <w:color w:val="000000" w:themeColor="text1"/>
        </w:rPr>
      </w:pPr>
      <w:r>
        <w:rPr>
          <w:rFonts w:ascii="Times New Roman" w:hAnsi="Times New Roman"/>
          <w:noProof/>
          <w:color w:val="000000" w:themeColor="text1"/>
        </w:rPr>
        <w:t>assistenza intensiva e personalizzata nella ricerca di lavoro;</w:t>
      </w:r>
    </w:p>
    <w:p>
      <w:pPr>
        <w:pStyle w:val="ListParagraph"/>
        <w:numPr>
          <w:ilvl w:val="0"/>
          <w:numId w:val="5"/>
        </w:numPr>
        <w:spacing w:after="160" w:line="252" w:lineRule="auto"/>
        <w:rPr>
          <w:noProof/>
        </w:rPr>
      </w:pPr>
      <w:r>
        <w:rPr>
          <w:noProof/>
        </w:rPr>
        <w:t>una varietà di opportunità di riqualificazione, miglioramento delle competenze e formazione professionale; attività di formazione orizzontale e concernenti le competenze trasversali e programmi di istruzione superiore;</w:t>
      </w:r>
    </w:p>
    <w:p>
      <w:pPr>
        <w:pStyle w:val="ListParagraph"/>
        <w:numPr>
          <w:ilvl w:val="0"/>
          <w:numId w:val="5"/>
        </w:numPr>
        <w:spacing w:after="160" w:line="252" w:lineRule="auto"/>
        <w:rPr>
          <w:noProof/>
        </w:rPr>
      </w:pPr>
      <w:r>
        <w:rPr>
          <w:noProof/>
        </w:rPr>
        <w:t>consulenza e tutoraggio a favore del reimpiego e tutoraggio durante la fase iniziale del nuovo lavoro;</w:t>
      </w:r>
    </w:p>
    <w:p>
      <w:pPr>
        <w:pStyle w:val="ListParagraph"/>
        <w:numPr>
          <w:ilvl w:val="0"/>
          <w:numId w:val="5"/>
        </w:numPr>
        <w:spacing w:after="160" w:line="252" w:lineRule="auto"/>
        <w:rPr>
          <w:noProof/>
        </w:rPr>
      </w:pPr>
      <w:r>
        <w:rPr>
          <w:noProof/>
        </w:rPr>
        <w:t>promozione dell'imprenditorialità e contributi alla creazione di imprese;</w:t>
      </w:r>
    </w:p>
    <w:p>
      <w:pPr>
        <w:pStyle w:val="ListParagraph"/>
        <w:numPr>
          <w:ilvl w:val="0"/>
          <w:numId w:val="5"/>
        </w:numPr>
        <w:spacing w:after="160" w:line="252" w:lineRule="auto"/>
        <w:rPr>
          <w:noProof/>
        </w:rPr>
      </w:pPr>
      <w:r>
        <w:rPr>
          <w:noProof/>
        </w:rPr>
        <w:t>incentivi una tantum per una rapida riassegnazione e incentivi all'assunzione; e</w:t>
      </w:r>
    </w:p>
    <w:p>
      <w:pPr>
        <w:pStyle w:val="ListParagraph"/>
        <w:numPr>
          <w:ilvl w:val="0"/>
          <w:numId w:val="5"/>
        </w:numPr>
        <w:spacing w:after="160" w:line="252" w:lineRule="auto"/>
        <w:rPr>
          <w:noProof/>
        </w:rPr>
      </w:pPr>
      <w:r>
        <w:rPr>
          <w:noProof/>
        </w:rPr>
        <w:t>una serie di indennità (ricerca di lavoro, formazione) e contributi (pendolarismo, assistenza di persone a carico).</w:t>
      </w:r>
    </w:p>
    <w:p>
      <w:pPr>
        <w:ind w:left="720"/>
        <w:contextualSpacing/>
        <w:jc w:val="both"/>
        <w:rPr>
          <w:rFonts w:ascii="Calibri" w:hAnsi="Calibri" w:cs="Calibri"/>
          <w:noProof/>
        </w:rPr>
      </w:pPr>
    </w:p>
    <w:p>
      <w:pPr>
        <w:jc w:val="both"/>
        <w:rPr>
          <w:rFonts w:ascii="Times New Roman" w:hAnsi="Times New Roman" w:cs="Times New Roman"/>
          <w:noProof/>
        </w:rPr>
      </w:pPr>
      <w:r>
        <w:rPr>
          <w:rFonts w:ascii="Times New Roman" w:hAnsi="Times New Roman"/>
          <w:noProof/>
        </w:rPr>
        <w:t>Nel mettere a punto i pacchetti di sostegno, gli Stati membri hanno tenuto conto della preparazione, dell'esperienza e dei livelli di istruzione dei beneficiari, della loro disponibilità a spostarsi nonché delle opportunità di lavoro effettive o previste nelle regioni interessate.</w:t>
      </w:r>
    </w:p>
    <w:p>
      <w:pPr>
        <w:pStyle w:val="Heading3"/>
        <w:ind w:left="0" w:firstLine="708"/>
        <w:rPr>
          <w:noProof/>
        </w:rPr>
      </w:pPr>
      <w:bookmarkStart w:id="20" w:name="_Toc13653155"/>
      <w:bookmarkStart w:id="21" w:name="_Toc16946002"/>
      <w:r>
        <w:rPr>
          <w:noProof/>
        </w:rPr>
        <w:t>2.2.2. Complementarità con le azioni finanziate dal Fondo sociale europeo (FSE)</w:t>
      </w:r>
      <w:bookmarkEnd w:id="20"/>
      <w:bookmarkEnd w:id="21"/>
    </w:p>
    <w:p>
      <w:pPr>
        <w:jc w:val="both"/>
        <w:rPr>
          <w:rFonts w:ascii="Times New Roman" w:hAnsi="Times New Roman" w:cs="Times New Roman"/>
          <w:noProof/>
        </w:rPr>
      </w:pPr>
      <w:r>
        <w:rPr>
          <w:rFonts w:ascii="Times New Roman" w:hAnsi="Times New Roman"/>
          <w:noProof/>
        </w:rPr>
        <w:t xml:space="preserve">Il FEG mira ad accrescere l'occupabilità e a garantire il rapido reinserimento professionale dei beneficiari interessati mediante misure di politica attiva del mercato del lavoro, integrando così il FSE, che costituisce lo strumento principale per la promozione dell'occupazione nell'UE. </w:t>
      </w:r>
    </w:p>
    <w:p>
      <w:pPr>
        <w:jc w:val="both"/>
        <w:rPr>
          <w:rFonts w:ascii="Times New Roman" w:hAnsi="Times New Roman" w:cs="Times New Roman"/>
          <w:noProof/>
        </w:rPr>
      </w:pPr>
      <w:r>
        <w:rPr>
          <w:rFonts w:ascii="Times New Roman" w:hAnsi="Times New Roman"/>
          <w:noProof/>
        </w:rPr>
        <w:t xml:space="preserve">In generale, la complementarità dei due fondi risiede nella loro capacità di affrontare tali questioni da due diverse prospettive temporali: il FEG si occupa dei lavoratori in esubero o autonomi quando si verificano specifici casi di esuberi collettivi su larga scala in un breve periodo di tempo e offre un sostegno europeo concreto in una situazione di crisi; il FSE sostiene invece, in via preventiva, obiettivi strategici a lungo termine (ad esempio, aumento del capitale umano e gestione del cambiamento) attraverso programmi pluriennali le cui risorse non possono di norma essere assegnate (senza modificare il programma operativo) per far fronte a situazioni di crisi causate da esuberi di massa imprevisti. </w:t>
      </w:r>
    </w:p>
    <w:p>
      <w:pPr>
        <w:jc w:val="both"/>
        <w:rPr>
          <w:rFonts w:ascii="Times New Roman" w:hAnsi="Times New Roman"/>
          <w:noProof/>
        </w:rPr>
      </w:pPr>
      <w:r>
        <w:rPr>
          <w:rFonts w:ascii="Times New Roman" w:hAnsi="Times New Roman"/>
          <w:noProof/>
        </w:rPr>
        <w:t xml:space="preserve">Il FEG offre l'opportunità di garantire misure personalizzate elaborate in base alle esigenze dei singoli lavoratori in esubero, mentre il sostegno del FSE è di solito di natura più generica e rivolto alla popolazione in generale (occupati e non occupati). Il FSE inoltre è maggiormente incentrato sul sostegno sia alla domanda sia all'offerta di lavoro (competenze, bisogni e aspirazioni dei beneficiari) in modo integrato, mentre tradizionalmente il FEG è più orientato su interventi dal lato dell'offerta. </w:t>
      </w:r>
    </w:p>
    <w:p>
      <w:pPr>
        <w:jc w:val="both"/>
        <w:rPr>
          <w:rFonts w:ascii="Times New Roman" w:hAnsi="Times New Roman" w:cs="Times New Roman"/>
          <w:noProof/>
        </w:rPr>
      </w:pPr>
      <w:r>
        <w:rPr>
          <w:rFonts w:ascii="Times New Roman" w:hAnsi="Times New Roman"/>
          <w:noProof/>
        </w:rPr>
        <w:t>Le misure del FEG e del FSE sono talvolta usate dagli Stati membri in modo complementare per fornire soluzioni sia a breve che a lungo termine. Il criterio decisivo è la capacità degli strumenti disponibili di fornire un aiuto ai beneficiari interessati e spetta agli Stati membri scegliere e programmare le azioni e gli strumenti più adatti a conseguire gli obiettivi perseguiti.</w:t>
      </w:r>
    </w:p>
    <w:p>
      <w:pPr>
        <w:jc w:val="both"/>
        <w:rPr>
          <w:rFonts w:ascii="Times New Roman" w:hAnsi="Times New Roman" w:cs="Times New Roman"/>
          <w:noProof/>
        </w:rPr>
      </w:pPr>
      <w:r>
        <w:rPr>
          <w:rFonts w:ascii="Times New Roman" w:hAnsi="Times New Roman"/>
          <w:noProof/>
        </w:rPr>
        <w:t>Il contenuto del "pacchetto coordinato di servizi personalizzati" cofinanziato dal FEG è costituito da servizi personalizzati specifici e assistenza su misura, che vanno ben oltre corsi ed azioni standard. La pratica ha dimostrato che il FEG consente agli Stati membri di offrire ai beneficiari interessati un'assistenza più personalizzata e completa, anche con misure cui questi lavoratori non avrebbero normalmente accesso (ad esempio istruzione di secondo o terzo livello).</w:t>
      </w:r>
    </w:p>
    <w:p>
      <w:pPr>
        <w:jc w:val="both"/>
        <w:rPr>
          <w:rFonts w:ascii="Times New Roman" w:hAnsi="Times New Roman" w:cs="Times New Roman"/>
          <w:noProof/>
        </w:rPr>
      </w:pPr>
      <w:r>
        <w:rPr>
          <w:rFonts w:ascii="Times New Roman" w:hAnsi="Times New Roman"/>
          <w:noProof/>
        </w:rPr>
        <w:t>Il FEG consente agli Stati membri di concentrarsi in modo particolare sulle persone vulnerabili, come le persone meno qualificate o provenienti da un contesto migratorio, e di fornire sostegno con un migliore rapporto numerico consulenti/beneficiari e/o per un periodo di tempo più lungo. Ciò aumenta le possibilità di miglioramento della situazione dei beneficiari.</w:t>
      </w:r>
    </w:p>
    <w:p>
      <w:pPr>
        <w:jc w:val="both"/>
        <w:rPr>
          <w:rFonts w:ascii="Times New Roman" w:hAnsi="Times New Roman"/>
          <w:noProof/>
        </w:rPr>
      </w:pPr>
      <w:r>
        <w:rPr>
          <w:rFonts w:ascii="Times New Roman" w:hAnsi="Times New Roman"/>
          <w:noProof/>
        </w:rPr>
        <w:t>Conformemente all'articolo 9, paragrafo 5, del regolamento (UE) n. 1309/2013, tutti gli Stati membri devono mettere in atto i meccanismi necessari per evitare qualsiasi rischio di doppio finanziamento da parte di strumenti finanziari dell'Unione. Nella maggior parte degli Stati membri, l'autorità di gestione del FSE è competente anche per l'attuazione dei casi FEG. Esso offre agli Stati membri la possibilità di trovare una complementarità tra i diversi interventi. A livello di casi, il FEG si fonda solitamente su misure esistenti a livello nazionale o del FSE, completandole oppure offrendo misure supplementari diverse. La valutazione intermedia</w:t>
      </w:r>
      <w:r>
        <w:rPr>
          <w:rStyle w:val="FootnoteReference"/>
          <w:rFonts w:ascii="Times New Roman" w:hAnsi="Times New Roman"/>
          <w:noProof/>
        </w:rPr>
        <w:footnoteReference w:id="9"/>
      </w:r>
      <w:r>
        <w:rPr>
          <w:rFonts w:ascii="Times New Roman" w:hAnsi="Times New Roman"/>
          <w:noProof/>
        </w:rPr>
        <w:t xml:space="preserve"> ha concluso che il FEG ha creato un effettivo valore aggiunto europeo aumentando il numero e la varietà dei servizi offerti ai lavoratori licenziati, nonché il loro livello di intensità.</w:t>
      </w:r>
    </w:p>
    <w:p>
      <w:pPr>
        <w:jc w:val="both"/>
        <w:rPr>
          <w:rFonts w:ascii="Times New Roman" w:hAnsi="Times New Roman"/>
          <w:noProof/>
        </w:rPr>
      </w:pPr>
      <w:r>
        <w:rPr>
          <w:rFonts w:ascii="Times New Roman" w:hAnsi="Times New Roman"/>
          <w:noProof/>
        </w:rPr>
        <w:t xml:space="preserve">Nel rispetto del principio di sussidiarietà l'insieme di misure del FEG elaborate a livello degli Stati membri è in gran misura complementare alle disposizioni generali del FSE di sostegno al reinserimento lavorativo. La decisione di presentare domanda di sostegno del FSE o del FEG viene presa a livello di Stato membro a condizione che il programma operativo del FSE concordato con la Commissione sia compatibile con tale sostegno. Spetta al singolo Stato membro gestire la complementarità tra il FSE e il FEG nel miglior modo possibile in base alle condizioni locali esistenti nel periodo pertinente. </w:t>
      </w:r>
    </w:p>
    <w:p>
      <w:pPr>
        <w:pStyle w:val="Heading2"/>
        <w:spacing w:before="360"/>
        <w:rPr>
          <w:noProof/>
        </w:rPr>
      </w:pPr>
      <w:bookmarkStart w:id="22" w:name="_Toc13653156"/>
      <w:bookmarkStart w:id="23" w:name="_Toc16946003"/>
      <w:r>
        <w:rPr>
          <w:noProof/>
        </w:rPr>
        <w:t>2.3. Domande che non soddisfano le condizioni necessarie per ottenere un contributo finanziario del FEG</w:t>
      </w:r>
      <w:bookmarkEnd w:id="22"/>
      <w:bookmarkEnd w:id="23"/>
      <w:r>
        <w:rPr>
          <w:noProof/>
        </w:rPr>
        <w:t xml:space="preserve"> </w:t>
      </w:r>
    </w:p>
    <w:p>
      <w:pPr>
        <w:spacing w:after="0"/>
        <w:jc w:val="both"/>
        <w:rPr>
          <w:rFonts w:ascii="Times New Roman" w:hAnsi="Times New Roman" w:cs="Times New Roman"/>
          <w:noProof/>
          <w:color w:val="000000" w:themeColor="text1"/>
        </w:rPr>
      </w:pPr>
      <w:r>
        <w:rPr>
          <w:rFonts w:ascii="Times New Roman" w:hAnsi="Times New Roman"/>
          <w:noProof/>
          <w:color w:val="000000" w:themeColor="text1"/>
        </w:rPr>
        <w:t xml:space="preserve">Né la Commissione né il </w:t>
      </w:r>
      <w:r>
        <w:rPr>
          <w:rFonts w:ascii="Times New Roman" w:hAnsi="Times New Roman"/>
          <w:noProof/>
        </w:rPr>
        <w:t xml:space="preserve">Parlamento europeo e il Consiglio </w:t>
      </w:r>
      <w:r>
        <w:rPr>
          <w:rFonts w:ascii="Times New Roman" w:hAnsi="Times New Roman"/>
          <w:noProof/>
          <w:color w:val="000000" w:themeColor="text1"/>
        </w:rPr>
        <w:t>hanno respinto domande presentate dagli Stati membri o ridotto l'importo del finanziamento proposto in ragione della non ammissibilità o della mancanza di stanziamenti sufficienti.</w:t>
      </w:r>
    </w:p>
    <w:p>
      <w:pPr>
        <w:pStyle w:val="Heading2"/>
        <w:spacing w:before="0" w:after="0"/>
        <w:rPr>
          <w:noProof/>
        </w:rPr>
      </w:pPr>
      <w:bookmarkStart w:id="24" w:name="_Toc13653157"/>
    </w:p>
    <w:p>
      <w:pPr>
        <w:pStyle w:val="Heading2"/>
        <w:spacing w:before="0" w:after="0"/>
        <w:rPr>
          <w:noProof/>
        </w:rPr>
      </w:pPr>
      <w:bookmarkStart w:id="25" w:name="_Toc16946004"/>
      <w:r>
        <w:rPr>
          <w:noProof/>
        </w:rPr>
        <w:t>2.4. Risultati raggiunti dal FEG</w:t>
      </w:r>
      <w:bookmarkEnd w:id="24"/>
      <w:bookmarkEnd w:id="25"/>
      <w:r>
        <w:rPr>
          <w:noProof/>
        </w:rPr>
        <w:t xml:space="preserve"> </w:t>
      </w:r>
    </w:p>
    <w:p>
      <w:pPr>
        <w:jc w:val="both"/>
        <w:rPr>
          <w:rFonts w:ascii="Times New Roman" w:hAnsi="Times New Roman" w:cs="Times New Roman"/>
          <w:noProof/>
        </w:rPr>
      </w:pPr>
      <w:r>
        <w:rPr>
          <w:rFonts w:ascii="Times New Roman" w:hAnsi="Times New Roman"/>
          <w:noProof/>
        </w:rPr>
        <w:t xml:space="preserve">Le principali fonti di informazione sui risultati raggiunti dal FEG sono le relazioni finali presentate dagli </w:t>
      </w:r>
      <w:r>
        <w:rPr>
          <w:rFonts w:ascii="Times New Roman" w:hAnsi="Times New Roman"/>
          <w:noProof/>
          <w:color w:val="000000" w:themeColor="text1"/>
        </w:rPr>
        <w:t xml:space="preserve">Stati membri, sei mesi dopo la fine del periodo di attuazione. </w:t>
      </w:r>
      <w:r>
        <w:rPr>
          <w:rFonts w:ascii="Times New Roman" w:hAnsi="Times New Roman"/>
          <w:noProof/>
        </w:rPr>
        <w:t>Dette relazioni sono integrate dalle informazioni che gli Stati membri condividono con la Commissione in occasione di contatti diretti, durante riunioni e conferenze e mediante attività di audit.</w:t>
      </w:r>
      <w:r>
        <w:rPr>
          <w:rFonts w:ascii="Times New Roman" w:hAnsi="Times New Roman"/>
          <w:noProof/>
          <w:color w:val="000000" w:themeColor="text1"/>
        </w:rPr>
        <w:t xml:space="preserve"> </w:t>
      </w:r>
      <w:r>
        <w:rPr>
          <w:rFonts w:ascii="Times New Roman" w:hAnsi="Times New Roman"/>
          <w:noProof/>
        </w:rPr>
        <w:t xml:space="preserve">I risultati e i dati principali comunicati dagli Stati membri nel 2017 e 2018 sono sintetizzati al presente punto e nella tabella 4. </w:t>
      </w:r>
    </w:p>
    <w:p>
      <w:pPr>
        <w:jc w:val="both"/>
        <w:rPr>
          <w:rFonts w:ascii="Times New Roman" w:hAnsi="Times New Roman" w:cs="Times New Roman"/>
          <w:noProof/>
        </w:rPr>
      </w:pPr>
    </w:p>
    <w:p>
      <w:pPr>
        <w:jc w:val="center"/>
        <w:rPr>
          <w:rFonts w:ascii="Times New Roman" w:hAnsi="Times New Roman" w:cs="Times New Roman"/>
          <w:b/>
          <w:i/>
          <w:noProof/>
          <w:sz w:val="28"/>
          <w:szCs w:val="28"/>
        </w:rPr>
      </w:pPr>
      <w:r>
        <w:rPr>
          <w:rFonts w:ascii="Times New Roman" w:hAnsi="Times New Roman"/>
          <w:b/>
          <w:i/>
          <w:noProof/>
          <w:sz w:val="28"/>
        </w:rPr>
        <w:t>Tabella 4: relazioni finali ricevute nel 2017 e nel 2018</w:t>
      </w:r>
    </w:p>
    <w:p>
      <w:pPr>
        <w:jc w:val="center"/>
        <w:rPr>
          <w:rFonts w:ascii="Times New Roman" w:hAnsi="Times New Roman" w:cs="Times New Roman"/>
          <w:noProof/>
        </w:rPr>
      </w:pPr>
      <w:r>
        <w:rPr>
          <w:noProof/>
          <w:lang w:val="en-GB" w:eastAsia="en-GB" w:bidi="ar-SA"/>
        </w:rPr>
        <w:drawing>
          <wp:inline distT="0" distB="0" distL="0" distR="0">
            <wp:extent cx="5760720" cy="5973504"/>
            <wp:effectExtent l="0" t="0" r="0" b="825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5973504"/>
                    </a:xfrm>
                    <a:prstGeom prst="rect">
                      <a:avLst/>
                    </a:prstGeom>
                    <a:noFill/>
                    <a:ln>
                      <a:noFill/>
                    </a:ln>
                  </pic:spPr>
                </pic:pic>
              </a:graphicData>
            </a:graphic>
          </wp:inline>
        </w:drawing>
      </w:r>
    </w:p>
    <w:p>
      <w:pPr>
        <w:spacing w:after="0" w:line="240" w:lineRule="auto"/>
        <w:rPr>
          <w:rFonts w:ascii="Times New Roman" w:hAnsi="Times New Roman" w:cs="Times New Roman"/>
          <w:i/>
          <w:noProof/>
          <w:sz w:val="18"/>
          <w:szCs w:val="18"/>
        </w:rPr>
      </w:pPr>
      <w:r>
        <w:rPr>
          <w:rFonts w:ascii="Times New Roman" w:hAnsi="Times New Roman"/>
          <w:i/>
          <w:noProof/>
          <w:sz w:val="18"/>
        </w:rPr>
        <w:t>* Lo status dei beneficiari nel contesto del mercato del lavoro riportato in questa tabella riflette in linea di principio la situazione alla fine del periodo di attuazione.</w:t>
      </w:r>
      <w:r>
        <w:rPr>
          <w:rFonts w:ascii="Times New Roman" w:hAnsi="Times New Roman" w:cs="Times New Roman"/>
          <w:i/>
          <w:noProof/>
          <w:sz w:val="18"/>
          <w:szCs w:val="18"/>
        </w:rPr>
        <w:br/>
      </w:r>
      <w:r>
        <w:rPr>
          <w:rFonts w:ascii="Times New Roman" w:hAnsi="Times New Roman"/>
          <w:i/>
          <w:noProof/>
          <w:sz w:val="18"/>
        </w:rPr>
        <w:t>** "Inattivo" significa che le persone non sono più disponibili per il mercato del lavoro per svariati motivi personali, come ad esempio il pensionamento.</w:t>
      </w:r>
    </w:p>
    <w:p>
      <w:pPr>
        <w:spacing w:after="0" w:line="240" w:lineRule="auto"/>
        <w:jc w:val="center"/>
        <w:rPr>
          <w:rFonts w:ascii="Times New Roman" w:hAnsi="Times New Roman" w:cs="Times New Roman"/>
          <w:noProof/>
          <w:sz w:val="18"/>
          <w:szCs w:val="18"/>
        </w:rPr>
      </w:pPr>
    </w:p>
    <w:p>
      <w:pPr>
        <w:jc w:val="center"/>
        <w:rPr>
          <w:rFonts w:ascii="Times New Roman" w:hAnsi="Times New Roman" w:cs="Times New Roman"/>
          <w:noProof/>
        </w:rPr>
      </w:pPr>
      <w:r>
        <w:rPr>
          <w:noProof/>
          <w:lang w:val="en-GB" w:eastAsia="en-GB" w:bidi="ar-SA"/>
        </w:rPr>
        <w:drawing>
          <wp:inline distT="0" distB="0" distL="0" distR="0">
            <wp:extent cx="5760720" cy="6096777"/>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6096777"/>
                    </a:xfrm>
                    <a:prstGeom prst="rect">
                      <a:avLst/>
                    </a:prstGeom>
                    <a:noFill/>
                    <a:ln>
                      <a:noFill/>
                    </a:ln>
                  </pic:spPr>
                </pic:pic>
              </a:graphicData>
            </a:graphic>
          </wp:inline>
        </w:drawing>
      </w:r>
    </w:p>
    <w:p>
      <w:pPr>
        <w:spacing w:after="0" w:line="240" w:lineRule="auto"/>
        <w:rPr>
          <w:rFonts w:ascii="Times New Roman" w:hAnsi="Times New Roman" w:cs="Times New Roman"/>
          <w:i/>
          <w:noProof/>
          <w:sz w:val="18"/>
          <w:szCs w:val="18"/>
        </w:rPr>
      </w:pPr>
      <w:r>
        <w:rPr>
          <w:rFonts w:ascii="Times New Roman" w:hAnsi="Times New Roman"/>
          <w:i/>
          <w:noProof/>
          <w:sz w:val="18"/>
        </w:rPr>
        <w:t>* Lo status dei beneficiari nel contesto del mercato del lavoro riportato in questa tabella riflette in linea di principio la situazione alla fine del periodo di attuazione.</w:t>
      </w:r>
      <w:r>
        <w:rPr>
          <w:rFonts w:ascii="Times New Roman" w:hAnsi="Times New Roman" w:cs="Times New Roman"/>
          <w:i/>
          <w:noProof/>
          <w:sz w:val="18"/>
          <w:szCs w:val="18"/>
        </w:rPr>
        <w:br/>
      </w:r>
      <w:r>
        <w:rPr>
          <w:rFonts w:ascii="Times New Roman" w:hAnsi="Times New Roman"/>
          <w:i/>
          <w:noProof/>
          <w:sz w:val="18"/>
        </w:rPr>
        <w:t>** "Inattivo" significa che le persone non sono più disponibili per il mercato del lavoro per svariati motivi personali, come ad esempio il pensionamento.</w:t>
      </w:r>
    </w:p>
    <w:p>
      <w:pPr>
        <w:jc w:val="center"/>
        <w:rPr>
          <w:rFonts w:ascii="Times New Roman" w:hAnsi="Times New Roman" w:cs="Times New Roman"/>
          <w:noProof/>
        </w:rPr>
      </w:pPr>
      <w:r>
        <w:rPr>
          <w:noProof/>
          <w:lang w:val="en-GB" w:eastAsia="en-GB" w:bidi="ar-SA"/>
        </w:rPr>
        <w:drawing>
          <wp:inline distT="0" distB="0" distL="0" distR="0">
            <wp:extent cx="5760720" cy="6115759"/>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6115759"/>
                    </a:xfrm>
                    <a:prstGeom prst="rect">
                      <a:avLst/>
                    </a:prstGeom>
                    <a:noFill/>
                    <a:ln>
                      <a:noFill/>
                    </a:ln>
                  </pic:spPr>
                </pic:pic>
              </a:graphicData>
            </a:graphic>
          </wp:inline>
        </w:drawing>
      </w:r>
    </w:p>
    <w:p>
      <w:pPr>
        <w:spacing w:after="0" w:line="240" w:lineRule="auto"/>
        <w:rPr>
          <w:rFonts w:ascii="Times New Roman" w:hAnsi="Times New Roman" w:cs="Times New Roman"/>
          <w:i/>
          <w:noProof/>
          <w:sz w:val="18"/>
          <w:szCs w:val="18"/>
        </w:rPr>
      </w:pPr>
      <w:r>
        <w:rPr>
          <w:rFonts w:ascii="Times New Roman" w:hAnsi="Times New Roman"/>
          <w:i/>
          <w:noProof/>
          <w:sz w:val="18"/>
        </w:rPr>
        <w:t>* Lo status dei beneficiari nel contesto del mercato del lavoro riportato in questa tabella riflette in linea di principio la situazione alla fine del periodo di attuazione.</w:t>
      </w:r>
      <w:r>
        <w:rPr>
          <w:rFonts w:ascii="Times New Roman" w:hAnsi="Times New Roman" w:cs="Times New Roman"/>
          <w:i/>
          <w:noProof/>
          <w:sz w:val="18"/>
          <w:szCs w:val="18"/>
        </w:rPr>
        <w:br/>
      </w:r>
      <w:r>
        <w:rPr>
          <w:rFonts w:ascii="Times New Roman" w:hAnsi="Times New Roman"/>
          <w:i/>
          <w:noProof/>
          <w:sz w:val="18"/>
        </w:rPr>
        <w:t>** "Inattivo" significa che le persone non sono più disponibili per il mercato del lavoro per svariati motivi personali, come ad esempio il pensionamento.</w:t>
      </w:r>
    </w:p>
    <w:p>
      <w:pPr>
        <w:spacing w:after="0" w:line="240" w:lineRule="auto"/>
        <w:rPr>
          <w:rFonts w:ascii="Times New Roman" w:hAnsi="Times New Roman" w:cs="Times New Roman"/>
          <w:i/>
          <w:noProof/>
          <w:sz w:val="18"/>
          <w:szCs w:val="18"/>
        </w:rPr>
      </w:pPr>
    </w:p>
    <w:p>
      <w:pPr>
        <w:spacing w:after="0" w:line="240" w:lineRule="auto"/>
        <w:rPr>
          <w:rFonts w:ascii="Times New Roman" w:hAnsi="Times New Roman" w:cs="Times New Roman"/>
          <w:i/>
          <w:noProof/>
          <w:sz w:val="18"/>
          <w:szCs w:val="18"/>
        </w:rPr>
      </w:pPr>
    </w:p>
    <w:p>
      <w:pPr>
        <w:pStyle w:val="Heading3"/>
        <w:ind w:left="0" w:firstLine="708"/>
        <w:rPr>
          <w:noProof/>
          <w:color w:val="auto"/>
        </w:rPr>
      </w:pPr>
      <w:bookmarkStart w:id="26" w:name="_Toc13653158"/>
      <w:bookmarkStart w:id="27" w:name="_Toc16946005"/>
      <w:r>
        <w:rPr>
          <w:noProof/>
        </w:rPr>
        <w:t>2.4.1. Sintesi dei risultati tratti dalle relazioni del 2017 e del 2018</w:t>
      </w:r>
      <w:bookmarkEnd w:id="26"/>
      <w:bookmarkEnd w:id="27"/>
    </w:p>
    <w:p>
      <w:pPr>
        <w:jc w:val="both"/>
        <w:rPr>
          <w:rFonts w:ascii="Times New Roman" w:hAnsi="Times New Roman" w:cs="Times New Roman"/>
          <w:noProof/>
        </w:rPr>
      </w:pPr>
      <w:r>
        <w:rPr>
          <w:rFonts w:ascii="Times New Roman" w:hAnsi="Times New Roman"/>
          <w:noProof/>
          <w:color w:val="000000" w:themeColor="text1"/>
        </w:rPr>
        <w:t>Nel 2017 e nel 2018, sono pervenute alla Commissione 23 relazioni finali</w:t>
      </w:r>
      <w:r>
        <w:rPr>
          <w:rFonts w:ascii="Times New Roman" w:hAnsi="Times New Roman"/>
          <w:noProof/>
          <w:color w:val="FF0000"/>
        </w:rPr>
        <w:t xml:space="preserve"> </w:t>
      </w:r>
      <w:r>
        <w:rPr>
          <w:rFonts w:ascii="Times New Roman" w:hAnsi="Times New Roman"/>
          <w:noProof/>
          <w:color w:val="000000" w:themeColor="text1"/>
        </w:rPr>
        <w:t>per i casi cofinanziati dal FEG attuati da otto Stati membri dal mese di novembre del 2013 al mese di marzo del 2018 (cfr. tabella 4). Da tali relazioni è emerso che 12 723</w:t>
      </w:r>
      <w:r>
        <w:rPr>
          <w:rFonts w:ascii="Times New Roman" w:hAnsi="Times New Roman"/>
          <w:b/>
          <w:noProof/>
          <w:color w:val="000000" w:themeColor="text1"/>
        </w:rPr>
        <w:t xml:space="preserve"> </w:t>
      </w:r>
      <w:r>
        <w:rPr>
          <w:rFonts w:ascii="Times New Roman" w:hAnsi="Times New Roman"/>
          <w:noProof/>
          <w:color w:val="000000" w:themeColor="text1"/>
        </w:rPr>
        <w:t>lavoratori (il 60 % dei lavoratori assistiti) e 288 NEET, ossia il 56 % dei 23 030 beneficiari del</w:t>
      </w:r>
      <w:r>
        <w:rPr>
          <w:rFonts w:ascii="Times New Roman" w:hAnsi="Times New Roman"/>
          <w:b/>
          <w:noProof/>
          <w:color w:val="000000" w:themeColor="text1"/>
        </w:rPr>
        <w:t xml:space="preserve"> </w:t>
      </w:r>
      <w:r>
        <w:rPr>
          <w:rFonts w:ascii="Times New Roman" w:hAnsi="Times New Roman"/>
          <w:noProof/>
          <w:color w:val="000000" w:themeColor="text1"/>
        </w:rPr>
        <w:t xml:space="preserve">FEG, avevano trovato un nuovo posto di lavoro al termine del periodo di attuazione del FEG (12 561 come dipendenti, 450 come lavoratori autonomi). </w:t>
      </w:r>
      <w:r>
        <w:rPr>
          <w:rFonts w:ascii="Times New Roman" w:hAnsi="Times New Roman"/>
          <w:noProof/>
        </w:rPr>
        <w:t xml:space="preserve">Circa il </w:t>
      </w:r>
      <w:r>
        <w:rPr>
          <w:rFonts w:ascii="Times New Roman" w:hAnsi="Times New Roman"/>
          <w:noProof/>
          <w:color w:val="000000" w:themeColor="text1"/>
        </w:rPr>
        <w:t xml:space="preserve">2 % dei beneficiari era </w:t>
      </w:r>
      <w:r>
        <w:rPr>
          <w:rFonts w:ascii="Times New Roman" w:hAnsi="Times New Roman"/>
          <w:noProof/>
        </w:rPr>
        <w:t xml:space="preserve">ancora in fase di istruzione o formazione, </w:t>
      </w:r>
      <w:r>
        <w:rPr>
          <w:rFonts w:ascii="Times New Roman" w:hAnsi="Times New Roman"/>
          <w:noProof/>
          <w:color w:val="000000" w:themeColor="text1"/>
        </w:rPr>
        <w:t xml:space="preserve">il 38 % era </w:t>
      </w:r>
      <w:r>
        <w:rPr>
          <w:rFonts w:ascii="Times New Roman" w:hAnsi="Times New Roman"/>
          <w:noProof/>
        </w:rPr>
        <w:t xml:space="preserve">disoccupato o inattivo per vari motivi, mentre per il 3 % non era disponibile lo status occupazionale. </w:t>
      </w:r>
    </w:p>
    <w:p>
      <w:pPr>
        <w:jc w:val="both"/>
        <w:rPr>
          <w:rFonts w:ascii="Times New Roman" w:hAnsi="Times New Roman" w:cs="Times New Roman"/>
          <w:noProof/>
        </w:rPr>
      </w:pPr>
      <w:r>
        <w:rPr>
          <w:rFonts w:ascii="Times New Roman" w:hAnsi="Times New Roman"/>
          <w:noProof/>
        </w:rPr>
        <w:t>Dei casi per i quali sono state presentate le relazioni finali nel periodo di riferimento 21 dei 23 sono stati oggetto della valutazione intermedia e sono stati analizzati nella loro prima fase di attuazione</w:t>
      </w:r>
      <w:r>
        <w:rPr>
          <w:rStyle w:val="FootnoteReference"/>
          <w:rFonts w:ascii="Times New Roman" w:hAnsi="Times New Roman"/>
          <w:noProof/>
        </w:rPr>
        <w:footnoteReference w:id="10"/>
      </w:r>
      <w:r>
        <w:rPr>
          <w:rFonts w:ascii="Times New Roman" w:hAnsi="Times New Roman"/>
          <w:noProof/>
        </w:rPr>
        <w:t xml:space="preserve">. </w:t>
      </w:r>
    </w:p>
    <w:p>
      <w:pPr>
        <w:jc w:val="both"/>
        <w:rPr>
          <w:rFonts w:ascii="Times New Roman" w:hAnsi="Times New Roman" w:cs="Times New Roman"/>
          <w:noProof/>
          <w:color w:val="000000" w:themeColor="text1"/>
        </w:rPr>
      </w:pPr>
      <w:r>
        <w:rPr>
          <w:rFonts w:ascii="Times New Roman" w:hAnsi="Times New Roman"/>
          <w:noProof/>
          <w:color w:val="000000" w:themeColor="text1"/>
        </w:rPr>
        <w:t xml:space="preserve">Le relazioni finali degli Stati membri hanno confermato che il FEG apporta valore aggiunto a ciò che gli Stati membri potrebbero altrimenti fare per aiutare i beneficiari interessati a trovare nuovi posti di lavoro e a riposizionarsi sul mercato del lavoro. Il FEG consente agli Stati membri di aumentare il numero, la varietà e l'intensità dei servizi offerti a un maggior numero di beneficiari interessati e per un periodo di tempo più lungo rispetto a quanto sarebbe possibile senza il finanziamento del FEG. </w:t>
      </w:r>
    </w:p>
    <w:p>
      <w:pPr>
        <w:pStyle w:val="Heading3"/>
        <w:rPr>
          <w:noProof/>
        </w:rPr>
      </w:pPr>
      <w:bookmarkStart w:id="28" w:name="_Toc13653159"/>
      <w:bookmarkStart w:id="29" w:name="_Toc16946006"/>
      <w:r>
        <w:rPr>
          <w:noProof/>
        </w:rPr>
        <w:t>2.4.2. Tasso di reinserimento dei beneficiari assistiti per Stato membro</w:t>
      </w:r>
      <w:bookmarkEnd w:id="28"/>
      <w:bookmarkEnd w:id="29"/>
    </w:p>
    <w:p>
      <w:pPr>
        <w:pStyle w:val="PSParagraphText"/>
        <w:spacing w:line="276" w:lineRule="auto"/>
        <w:rPr>
          <w:rFonts w:eastAsiaTheme="minorHAnsi"/>
          <w:noProof/>
          <w:color w:val="000000" w:themeColor="text1"/>
          <w:sz w:val="22"/>
          <w:szCs w:val="22"/>
        </w:rPr>
      </w:pPr>
      <w:r>
        <w:rPr>
          <w:rFonts w:eastAsiaTheme="minorHAnsi"/>
          <w:noProof/>
          <w:color w:val="000000" w:themeColor="text1"/>
          <w:sz w:val="22"/>
        </w:rPr>
        <w:t xml:space="preserve">Sulla base delle relazioni finali ricevute nel 2017 e nel 2018, i tassi di reinserimento dei beneficiari assistiti per Stato membro oscillano tra il 79 % (in Svezia) e il 28 % (in Grecia). </w:t>
      </w:r>
    </w:p>
    <w:p>
      <w:pPr>
        <w:pStyle w:val="PSParagraphText"/>
        <w:spacing w:line="276" w:lineRule="auto"/>
        <w:rPr>
          <w:rFonts w:eastAsiaTheme="minorHAnsi"/>
          <w:noProof/>
          <w:color w:val="000000" w:themeColor="text1"/>
          <w:sz w:val="22"/>
          <w:szCs w:val="22"/>
        </w:rPr>
      </w:pPr>
      <w:r>
        <w:rPr>
          <w:rFonts w:eastAsiaTheme="minorHAnsi"/>
          <w:noProof/>
          <w:color w:val="000000" w:themeColor="text1"/>
          <w:sz w:val="22"/>
        </w:rPr>
        <w:t xml:space="preserve">I risultati in termini di reinserimento lavorativo sono influenzati dalla capacità di assorbimento dei mercati del lavoro locali e regionali successivamente alla crisi finanziaria ed economica globale. Pertanto, il tasso di reinserimento può variare notevolmente a seconda della zona e del settore economico interessati. Il tasso di reinserimento viene inoltre registrato alla fine dei periodi di attuazione e, di conseguenza, si limita a fotografare la situazione occupazionale dei beneficiari al momento della raccolta dei dati. Secondo le informazioni ricevute da diversi Stati membri, i tassi di reinserimento tendono ad aumentare nei mesi che seguono la fine delle misure e aumentano ulteriormente nel medio termine. </w:t>
      </w:r>
    </w:p>
    <w:p>
      <w:pPr>
        <w:jc w:val="both"/>
        <w:rPr>
          <w:rFonts w:ascii="Times New Roman" w:hAnsi="Times New Roman" w:cs="Times New Roman"/>
          <w:noProof/>
        </w:rPr>
      </w:pPr>
      <w:r>
        <w:rPr>
          <w:rFonts w:ascii="Times New Roman" w:hAnsi="Times New Roman"/>
          <w:noProof/>
        </w:rPr>
        <w:t xml:space="preserve">L'esperienza e la capacità istituzionale degli Stati membri di fornire assistenza nel contesto di eventi di ristrutturazione rappresentano un aspetto chiave nel promuovere il successo del FEG. Un altro fattore cruciale è il grado di coinvolgimento dei beneficiari o dei loro rappresentanti sin dall'inizio, nella fase di progettazione e attuazione dell'assistenza del FEG. È opportuno sottolineare che i lavoratori sostenuti da misure del FEG sono in genere tra quelli che presentano maggiori difficoltà sul mercato del lavoro. Il tasso medio del 60 % dei lavoratori assistiti reinseriti alla fine del periodo di attuazione, rispetto al 47 % del periodo di riferimento precedente, rappresenta pertanto un risultato incoraggiante. Occorre tuttavia riconoscere che il miglioramento generale della situazione economica negli Stati membri facilita il reinserimento dei lavoratori nel mercato del lavoro. </w:t>
      </w:r>
    </w:p>
    <w:p>
      <w:pPr>
        <w:jc w:val="both"/>
        <w:rPr>
          <w:rFonts w:ascii="Times New Roman" w:hAnsi="Times New Roman" w:cs="Times New Roman"/>
          <w:noProof/>
        </w:rPr>
      </w:pPr>
    </w:p>
    <w:p>
      <w:pPr>
        <w:jc w:val="both"/>
        <w:rPr>
          <w:rFonts w:ascii="Times New Roman" w:hAnsi="Times New Roman" w:cs="Times New Roman"/>
          <w:noProof/>
        </w:rPr>
      </w:pPr>
    </w:p>
    <w:p>
      <w:pPr>
        <w:jc w:val="both"/>
        <w:rPr>
          <w:rFonts w:ascii="Times New Roman" w:hAnsi="Times New Roman" w:cs="Times New Roman"/>
          <w:noProof/>
        </w:rPr>
      </w:pPr>
    </w:p>
    <w:p>
      <w:pPr>
        <w:jc w:val="both"/>
        <w:rPr>
          <w:rFonts w:ascii="Times New Roman" w:hAnsi="Times New Roman" w:cs="Times New Roman"/>
          <w:noProof/>
        </w:rPr>
      </w:pPr>
    </w:p>
    <w:p>
      <w:pPr>
        <w:jc w:val="both"/>
        <w:rPr>
          <w:rFonts w:ascii="Times New Roman" w:hAnsi="Times New Roman" w:cs="Times New Roman"/>
          <w:noProof/>
        </w:rPr>
      </w:pPr>
    </w:p>
    <w:p>
      <w:pPr>
        <w:spacing w:after="0"/>
        <w:jc w:val="both"/>
        <w:rPr>
          <w:rFonts w:ascii="Times New Roman" w:hAnsi="Times New Roman"/>
          <w:b/>
          <w:i/>
          <w:noProof/>
        </w:rPr>
      </w:pPr>
      <w:r>
        <w:rPr>
          <w:rFonts w:ascii="Times New Roman" w:hAnsi="Times New Roman"/>
          <w:b/>
          <w:i/>
          <w:noProof/>
        </w:rPr>
        <w:t>Grafico 8: Tasso di reinserimento dei beneficiari assistiti per Stato membro</w:t>
      </w:r>
    </w:p>
    <w:p>
      <w:pPr>
        <w:spacing w:after="0"/>
        <w:jc w:val="both"/>
        <w:rPr>
          <w:rFonts w:ascii="Times New Roman" w:hAnsi="Times New Roman"/>
          <w:b/>
          <w:i/>
          <w:noProof/>
        </w:rPr>
      </w:pPr>
    </w:p>
    <w:p>
      <w:pPr>
        <w:spacing w:after="0"/>
        <w:jc w:val="both"/>
        <w:rPr>
          <w:rFonts w:ascii="Times New Roman" w:hAnsi="Times New Roman"/>
          <w:b/>
          <w:i/>
          <w:noProof/>
        </w:rPr>
      </w:pPr>
      <w:r>
        <w:rPr>
          <w:noProof/>
          <w:lang w:val="en-GB" w:eastAsia="en-GB" w:bidi="ar-SA"/>
        </w:rPr>
        <w:drawing>
          <wp:inline distT="0" distB="0" distL="0" distR="0">
            <wp:extent cx="5654782" cy="3155095"/>
            <wp:effectExtent l="0" t="0" r="3175" b="762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53609" cy="3154440"/>
                    </a:xfrm>
                    <a:prstGeom prst="rect">
                      <a:avLst/>
                    </a:prstGeom>
                    <a:noFill/>
                    <a:ln>
                      <a:noFill/>
                    </a:ln>
                  </pic:spPr>
                </pic:pic>
              </a:graphicData>
            </a:graphic>
          </wp:inline>
        </w:drawing>
      </w:r>
    </w:p>
    <w:p>
      <w:pPr>
        <w:spacing w:after="0"/>
        <w:jc w:val="both"/>
        <w:rPr>
          <w:rFonts w:ascii="Times New Roman" w:hAnsi="Times New Roman"/>
          <w:b/>
          <w:i/>
          <w:noProof/>
        </w:rPr>
      </w:pPr>
      <w:r>
        <w:rPr>
          <w:rFonts w:ascii="Times New Roman" w:hAnsi="Times New Roman"/>
          <w:i/>
          <w:noProof/>
        </w:rPr>
        <w:t>Il numero di casi FEG è specificato tra parentesi.</w:t>
      </w:r>
    </w:p>
    <w:p>
      <w:pPr>
        <w:pStyle w:val="Heading3"/>
        <w:rPr>
          <w:noProof/>
        </w:rPr>
      </w:pPr>
      <w:bookmarkStart w:id="30" w:name="_Toc13653160"/>
      <w:bookmarkStart w:id="31" w:name="_Toc16946007"/>
      <w:r>
        <w:rPr>
          <w:noProof/>
        </w:rPr>
        <w:t>2.4.3. Valutazione qualitativa delle relazioni finali presentate nel 2017 e nel 2018</w:t>
      </w:r>
      <w:bookmarkEnd w:id="30"/>
      <w:bookmarkEnd w:id="31"/>
    </w:p>
    <w:p>
      <w:pPr>
        <w:jc w:val="both"/>
        <w:rPr>
          <w:rFonts w:ascii="Times New Roman" w:hAnsi="Times New Roman" w:cs="Times New Roman"/>
          <w:noProof/>
          <w:color w:val="000000" w:themeColor="text1"/>
        </w:rPr>
      </w:pPr>
      <w:r>
        <w:rPr>
          <w:rFonts w:ascii="Times New Roman" w:hAnsi="Times New Roman"/>
          <w:noProof/>
          <w:color w:val="000000" w:themeColor="text1"/>
        </w:rPr>
        <w:t xml:space="preserve">I pacchetti di sostegno forniti dagli otto Stati membri ai beneficiari interessati comprendono un'ampia gamma di misure speciali in materia di ricerca di lavoro personalizzata, ricollocazione e (ri)qualificazione. Gli importi più elevati sono stati spesi per tre categorie: </w:t>
      </w:r>
    </w:p>
    <w:p>
      <w:pPr>
        <w:numPr>
          <w:ilvl w:val="0"/>
          <w:numId w:val="6"/>
        </w:numPr>
        <w:contextualSpacing/>
        <w:jc w:val="both"/>
        <w:rPr>
          <w:rFonts w:ascii="Times New Roman" w:hAnsi="Times New Roman" w:cs="Times New Roman"/>
          <w:noProof/>
          <w:color w:val="000000" w:themeColor="text1"/>
        </w:rPr>
      </w:pPr>
      <w:r>
        <w:rPr>
          <w:rFonts w:ascii="Times New Roman" w:hAnsi="Times New Roman"/>
          <w:b/>
          <w:noProof/>
          <w:color w:val="000000" w:themeColor="text1"/>
        </w:rPr>
        <w:t>assistenza individuale nella ricerca di lavoro, gestione dei casi e servizi di informazioni generali</w:t>
      </w:r>
      <w:r>
        <w:rPr>
          <w:rFonts w:ascii="Times New Roman" w:hAnsi="Times New Roman"/>
          <w:noProof/>
          <w:color w:val="000000" w:themeColor="text1"/>
        </w:rPr>
        <w:t>: 30,9 milioni di EUR (44 % del totale dei servizi personalizzati);</w:t>
      </w:r>
    </w:p>
    <w:p>
      <w:pPr>
        <w:numPr>
          <w:ilvl w:val="0"/>
          <w:numId w:val="6"/>
        </w:numPr>
        <w:contextualSpacing/>
        <w:jc w:val="both"/>
        <w:rPr>
          <w:rFonts w:ascii="Times New Roman" w:hAnsi="Times New Roman" w:cs="Times New Roman"/>
          <w:noProof/>
          <w:color w:val="000000" w:themeColor="text1"/>
        </w:rPr>
      </w:pPr>
      <w:r>
        <w:rPr>
          <w:rFonts w:ascii="Times New Roman" w:hAnsi="Times New Roman"/>
          <w:b/>
          <w:noProof/>
          <w:color w:val="000000" w:themeColor="text1"/>
        </w:rPr>
        <w:t>formazione e riqualificazione</w:t>
      </w:r>
      <w:r>
        <w:rPr>
          <w:rFonts w:ascii="Times New Roman" w:hAnsi="Times New Roman"/>
          <w:noProof/>
          <w:color w:val="000000" w:themeColor="text1"/>
        </w:rPr>
        <w:t>: 26,3 milioni di EUR (38 % del totale dei servizi personalizzati);</w:t>
      </w:r>
    </w:p>
    <w:p>
      <w:pPr>
        <w:numPr>
          <w:ilvl w:val="0"/>
          <w:numId w:val="6"/>
        </w:numPr>
        <w:contextualSpacing/>
        <w:jc w:val="both"/>
        <w:rPr>
          <w:rFonts w:ascii="Times New Roman" w:hAnsi="Times New Roman" w:cs="Times New Roman"/>
          <w:noProof/>
          <w:color w:val="000000" w:themeColor="text1"/>
        </w:rPr>
      </w:pPr>
      <w:r>
        <w:rPr>
          <w:rFonts w:ascii="Times New Roman" w:hAnsi="Times New Roman"/>
          <w:b/>
          <w:noProof/>
          <w:color w:val="000000" w:themeColor="text1"/>
        </w:rPr>
        <w:t>indennità per la ricerca di lavoro</w:t>
      </w:r>
      <w:r>
        <w:rPr>
          <w:rFonts w:ascii="Times New Roman" w:hAnsi="Times New Roman"/>
          <w:noProof/>
          <w:color w:val="000000" w:themeColor="text1"/>
          <w:vertAlign w:val="superscript"/>
        </w:rPr>
        <w:footnoteReference w:id="11"/>
      </w:r>
      <w:r>
        <w:rPr>
          <w:rFonts w:ascii="Times New Roman" w:hAnsi="Times New Roman"/>
          <w:noProof/>
          <w:color w:val="000000" w:themeColor="text1"/>
        </w:rPr>
        <w:t>: 4,4 milioni di EUR (6 % del totale dei servizi personalizzati).</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noProof/>
        </w:rPr>
        <w:t xml:space="preserve">I programmi di formazione e qualificazione sono stati adattati alle necessità e alle aspirazioni dei beneficiari interessati tenendo conto, per quanto possibile, nel contempo delle esigenze dei mercati del lavoro locali o regionali e dei settori potenzialmente capaci di creare posti di lavoro. </w:t>
      </w:r>
    </w:p>
    <w:p>
      <w:pPr>
        <w:jc w:val="both"/>
        <w:rPr>
          <w:rFonts w:ascii="Times New Roman" w:hAnsi="Times New Roman" w:cs="Times New Roman"/>
          <w:noProof/>
        </w:rPr>
      </w:pPr>
      <w:r>
        <w:rPr>
          <w:rFonts w:ascii="Times New Roman" w:hAnsi="Times New Roman"/>
          <w:noProof/>
        </w:rPr>
        <w:t>L'assistenza del FEG aiuta i beneficiari (lavoratori in esubero o NEET) ad accrescere la loro autostima, non soltanto attraverso un'intensa consulenza di orientamento, ma anche attraverso misure di formazione su misura. Spesso il FEG consente ai beneficiari di partecipare a tali misure offrendo assistenza, come ad esempio indennità di mobilità oppure assistenza all'infanzia.</w:t>
      </w:r>
    </w:p>
    <w:p>
      <w:pPr>
        <w:pStyle w:val="PSParagraphText"/>
        <w:spacing w:line="276" w:lineRule="auto"/>
        <w:rPr>
          <w:rFonts w:eastAsiaTheme="minorHAnsi" w:cstheme="minorBidi"/>
          <w:noProof/>
          <w:sz w:val="22"/>
          <w:szCs w:val="22"/>
        </w:rPr>
      </w:pPr>
      <w:r>
        <w:rPr>
          <w:rFonts w:eastAsiaTheme="minorHAnsi" w:cstheme="minorBidi"/>
          <w:noProof/>
          <w:sz w:val="22"/>
        </w:rPr>
        <w:t>In termini di efficacia ed efficienza operativa, i casi FEG in Finlandia (Rauma, Broadcom, Computer programming, Microsoft) possono essere considerati esempi di grande successo e di buone pratiche. Alla fine del periodo di attuazione, fino all'84 % dei lavoratori ha trovato un nuovo impiego. Il numero di lavoratori assistiti è stato addirittura superiore a quello dei lavoratori interessati indicato nelle domande. Il tasso di assorbimento</w:t>
      </w:r>
      <w:r>
        <w:rPr>
          <w:rStyle w:val="FootnoteReference"/>
          <w:rFonts w:eastAsiaTheme="minorHAnsi" w:cstheme="minorBidi"/>
          <w:noProof/>
          <w:sz w:val="22"/>
        </w:rPr>
        <w:footnoteReference w:id="12"/>
      </w:r>
      <w:r>
        <w:rPr>
          <w:rFonts w:eastAsiaTheme="minorHAnsi" w:cstheme="minorBidi"/>
          <w:noProof/>
          <w:sz w:val="22"/>
        </w:rPr>
        <w:t xml:space="preserve"> è stato abbastanza elevato: è stato utilizzato circa l'80 % dei fondi del FEG. Tra gli elementi fondamentali che hanno svolto un ruolo importante nel conseguire risultati così positivi figurano: 1) ampie consultazioni per la preparazione e l'attuazione delle misure del FEG, che hanno coinvolto anche rappresentanti dei lavoratori licenziati, dei sindacati, dei datori di lavoro, delle autorità regionali e nazionali e dell'amministrazione locale; 2) una rete regionale di uffici del lavoro e uffici di sviluppo regionale dotati di esperienza che, insieme al ministero dell'Economia e dell'occupazione, è molto efficiente nell'individuazione dei beneficiari, nella pianificazione e nell'attuazione delle misure del FEG; 3) prestatori di servizi esperti del FEG; 4) reazione molto rapida ai licenziamenti. </w:t>
      </w:r>
    </w:p>
    <w:p>
      <w:pPr>
        <w:spacing w:after="0"/>
        <w:jc w:val="both"/>
        <w:rPr>
          <w:rFonts w:ascii="Times New Roman" w:hAnsi="Times New Roman"/>
          <w:noProof/>
        </w:rPr>
      </w:pPr>
      <w:r>
        <w:rPr>
          <w:rFonts w:ascii="Times New Roman" w:hAnsi="Times New Roman"/>
          <w:noProof/>
        </w:rPr>
        <w:t xml:space="preserve">I due casi irlandesi (Lufthansa Technik, PWA International) possono essere considerati esempi di successo e di buone pratiche. Alla fine del periodo di attuazione, rispettivamente il 73 % e il 79 % dei lavoratori assistiti hanno trovato lavoro, mentre un anno dopo un numero ancora maggiore di essi è stato riassunto e, di conseguenza, il tasso di reinserimento è aumentato fino all'83 %. Il tasso di esecuzione è stato elevato: 71 % nel primo caso e 100 % nel secondo. Alcune delle ragioni principali per il conseguimento di risultati così positivi sono state: 1) l'avvio anticipato dell'attuazione delle misure con finanziamenti nazionali propri, prima della mobilitazione dei fondi dell'Unione; 2) misure personalizzate in base alle esigenze dei lavoratori licenziati, concepite sulla base di un questionario e di un'indagine sulle preferenze dei lavoratori; 3) la creazione di un'unità nazionale di coordinamento del FEG, ubicata vicino ai lavoratori in esubero, in maniera da poter instaurare una relazione; 4) la flessibilità nella scelta di attività di formazione specificamente personalizzate e programmi di formazione di secondo e di terzo livello. </w:t>
      </w:r>
    </w:p>
    <w:p>
      <w:pPr>
        <w:spacing w:after="0"/>
        <w:jc w:val="both"/>
        <w:rPr>
          <w:rFonts w:ascii="Times New Roman" w:hAnsi="Times New Roman"/>
          <w:noProof/>
        </w:rPr>
      </w:pPr>
    </w:p>
    <w:p>
      <w:pPr>
        <w:spacing w:after="0"/>
        <w:jc w:val="both"/>
        <w:rPr>
          <w:rFonts w:ascii="Times New Roman" w:hAnsi="Times New Roman"/>
          <w:noProof/>
        </w:rPr>
      </w:pPr>
      <w:r>
        <w:rPr>
          <w:rFonts w:ascii="Times New Roman" w:hAnsi="Times New Roman"/>
          <w:noProof/>
        </w:rPr>
        <w:t xml:space="preserve">La Francia ha fornito un esempio di complementarità quando le autorità nazionali hanno deciso di prorogare di ulteriori 12 mesi dopo l'intervento del FEG il sostegno agli ex lavoratori di MoryGlobal che erano ancora disoccupati. </w:t>
      </w:r>
    </w:p>
    <w:p>
      <w:pPr>
        <w:spacing w:after="0"/>
        <w:jc w:val="both"/>
        <w:rPr>
          <w:rFonts w:ascii="Times New Roman" w:hAnsi="Times New Roman"/>
          <w:noProof/>
        </w:rPr>
      </w:pPr>
    </w:p>
    <w:p>
      <w:pPr>
        <w:spacing w:after="0"/>
        <w:jc w:val="both"/>
        <w:rPr>
          <w:rFonts w:ascii="Times New Roman" w:hAnsi="Times New Roman"/>
          <w:noProof/>
        </w:rPr>
      </w:pPr>
      <w:r>
        <w:rPr>
          <w:rFonts w:ascii="Times New Roman" w:hAnsi="Times New Roman"/>
          <w:noProof/>
        </w:rPr>
        <w:t xml:space="preserve">La rete creata dalle istituzioni italiane e dalle parti sociali, dagli organismi di attuazione e dai centri per l'occupazione in occasione del caso Alitalia sarà probabilmente ulteriormente sviluppata per affrontare i futuri eventi di ristrutturazione. </w:t>
      </w:r>
    </w:p>
    <w:p>
      <w:pPr>
        <w:spacing w:before="240"/>
        <w:jc w:val="both"/>
        <w:rPr>
          <w:noProof/>
        </w:rPr>
      </w:pPr>
      <w:r>
        <w:rPr>
          <w:rFonts w:ascii="Times New Roman" w:hAnsi="Times New Roman"/>
          <w:noProof/>
        </w:rPr>
        <w:t xml:space="preserve">Il caso Volvo Trucks in Svezia è un esempio di buona pratica di sostegno del FEG a favore di tutti i lavoratori licenziati, compresi i lavoratori temporanei che sarebbero stati al di fuori della programmazione nazionale. La reazione rapida e tempestiva ai licenziamenti è stata una delle principali priorità e ha portato a un elevato (84 %) tasso di reinserimento. Le varie parti interessate hanno collaborato bene. Vi è stata una complementarità evidente con le misure nazionali a favore del mercato del lavoro e con il FSE. La Svezia ha ridistribuito il bilancio tra le misure al fine di adeguarsi all'evoluzione delle esigenze durante il periodo di attuazione, ottimizzando così l'uso dei fondi disponibili. </w:t>
      </w:r>
    </w:p>
    <w:p>
      <w:pPr>
        <w:spacing w:before="240"/>
        <w:jc w:val="both"/>
        <w:rPr>
          <w:rFonts w:ascii="Times New Roman" w:hAnsi="Times New Roman"/>
          <w:noProof/>
        </w:rPr>
      </w:pPr>
      <w:r>
        <w:rPr>
          <w:rFonts w:ascii="Times New Roman" w:hAnsi="Times New Roman"/>
          <w:noProof/>
        </w:rPr>
        <w:t>Il caso Ford Genk in Belgio è un esempio del fatto che l'intervento del FEG rientra in un quadro strategico più ampio volto a ridurre al minimo le conseguenze di esuberi collettivi in una regione. In seguito alla chiusura dello stabilimento Ford è stato elaborato un piano di azione strategico per la regione del Limburgo denominato "SALK" (</w:t>
      </w:r>
      <w:r>
        <w:rPr>
          <w:rFonts w:ascii="Times New Roman" w:hAnsi="Times New Roman"/>
          <w:i/>
          <w:noProof/>
        </w:rPr>
        <w:t>Strategisch Actieplan voor Limburg in het Kwadraat</w:t>
      </w:r>
      <w:r>
        <w:rPr>
          <w:rFonts w:ascii="Times New Roman" w:hAnsi="Times New Roman"/>
          <w:noProof/>
        </w:rPr>
        <w:t>). Di tutte le conseguenze di questo evento, che sono state di ampia portata, il FEG ha affrontato quelle a breve termine (impatto sull'occupazione). Le azioni a lungo termine incentrate sul miglioramento delle condizioni di crescita economica sono state sostenute dai finanziamenti nazionali. Gli insegnamenti tratti da questo approccio globale sono stati condivisi con altre regioni belghe che stanno anch'esse esaminando analoghi pacchetti di sostegno completi.</w:t>
      </w:r>
    </w:p>
    <w:p>
      <w:pPr>
        <w:spacing w:before="240"/>
        <w:jc w:val="both"/>
        <w:rPr>
          <w:rFonts w:ascii="Times New Roman" w:hAnsi="Times New Roman"/>
          <w:noProof/>
        </w:rPr>
      </w:pPr>
      <w:r>
        <w:rPr>
          <w:rFonts w:ascii="Times New Roman" w:hAnsi="Times New Roman"/>
          <w:noProof/>
        </w:rPr>
        <w:t>I casi FEG in Germania hanno sostenuto l'innovazione nel settore del coinvolgimento dei datori di lavoro. L'erogazione di servizi dedicati (</w:t>
      </w:r>
      <w:r>
        <w:rPr>
          <w:rFonts w:ascii="Times New Roman" w:hAnsi="Times New Roman"/>
          <w:i/>
          <w:noProof/>
        </w:rPr>
        <w:t>job scout</w:t>
      </w:r>
      <w:r>
        <w:rPr>
          <w:rFonts w:ascii="Times New Roman" w:hAnsi="Times New Roman"/>
          <w:noProof/>
        </w:rPr>
        <w:t>) ai datori di lavoro è stata integrata nel sostegno del FEG. Questi servizi sono stati molto efficienti nel reperire risorse per coprire i posti vacanti e hanno ridotto significativamente il costo per beneficiario nel caso FEG Aleo Solar. Nel caso Adam Opel, gli eventi di "</w:t>
      </w:r>
      <w:r>
        <w:rPr>
          <w:rFonts w:ascii="Times New Roman" w:hAnsi="Times New Roman"/>
          <w:i/>
          <w:noProof/>
        </w:rPr>
        <w:t>speed dating</w:t>
      </w:r>
      <w:r>
        <w:rPr>
          <w:rFonts w:ascii="Times New Roman" w:hAnsi="Times New Roman"/>
          <w:noProof/>
        </w:rPr>
        <w:t>" che hanno riunito, in maniera informale, persone in cerca di lavoro e datori di lavoro con posti vacanti sono stati considerati estremamente positivi e non sarebbero stati disponibili attraverso meccanismi di finanziamento nazionali.</w:t>
      </w:r>
    </w:p>
    <w:p>
      <w:pPr>
        <w:spacing w:before="240"/>
        <w:jc w:val="both"/>
        <w:rPr>
          <w:noProof/>
        </w:rPr>
      </w:pPr>
      <w:r>
        <w:rPr>
          <w:rFonts w:ascii="Times New Roman" w:hAnsi="Times New Roman"/>
          <w:noProof/>
        </w:rPr>
        <w:t>Nei casi attuati in Belgio (Hainaut Namur Glass, Hainaut Machinery), Grecia (Sprider Stores, Odyssefs Fokas, Supermarket Larissa) e Irlanda (Lufthansa Technik, PWA International), oltre ai lavoratori in esubero, alla partecipazione alle misure del FEG è stata data priorità anche ai giovani che non lavorano e non partecipano ad alcun ciclo di istruzione o formazione. È dimostrato che, soprattutto in Irlanda e in Grecia, l'aiuto offerto è andato in larga misura a beneficio di giovani interessati e ha fornito loro un'assistenza che non avrebbero altrimenti ricevuto attraverso i servizi nazionali generali. Tuttavia, una delle sfide principali nel fornire sostegno ai NEET è stata quella di coinvolgerli e renderli attivi attraverso diverse attività di sensibilizzazione, che hanno richiesto molto tempo e risorse.</w:t>
      </w:r>
    </w:p>
    <w:p>
      <w:pPr>
        <w:pStyle w:val="Heading2"/>
        <w:rPr>
          <w:i/>
          <w:noProof/>
          <w:sz w:val="18"/>
          <w:szCs w:val="18"/>
        </w:rPr>
      </w:pPr>
      <w:bookmarkStart w:id="32" w:name="_Toc13653161"/>
      <w:bookmarkStart w:id="33" w:name="_Toc16946008"/>
      <w:r>
        <w:rPr>
          <w:noProof/>
        </w:rPr>
        <w:t>2.5. Esecuzione finanziaria</w:t>
      </w:r>
      <w:bookmarkEnd w:id="32"/>
      <w:bookmarkEnd w:id="33"/>
    </w:p>
    <w:p>
      <w:pPr>
        <w:pStyle w:val="Heading3"/>
        <w:spacing w:before="360"/>
        <w:ind w:left="0" w:firstLine="708"/>
        <w:rPr>
          <w:noProof/>
        </w:rPr>
      </w:pPr>
      <w:bookmarkStart w:id="34" w:name="_Toc13653162"/>
      <w:bookmarkStart w:id="35" w:name="_Toc16946009"/>
      <w:r>
        <w:rPr>
          <w:noProof/>
        </w:rPr>
        <w:t>2.5.1. Contributi concessi dal FEG</w:t>
      </w:r>
      <w:bookmarkEnd w:id="34"/>
      <w:bookmarkEnd w:id="35"/>
      <w:r>
        <w:rPr>
          <w:noProof/>
        </w:rPr>
        <w:t xml:space="preserve"> </w:t>
      </w:r>
    </w:p>
    <w:p>
      <w:pPr>
        <w:jc w:val="both"/>
        <w:rPr>
          <w:rFonts w:ascii="Times New Roman" w:hAnsi="Times New Roman" w:cs="Times New Roman"/>
          <w:noProof/>
          <w:color w:val="000000" w:themeColor="text1"/>
        </w:rPr>
      </w:pPr>
      <w:r>
        <w:rPr>
          <w:rFonts w:ascii="Times New Roman" w:hAnsi="Times New Roman"/>
          <w:noProof/>
          <w:color w:val="000000" w:themeColor="text1"/>
        </w:rPr>
        <w:t>Nel 2017 e nel 2018, l'autorità di bilancio ha approvato 15 contributi del FEG per un importo complessivo di 45 467 387 EUR</w:t>
      </w:r>
      <w:r>
        <w:rPr>
          <w:rStyle w:val="FootnoteReference"/>
          <w:rFonts w:ascii="Times New Roman" w:hAnsi="Times New Roman"/>
          <w:noProof/>
          <w:color w:val="000000" w:themeColor="text1"/>
        </w:rPr>
        <w:footnoteReference w:id="13"/>
      </w:r>
      <w:r>
        <w:rPr>
          <w:rFonts w:ascii="Times New Roman" w:hAnsi="Times New Roman"/>
          <w:noProof/>
          <w:color w:val="000000" w:themeColor="text1"/>
        </w:rPr>
        <w:t xml:space="preserve"> (cfr. tabella 2), </w:t>
      </w:r>
      <w:r>
        <w:rPr>
          <w:rFonts w:ascii="Times New Roman" w:hAnsi="Times New Roman"/>
          <w:noProof/>
        </w:rPr>
        <w:t xml:space="preserve">di cui 17 778 774 EUR sono stati mobilitati nel 2017 e 27 688 613 nel 2018. </w:t>
      </w:r>
    </w:p>
    <w:p>
      <w:pPr>
        <w:jc w:val="both"/>
        <w:rPr>
          <w:rFonts w:ascii="Times New Roman" w:hAnsi="Times New Roman" w:cs="Times New Roman"/>
          <w:noProof/>
          <w:color w:val="000000" w:themeColor="text1"/>
        </w:rPr>
      </w:pPr>
      <w:r>
        <w:rPr>
          <w:rFonts w:ascii="Times New Roman" w:hAnsi="Times New Roman"/>
          <w:noProof/>
          <w:color w:val="000000" w:themeColor="text1"/>
        </w:rPr>
        <w:t>Per il periodo 2014-2020, il massimale finanziario annuo del FEG è pari a 150 milioni di EUR (prezzi 2011)</w:t>
      </w:r>
      <w:r>
        <w:rPr>
          <w:rStyle w:val="FootnoteReference"/>
          <w:rFonts w:ascii="Times New Roman" w:hAnsi="Times New Roman"/>
          <w:noProof/>
          <w:color w:val="000000" w:themeColor="text1"/>
        </w:rPr>
        <w:footnoteReference w:id="14"/>
      </w:r>
      <w:r>
        <w:rPr>
          <w:rFonts w:ascii="Times New Roman" w:hAnsi="Times New Roman"/>
          <w:noProof/>
          <w:color w:val="000000" w:themeColor="text1"/>
        </w:rPr>
        <w:t>. Ciò significa che nel 2017 sono stati messi a disposizione del FEG stanziamenti d'impegno pari a 168 924 000 EUR, mentre nel 2018 sono stati pari a 172 302 000 EUR.</w:t>
      </w:r>
    </w:p>
    <w:p>
      <w:pPr>
        <w:jc w:val="both"/>
        <w:rPr>
          <w:rFonts w:ascii="Times New Roman" w:hAnsi="Times New Roman" w:cs="Times New Roman"/>
          <w:noProof/>
          <w:color w:val="000000" w:themeColor="text1"/>
        </w:rPr>
      </w:pPr>
      <w:r>
        <w:rPr>
          <w:rFonts w:ascii="Times New Roman" w:hAnsi="Times New Roman"/>
          <w:noProof/>
          <w:color w:val="000000" w:themeColor="text1"/>
        </w:rPr>
        <w:t>In termini di stanziamenti di pagamento sono stati accreditati in totale 45 467 387 EUR alla linea di bilancio del FEG nel 2017 e nel 2018. I pagamenti di prefinanziamento</w:t>
      </w:r>
      <w:r>
        <w:rPr>
          <w:rStyle w:val="FootnoteReference"/>
          <w:rFonts w:ascii="Times New Roman" w:hAnsi="Times New Roman"/>
          <w:noProof/>
          <w:color w:val="000000" w:themeColor="text1"/>
        </w:rPr>
        <w:footnoteReference w:id="15"/>
      </w:r>
      <w:r>
        <w:rPr>
          <w:rFonts w:ascii="Times New Roman" w:hAnsi="Times New Roman"/>
          <w:noProof/>
          <w:color w:val="000000" w:themeColor="text1"/>
        </w:rPr>
        <w:t xml:space="preserve"> sono stati pari a 17 778 774 EUR nel 2017 e a 27 688 613 EUR nel 2018. </w:t>
      </w:r>
    </w:p>
    <w:p>
      <w:pPr>
        <w:pStyle w:val="Heading3"/>
        <w:rPr>
          <w:noProof/>
        </w:rPr>
      </w:pPr>
      <w:bookmarkStart w:id="36" w:name="_Toc13653163"/>
      <w:bookmarkStart w:id="37" w:name="_Toc16946010"/>
      <w:r>
        <w:rPr>
          <w:noProof/>
        </w:rPr>
        <w:t>2.5.2. Spese di assistenza tecnica</w:t>
      </w:r>
      <w:bookmarkEnd w:id="36"/>
      <w:bookmarkEnd w:id="37"/>
    </w:p>
    <w:p>
      <w:pPr>
        <w:spacing w:after="60"/>
        <w:jc w:val="both"/>
        <w:rPr>
          <w:rFonts w:ascii="Times New Roman" w:hAnsi="Times New Roman" w:cs="Times New Roman"/>
          <w:noProof/>
          <w:color w:val="000000" w:themeColor="text1"/>
        </w:rPr>
      </w:pPr>
      <w:r>
        <w:rPr>
          <w:rFonts w:ascii="Times New Roman" w:hAnsi="Times New Roman"/>
          <w:noProof/>
          <w:color w:val="000000" w:themeColor="text1"/>
        </w:rPr>
        <w:t>A norma dell'articolo 11, paragrafo 1, del regolamento (UE) n. 1309/2013, fino allo 0,5 % delle risorse finanziarie del FEG disponibili per l'anno in questione (844 622 EUR nel 2017 e 861 514 EUR nel 2018) può essere utilizzato per l'assistenza tecnica su iniziativa della Commissione. Tale importo deve essere utilizzato per finanziare le attività necessarie per l'attuazione del regolamento, quali la preparazione, il monitoraggio, la raccolta dati, la creazione di una base di conoscenze, il sostegno amministrativo e tecnico, le attività di informazione e comunicazione, nonché l'audit, il controllo e la valutazione.</w:t>
      </w:r>
    </w:p>
    <w:p>
      <w:pPr>
        <w:spacing w:after="60"/>
        <w:jc w:val="both"/>
        <w:rPr>
          <w:rFonts w:ascii="Times New Roman" w:hAnsi="Times New Roman" w:cs="Times New Roman"/>
          <w:noProof/>
          <w:color w:val="000000" w:themeColor="text1"/>
        </w:rPr>
      </w:pPr>
      <w:r>
        <w:rPr>
          <w:rFonts w:ascii="Times New Roman" w:hAnsi="Times New Roman"/>
          <w:noProof/>
          <w:color w:val="000000" w:themeColor="text1"/>
        </w:rPr>
        <w:t>L'autorità di bilancio ha messo a disposizione 310 000 EUR e 345 000 EUR rispettivamente per il 2017 e il 2018 per l'assistenza tecnica destinata a finanziare le attività di cui sopra.</w:t>
      </w:r>
    </w:p>
    <w:p>
      <w:pPr>
        <w:spacing w:after="60"/>
        <w:jc w:val="center"/>
        <w:rPr>
          <w:rFonts w:ascii="Times New Roman" w:hAnsi="Times New Roman" w:cs="Times New Roman"/>
          <w:b/>
          <w:i/>
          <w:noProof/>
          <w:sz w:val="28"/>
          <w:szCs w:val="28"/>
        </w:rPr>
      </w:pPr>
      <w:r>
        <w:rPr>
          <w:rFonts w:ascii="Times New Roman" w:hAnsi="Times New Roman"/>
          <w:b/>
          <w:i/>
          <w:noProof/>
          <w:sz w:val="28"/>
        </w:rPr>
        <w:t>Tabella 5.1: spese di assistenza tecnica nel 2017</w:t>
      </w:r>
    </w:p>
    <w:p>
      <w:pPr>
        <w:spacing w:after="60"/>
        <w:jc w:val="center"/>
        <w:rPr>
          <w:rFonts w:ascii="Times New Roman" w:hAnsi="Times New Roman" w:cs="Times New Roman"/>
          <w:b/>
          <w:i/>
          <w:noProof/>
          <w:sz w:val="28"/>
          <w:szCs w:val="28"/>
        </w:rPr>
      </w:pPr>
      <w:r>
        <w:rPr>
          <w:noProof/>
          <w:lang w:val="en-GB" w:eastAsia="en-GB" w:bidi="ar-SA"/>
        </w:rPr>
        <w:drawing>
          <wp:inline distT="0" distB="0" distL="0" distR="0">
            <wp:extent cx="5511800" cy="2831886"/>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11800" cy="2831886"/>
                    </a:xfrm>
                    <a:prstGeom prst="rect">
                      <a:avLst/>
                    </a:prstGeom>
                    <a:noFill/>
                    <a:ln>
                      <a:noFill/>
                    </a:ln>
                  </pic:spPr>
                </pic:pic>
              </a:graphicData>
            </a:graphic>
          </wp:inline>
        </w:drawing>
      </w:r>
    </w:p>
    <w:p>
      <w:pPr>
        <w:keepLines/>
        <w:spacing w:after="0" w:line="240" w:lineRule="auto"/>
        <w:jc w:val="center"/>
        <w:rPr>
          <w:rFonts w:ascii="Times New Roman" w:hAnsi="Times New Roman" w:cs="Times New Roman"/>
          <w:b/>
          <w:i/>
          <w:noProof/>
          <w:sz w:val="28"/>
          <w:szCs w:val="28"/>
        </w:rPr>
      </w:pPr>
      <w:r>
        <w:rPr>
          <w:rFonts w:ascii="Times New Roman" w:hAnsi="Times New Roman"/>
          <w:b/>
          <w:i/>
          <w:noProof/>
          <w:sz w:val="28"/>
        </w:rPr>
        <w:t>Tabella 5.2: spese di assistenza tecnica nel 2018</w:t>
      </w:r>
    </w:p>
    <w:p>
      <w:pPr>
        <w:keepLines/>
        <w:spacing w:after="60" w:line="240" w:lineRule="auto"/>
        <w:jc w:val="center"/>
        <w:rPr>
          <w:noProof/>
        </w:rPr>
      </w:pPr>
      <w:r>
        <w:rPr>
          <w:noProof/>
          <w:lang w:val="en-GB" w:eastAsia="en-GB" w:bidi="ar-SA"/>
        </w:rPr>
        <w:drawing>
          <wp:inline distT="0" distB="0" distL="0" distR="0">
            <wp:extent cx="5653505" cy="2685415"/>
            <wp:effectExtent l="0" t="0" r="4445"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3505" cy="2685415"/>
                    </a:xfrm>
                    <a:prstGeom prst="rect">
                      <a:avLst/>
                    </a:prstGeom>
                    <a:noFill/>
                    <a:ln>
                      <a:noFill/>
                    </a:ln>
                  </pic:spPr>
                </pic:pic>
              </a:graphicData>
            </a:graphic>
          </wp:inline>
        </w:drawing>
      </w:r>
    </w:p>
    <w:p>
      <w:pPr>
        <w:pStyle w:val="Heading3"/>
        <w:rPr>
          <w:noProof/>
        </w:rPr>
      </w:pPr>
      <w:bookmarkStart w:id="38" w:name="_Toc13653164"/>
      <w:bookmarkStart w:id="39" w:name="_Toc16946011"/>
      <w:r>
        <w:rPr>
          <w:noProof/>
        </w:rPr>
        <w:t>2.5.3 Irregolarità segnalate</w:t>
      </w:r>
      <w:bookmarkEnd w:id="38"/>
      <w:bookmarkEnd w:id="39"/>
    </w:p>
    <w:p>
      <w:pPr>
        <w:jc w:val="both"/>
        <w:rPr>
          <w:rFonts w:ascii="Times New Roman" w:hAnsi="Times New Roman"/>
          <w:noProof/>
        </w:rPr>
      </w:pPr>
      <w:r>
        <w:rPr>
          <w:rFonts w:ascii="Times New Roman" w:hAnsi="Times New Roman"/>
          <w:noProof/>
        </w:rPr>
        <w:t>Non sono state segnalate irregolarità alla Commissione a norma del regolamento (CE) n. 1927/2006</w:t>
      </w:r>
      <w:r>
        <w:rPr>
          <w:rStyle w:val="FootnoteReference"/>
          <w:rFonts w:ascii="Times New Roman" w:hAnsi="Times New Roman"/>
          <w:noProof/>
        </w:rPr>
        <w:footnoteReference w:id="16"/>
      </w:r>
      <w:r>
        <w:rPr>
          <w:rFonts w:ascii="Times New Roman" w:hAnsi="Times New Roman"/>
          <w:noProof/>
        </w:rPr>
        <w:t xml:space="preserve"> o del regolamento (UE) n. 1309/2013 nel 2017 e nel 2018.</w:t>
      </w:r>
    </w:p>
    <w:p>
      <w:pPr>
        <w:pStyle w:val="Heading3"/>
        <w:spacing w:before="360"/>
        <w:rPr>
          <w:noProof/>
        </w:rPr>
      </w:pPr>
      <w:bookmarkStart w:id="40" w:name="_Toc13653165"/>
      <w:bookmarkStart w:id="41" w:name="_Toc16946012"/>
      <w:r>
        <w:rPr>
          <w:noProof/>
        </w:rPr>
        <w:t>2.5.4 Chiusura dei contributi finanziari del FEG</w:t>
      </w:r>
      <w:bookmarkEnd w:id="40"/>
      <w:bookmarkEnd w:id="41"/>
      <w:r>
        <w:rPr>
          <w:noProof/>
        </w:rPr>
        <w:t xml:space="preserve"> </w:t>
      </w:r>
    </w:p>
    <w:p>
      <w:pPr>
        <w:spacing w:after="160"/>
        <w:jc w:val="both"/>
        <w:rPr>
          <w:rFonts w:ascii="Times New Roman" w:hAnsi="Times New Roman"/>
          <w:noProof/>
          <w:color w:val="000000" w:themeColor="text1"/>
        </w:rPr>
      </w:pPr>
      <w:r>
        <w:rPr>
          <w:rFonts w:ascii="Times New Roman" w:hAnsi="Times New Roman"/>
          <w:noProof/>
        </w:rPr>
        <w:t>Le procedure di chiusura dei contributi finanziari del FEG sono stabilite all'articolo 18 del regolamento (UE) n. 1309/2013.</w:t>
      </w:r>
      <w:r>
        <w:rPr>
          <w:rFonts w:ascii="Times New Roman" w:hAnsi="Times New Roman"/>
          <w:noProof/>
          <w:color w:val="000000" w:themeColor="text1"/>
        </w:rPr>
        <w:t xml:space="preserve"> Nel 2017 e nel 2018 sono stati chiusi 29 casi</w:t>
      </w:r>
      <w:r>
        <w:rPr>
          <w:i/>
          <w:noProof/>
        </w:rPr>
        <w:t>,</w:t>
      </w:r>
      <w:r>
        <w:rPr>
          <w:rFonts w:ascii="Times New Roman" w:hAnsi="Times New Roman"/>
          <w:noProof/>
          <w:color w:val="000000" w:themeColor="text1"/>
        </w:rPr>
        <w:t xml:space="preserve"> attuati tra il 2011 e il 2018. Dettagli relativi a questi casi sono riportati nella tabella 6. </w:t>
      </w:r>
    </w:p>
    <w:p>
      <w:pPr>
        <w:spacing w:after="160"/>
        <w:jc w:val="both"/>
        <w:rPr>
          <w:rFonts w:ascii="Times New Roman" w:hAnsi="Times New Roman"/>
          <w:noProof/>
          <w:color w:val="000000" w:themeColor="text1"/>
        </w:rPr>
      </w:pPr>
      <w:r>
        <w:rPr>
          <w:rFonts w:ascii="Times New Roman" w:hAnsi="Times New Roman"/>
          <w:noProof/>
          <w:color w:val="000000" w:themeColor="text1"/>
        </w:rPr>
        <w:t xml:space="preserve">Un caso FEG è chiuso quando la relazione finale contenente tutte le informazioni necessarie è stata inviata alla Commissione, tutti i rimborsi ancora dovuti sono stati pagati e non è necessario intraprendere ulteriori azioni da parte dello Stato membro o della Commissione, oltre all'obbligo di conservare tutti i documenti giustificativi per un periodo di tre anni, tenendoli a disposizione della Commissione o della Corte dei conti [articolo 21, paragrafo 5, del regolamento (UE) n. 1309/2013]. </w:t>
      </w:r>
    </w:p>
    <w:p>
      <w:pPr>
        <w:spacing w:after="160"/>
        <w:jc w:val="both"/>
        <w:rPr>
          <w:rFonts w:ascii="Times New Roman" w:hAnsi="Times New Roman"/>
          <w:noProof/>
          <w:color w:val="000000" w:themeColor="text1"/>
        </w:rPr>
      </w:pPr>
      <w:r>
        <w:rPr>
          <w:rFonts w:ascii="Times New Roman" w:hAnsi="Times New Roman"/>
          <w:noProof/>
          <w:color w:val="000000" w:themeColor="text1"/>
        </w:rPr>
        <w:t>Il tasso medio di esecuzione</w:t>
      </w:r>
      <w:r>
        <w:rPr>
          <w:rStyle w:val="FootnoteReference"/>
          <w:rFonts w:ascii="Times New Roman" w:hAnsi="Times New Roman"/>
          <w:noProof/>
          <w:color w:val="000000" w:themeColor="text1"/>
        </w:rPr>
        <w:footnoteReference w:id="17"/>
      </w:r>
      <w:r>
        <w:rPr>
          <w:rFonts w:ascii="Times New Roman" w:hAnsi="Times New Roman"/>
          <w:noProof/>
          <w:color w:val="000000" w:themeColor="text1"/>
        </w:rPr>
        <w:t xml:space="preserve"> dei casi chiusi è stato pari al 68,2 % ed è variato tra l'1,66 %</w:t>
      </w:r>
      <w:r>
        <w:rPr>
          <w:rStyle w:val="FootnoteReference"/>
          <w:rFonts w:ascii="Times New Roman" w:hAnsi="Times New Roman"/>
          <w:noProof/>
          <w:color w:val="000000" w:themeColor="text1"/>
        </w:rPr>
        <w:footnoteReference w:id="18"/>
      </w:r>
      <w:r>
        <w:rPr>
          <w:rFonts w:ascii="Times New Roman" w:hAnsi="Times New Roman"/>
          <w:noProof/>
          <w:color w:val="000000" w:themeColor="text1"/>
        </w:rPr>
        <w:t xml:space="preserve"> e il 100 %. L'importo totale dei fondi non spesi rimborsati alla Commissione è stato di 36 671 426 EUR (31,8 % dei contributi del FEG concessi a favore di detti 29 casi). Questo tasso di recupero costituisce uno sviluppo positivo rispetto ai risultati della valutazione ex post del FEG 2007-2013</w:t>
      </w:r>
      <w:r>
        <w:rPr>
          <w:rStyle w:val="FootnoteReference"/>
          <w:rFonts w:ascii="Times New Roman" w:hAnsi="Times New Roman"/>
          <w:noProof/>
          <w:color w:val="000000" w:themeColor="text1"/>
        </w:rPr>
        <w:footnoteReference w:id="19"/>
      </w:r>
      <w:r>
        <w:rPr>
          <w:rFonts w:ascii="Times New Roman" w:hAnsi="Times New Roman"/>
          <w:noProof/>
          <w:color w:val="000000" w:themeColor="text1"/>
        </w:rPr>
        <w:t xml:space="preserve">; esso ha mostrato che in media il 45 % dei fondi stanziati non è stato speso dagli Stati membri. </w:t>
      </w:r>
    </w:p>
    <w:p>
      <w:pPr>
        <w:spacing w:after="160"/>
        <w:jc w:val="both"/>
        <w:rPr>
          <w:rFonts w:ascii="Times New Roman" w:hAnsi="Times New Roman"/>
          <w:noProof/>
        </w:rPr>
      </w:pPr>
      <w:r>
        <w:rPr>
          <w:rFonts w:ascii="Times New Roman" w:hAnsi="Times New Roman"/>
          <w:noProof/>
        </w:rPr>
        <w:t xml:space="preserve">Vi sono vari motivi per cui gli Stati membri non hanno utilizzato appieno gli importi concessi. Sebbene gli Stati membri siano sollecitati a fare previsioni di bilancio realistiche per il pacchetto coordinato di servizi personalizzati è possibile che sia mancata una programmazione precisa e consapevole. Gli Stati membri tendono inoltre a includere un elevato margine di sicurezza nei loro calcoli iniziali. Il numero dei lavoratori interessati a partecipare alle misure proposte tende a essere sovrastimato nella fase di programmazione. Alcuni lavoratori potrebbero aver optato per misure più economiche rispetto ad altre più costose o preferito misure a breve termine invece che a lungo termine oppure potrebbero aver trovato un nuovo impiego prima di quanto inizialmente previsto. Il basso livello di spesa potrebbe anche essere dovuto a ritardi nell'avvio delle misure e un utilizzo insufficiente della flessibilità nel riassegnare i finanziamenti tra le varie voci di bilancio durante l'attuazione del pacchetto di servizi personalizzati. </w:t>
      </w:r>
    </w:p>
    <w:p>
      <w:pPr>
        <w:spacing w:after="160"/>
        <w:jc w:val="both"/>
        <w:rPr>
          <w:rFonts w:ascii="Times New Roman" w:hAnsi="Times New Roman"/>
          <w:noProof/>
          <w:color w:val="000000" w:themeColor="text1"/>
        </w:rPr>
      </w:pPr>
      <w:r>
        <w:rPr>
          <w:rFonts w:ascii="Times New Roman" w:hAnsi="Times New Roman"/>
          <w:noProof/>
          <w:color w:val="000000" w:themeColor="text1"/>
        </w:rPr>
        <w:t xml:space="preserve">La Commissione continua a fornire orientamenti agli Stati membri per incoraggiare una gestione ottimale dei fondi e migliorare il tasso di esecuzione, già nella fase di domanda. </w:t>
      </w:r>
    </w:p>
    <w:p>
      <w:pPr>
        <w:spacing w:after="160"/>
        <w:jc w:val="both"/>
        <w:rPr>
          <w:rFonts w:ascii="Times New Roman" w:hAnsi="Times New Roman"/>
          <w:noProof/>
        </w:rPr>
        <w:sectPr>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417" w:left="1417" w:header="708" w:footer="708" w:gutter="0"/>
          <w:cols w:space="708"/>
          <w:docGrid w:linePitch="360"/>
        </w:sectPr>
      </w:pPr>
      <w:r>
        <w:rPr>
          <w:rFonts w:ascii="Times New Roman" w:hAnsi="Times New Roman"/>
          <w:noProof/>
        </w:rPr>
        <w:t xml:space="preserve">Si prevede che con l'esperienza migliorino le previsioni di spesa e di partecipazione dei lavoratori alle attività nel corso dei 24 mesi del periodo di attuazione. La Commissione ha osservato miglioramenti anche per quanto riguarda i tempi di arrivo dei finanziamenti del FEG nelle zone interessate, le capacità delle varie strutture di attuazione e coordinamento, nonché la qualità della comunicazione tra il livello nazionale e quello regionale/locale. Gli Stati membri stanno sfruttando in modo più efficace la possibilità di rivedere i bilanci preventivi e di riassegnare le risorse tra le varie misure e/o spese per le attività di attuazione. </w:t>
      </w:r>
      <w:r>
        <w:rPr>
          <w:noProof/>
        </w:rPr>
        <w:tab/>
      </w:r>
    </w:p>
    <w:p>
      <w:pPr>
        <w:keepNext/>
        <w:keepLines/>
        <w:spacing w:after="0"/>
        <w:jc w:val="center"/>
        <w:rPr>
          <w:noProof/>
          <w:lang w:val="en-GB" w:eastAsia="en-GB" w:bidi="ar-SA"/>
        </w:rPr>
      </w:pPr>
      <w:r>
        <w:rPr>
          <w:rFonts w:ascii="Times New Roman" w:hAnsi="Times New Roman"/>
          <w:b/>
          <w:i/>
          <w:noProof/>
          <w:sz w:val="28"/>
        </w:rPr>
        <w:t>Tabella 6: casi chiusi nel 2017 e 2018</w:t>
      </w:r>
    </w:p>
    <w:p>
      <w:pPr>
        <w:keepNext/>
        <w:keepLines/>
        <w:spacing w:after="0"/>
        <w:jc w:val="center"/>
        <w:rPr>
          <w:noProof/>
        </w:rPr>
      </w:pPr>
      <w:r>
        <w:rPr>
          <w:noProof/>
          <w:lang w:val="en-GB" w:eastAsia="en-GB" w:bidi="ar-SA"/>
        </w:rPr>
        <w:drawing>
          <wp:inline distT="0" distB="0" distL="0" distR="0">
            <wp:extent cx="8891270" cy="503160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91270" cy="5031603"/>
                    </a:xfrm>
                    <a:prstGeom prst="rect">
                      <a:avLst/>
                    </a:prstGeom>
                    <a:noFill/>
                    <a:ln>
                      <a:noFill/>
                    </a:ln>
                  </pic:spPr>
                </pic:pic>
              </a:graphicData>
            </a:graphic>
          </wp:inline>
        </w:drawing>
      </w:r>
    </w:p>
    <w:p>
      <w:pPr>
        <w:jc w:val="center"/>
        <w:rPr>
          <w:noProof/>
        </w:rPr>
      </w:pPr>
      <w:r>
        <w:rPr>
          <w:noProof/>
          <w:lang w:val="en-GB" w:eastAsia="en-GB" w:bidi="ar-SA"/>
        </w:rPr>
        <w:drawing>
          <wp:inline distT="0" distB="0" distL="0" distR="0">
            <wp:extent cx="8891270" cy="5047538"/>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1270" cy="5047538"/>
                    </a:xfrm>
                    <a:prstGeom prst="rect">
                      <a:avLst/>
                    </a:prstGeom>
                    <a:noFill/>
                    <a:ln>
                      <a:noFill/>
                    </a:ln>
                  </pic:spPr>
                </pic:pic>
              </a:graphicData>
            </a:graphic>
          </wp:inline>
        </w:drawing>
      </w:r>
    </w:p>
    <w:p>
      <w:pPr>
        <w:jc w:val="center"/>
        <w:rPr>
          <w:noProof/>
        </w:rPr>
        <w:sectPr>
          <w:headerReference w:type="even" r:id="rId70"/>
          <w:headerReference w:type="default" r:id="rId71"/>
          <w:footerReference w:type="even" r:id="rId72"/>
          <w:footerReference w:type="default" r:id="rId73"/>
          <w:headerReference w:type="first" r:id="rId74"/>
          <w:footerReference w:type="first" r:id="rId75"/>
          <w:pgSz w:w="16838" w:h="11906" w:orient="landscape"/>
          <w:pgMar w:top="840" w:right="1418" w:bottom="1418" w:left="1418" w:header="709" w:footer="709" w:gutter="0"/>
          <w:cols w:space="708"/>
          <w:docGrid w:linePitch="360"/>
        </w:sectPr>
      </w:pPr>
      <w:r>
        <w:rPr>
          <w:noProof/>
          <w:lang w:val="en-GB" w:eastAsia="en-GB" w:bidi="ar-SA"/>
        </w:rPr>
        <w:drawing>
          <wp:inline distT="0" distB="0" distL="0" distR="0">
            <wp:extent cx="8891270" cy="5629753"/>
            <wp:effectExtent l="0" t="0" r="508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91270" cy="5629753"/>
                    </a:xfrm>
                    <a:prstGeom prst="rect">
                      <a:avLst/>
                    </a:prstGeom>
                    <a:noFill/>
                    <a:ln>
                      <a:noFill/>
                    </a:ln>
                  </pic:spPr>
                </pic:pic>
              </a:graphicData>
            </a:graphic>
          </wp:inline>
        </w:drawing>
      </w:r>
    </w:p>
    <w:p>
      <w:pPr>
        <w:pStyle w:val="Heading2"/>
        <w:rPr>
          <w:noProof/>
        </w:rPr>
      </w:pPr>
      <w:bookmarkStart w:id="42" w:name="_Toc13653166"/>
      <w:bookmarkStart w:id="43" w:name="_Toc16946013"/>
      <w:r>
        <w:rPr>
          <w:noProof/>
        </w:rPr>
        <w:t>2.6. Attività di assistenza tecnica della Commissione</w:t>
      </w:r>
      <w:bookmarkEnd w:id="42"/>
      <w:bookmarkEnd w:id="43"/>
    </w:p>
    <w:p>
      <w:pPr>
        <w:pStyle w:val="Heading3"/>
        <w:rPr>
          <w:noProof/>
        </w:rPr>
      </w:pPr>
      <w:bookmarkStart w:id="44" w:name="_Toc13653167"/>
      <w:bookmarkStart w:id="45" w:name="_Toc16946014"/>
      <w:r>
        <w:rPr>
          <w:noProof/>
        </w:rPr>
        <w:t>2.6.1. Informazione e pubblicità: il sito Internet</w:t>
      </w:r>
      <w:bookmarkEnd w:id="44"/>
      <w:bookmarkEnd w:id="45"/>
    </w:p>
    <w:p>
      <w:pPr>
        <w:jc w:val="both"/>
        <w:rPr>
          <w:rFonts w:ascii="Times New Roman" w:hAnsi="Times New Roman"/>
          <w:noProof/>
        </w:rPr>
      </w:pPr>
      <w:r>
        <w:rPr>
          <w:rFonts w:ascii="Times New Roman" w:hAnsi="Times New Roman"/>
          <w:noProof/>
        </w:rPr>
        <w:t xml:space="preserve">L'articolo 12, paragrafo 2, del regolamento (UE) n. 1309/2013 impone alla Commissione di creare, mantenere e aggiornare un sito Internet, disponibile in tutte le lingue dell'Unione, che offra informazioni sul FEG e una guida sulla presentazione delle domande nonché informazioni aggiornate sulle domande accettate e quelle respinte, oltre a informazioni sul ruolo dell'autorità di bilancio. </w:t>
      </w:r>
    </w:p>
    <w:p>
      <w:pPr>
        <w:jc w:val="both"/>
        <w:rPr>
          <w:rFonts w:ascii="Times New Roman" w:hAnsi="Times New Roman"/>
          <w:noProof/>
        </w:rPr>
      </w:pPr>
      <w:r>
        <w:rPr>
          <w:rFonts w:ascii="Times New Roman" w:hAnsi="Times New Roman"/>
          <w:noProof/>
        </w:rPr>
        <w:t>Il sito Internet</w:t>
      </w:r>
      <w:r>
        <w:rPr>
          <w:rFonts w:ascii="Times New Roman" w:hAnsi="Times New Roman"/>
          <w:noProof/>
          <w:vertAlign w:val="superscript"/>
        </w:rPr>
        <w:footnoteReference w:id="20"/>
      </w:r>
      <w:r>
        <w:rPr>
          <w:rFonts w:ascii="Times New Roman" w:hAnsi="Times New Roman"/>
          <w:noProof/>
        </w:rPr>
        <w:t xml:space="preserve"> del FEG della Commissione è stato aggiornato regolarmente con le informazioni pertinenti nel 2017 e nel 2018. </w:t>
      </w:r>
    </w:p>
    <w:p>
      <w:pPr>
        <w:pStyle w:val="Heading3"/>
        <w:rPr>
          <w:noProof/>
        </w:rPr>
      </w:pPr>
      <w:bookmarkStart w:id="46" w:name="_Toc13653168"/>
      <w:bookmarkStart w:id="47" w:name="_Toc16946015"/>
      <w:r>
        <w:rPr>
          <w:noProof/>
        </w:rPr>
        <w:t>2.6.2. Riunioni con le autorità nazionali e le parti interessate del FEG</w:t>
      </w:r>
      <w:bookmarkEnd w:id="46"/>
      <w:bookmarkEnd w:id="47"/>
    </w:p>
    <w:p>
      <w:pPr>
        <w:jc w:val="both"/>
        <w:rPr>
          <w:rFonts w:ascii="Times New Roman" w:hAnsi="Times New Roman"/>
          <w:noProof/>
        </w:rPr>
      </w:pPr>
      <w:r>
        <w:rPr>
          <w:rFonts w:ascii="Times New Roman" w:hAnsi="Times New Roman"/>
          <w:noProof/>
        </w:rPr>
        <w:t xml:space="preserve">La 19a, 20a, 21a e 22a riunione delle persone di contatto del FEG, i corrispondenti per il Fondo degli Stati membri, si sono tenute in marzo e in ottobre del 2017 e negli stessi mesi del 2018. Una parte di ciascuna riunione è stata dedicata alle domande di contributo del FEG in corso e previste, al sistema per la gestione dei fondi nell'Unione europea (SFC2014), alla valutazione intermedia del FEG 2014-2020, alle questioni legali e di revisione contabile, al regolamento omnibus e alla proposta della Commissione per il regolamento per il periodo successivo al 2020, nonché a una serie di altre questioni pertinenti. </w:t>
      </w:r>
    </w:p>
    <w:p>
      <w:pPr>
        <w:jc w:val="both"/>
        <w:rPr>
          <w:rFonts w:ascii="Times New Roman" w:hAnsi="Times New Roman"/>
          <w:noProof/>
        </w:rPr>
      </w:pPr>
      <w:r>
        <w:rPr>
          <w:rFonts w:ascii="Times New Roman" w:hAnsi="Times New Roman"/>
          <w:noProof/>
        </w:rPr>
        <w:t>Inoltre, nel gennaio 2018 è stato organizzato un gruppo di lavoro straordinario di persone di contatto del FEG con l'obiettivo di discutere i possibili scenari per il FEG dopo il 2020.</w:t>
      </w:r>
    </w:p>
    <w:p>
      <w:pPr>
        <w:jc w:val="both"/>
        <w:rPr>
          <w:rFonts w:ascii="Times New Roman" w:hAnsi="Times New Roman"/>
          <w:noProof/>
        </w:rPr>
      </w:pPr>
      <w:r>
        <w:rPr>
          <w:rFonts w:ascii="Times New Roman" w:hAnsi="Times New Roman"/>
          <w:noProof/>
        </w:rPr>
        <w:t>Nel corso del 2017 e del 2018 sono stati organizzati quattro seminari di networking del FEG. Gli argomenti trattati sono stati i seguenti:</w:t>
      </w:r>
    </w:p>
    <w:p>
      <w:pPr>
        <w:pStyle w:val="ListParagraph"/>
        <w:numPr>
          <w:ilvl w:val="0"/>
          <w:numId w:val="14"/>
        </w:numPr>
        <w:jc w:val="both"/>
        <w:rPr>
          <w:noProof/>
        </w:rPr>
      </w:pPr>
      <w:r>
        <w:rPr>
          <w:noProof/>
        </w:rPr>
        <w:t xml:space="preserve">il ruolo e la rappresentanza dei beneficiari nella progettazione e nell'attuazione dei casi FEG; </w:t>
      </w:r>
    </w:p>
    <w:p>
      <w:pPr>
        <w:pStyle w:val="ListParagraph"/>
        <w:numPr>
          <w:ilvl w:val="0"/>
          <w:numId w:val="14"/>
        </w:numPr>
        <w:jc w:val="both"/>
        <w:rPr>
          <w:noProof/>
        </w:rPr>
      </w:pPr>
      <w:r>
        <w:rPr>
          <w:noProof/>
        </w:rPr>
        <w:t xml:space="preserve">il FEG in Finlandia: esperienza a sostegno della crescita delle imprese; </w:t>
      </w:r>
    </w:p>
    <w:p>
      <w:pPr>
        <w:pStyle w:val="ListParagraph"/>
        <w:numPr>
          <w:ilvl w:val="0"/>
          <w:numId w:val="14"/>
        </w:numPr>
        <w:jc w:val="both"/>
        <w:rPr>
          <w:noProof/>
        </w:rPr>
      </w:pPr>
      <w:r>
        <w:rPr>
          <w:noProof/>
        </w:rPr>
        <w:t xml:space="preserve">sinergie e complementarità tra il FEG e altri fondi UE; </w:t>
      </w:r>
    </w:p>
    <w:p>
      <w:pPr>
        <w:pStyle w:val="ListParagraph"/>
        <w:numPr>
          <w:ilvl w:val="0"/>
          <w:numId w:val="14"/>
        </w:numPr>
        <w:jc w:val="both"/>
        <w:rPr>
          <w:rFonts w:cs="Times New Roman"/>
          <w:noProof/>
        </w:rPr>
      </w:pPr>
      <w:r>
        <w:rPr>
          <w:noProof/>
        </w:rPr>
        <w:t xml:space="preserve">come può il FEG realizzare il pilastro europeo dei diritti sociali? </w:t>
      </w:r>
    </w:p>
    <w:p>
      <w:pPr>
        <w:jc w:val="both"/>
        <w:rPr>
          <w:rFonts w:ascii="Times New Roman" w:hAnsi="Times New Roman" w:cs="Times New Roman"/>
          <w:noProof/>
        </w:rPr>
      </w:pPr>
      <w:r>
        <w:rPr>
          <w:rFonts w:ascii="Times New Roman" w:hAnsi="Times New Roman"/>
          <w:noProof/>
        </w:rPr>
        <w:t xml:space="preserve">Inoltre i seminari sono stati integrati da visite di progetto che hanno offerto opportunità di scambio di esperienze tra pari e di incontro con i beneficiari. Tutti e quattro i seminari hanno registrato una buona partecipazione da parte dei rappresentanti degli Stati membri, delle parti interessate e dagli organismi di esecuzione del FEG. </w:t>
      </w:r>
    </w:p>
    <w:p>
      <w:pPr>
        <w:pStyle w:val="Heading3"/>
        <w:rPr>
          <w:noProof/>
        </w:rPr>
      </w:pPr>
      <w:bookmarkStart w:id="48" w:name="_Toc13653169"/>
      <w:bookmarkStart w:id="49" w:name="_Toc16946016"/>
      <w:r>
        <w:rPr>
          <w:noProof/>
        </w:rPr>
        <w:t>2.6.3. Sistema elettronico di scambio di dati (SFC2014)</w:t>
      </w:r>
      <w:bookmarkEnd w:id="48"/>
      <w:bookmarkEnd w:id="49"/>
      <w:r>
        <w:rPr>
          <w:noProof/>
        </w:rPr>
        <w:t xml:space="preserve"> </w:t>
      </w:r>
    </w:p>
    <w:p>
      <w:pPr>
        <w:spacing w:before="240"/>
        <w:jc w:val="both"/>
        <w:rPr>
          <w:rFonts w:ascii="Times New Roman" w:hAnsi="Times New Roman"/>
          <w:noProof/>
        </w:rPr>
      </w:pPr>
      <w:r>
        <w:rPr>
          <w:rFonts w:ascii="Times New Roman" w:hAnsi="Times New Roman"/>
          <w:noProof/>
        </w:rPr>
        <w:t xml:space="preserve">Nel 2014 la Commissione ha cercato di semplificare ulteriormente le procedure, includendo il FEG nel sistema elettronico di scambio di dati con gli Stati membri, il sistema per la gestione dei fondi nell'Unione europea (SFC2014). Dall'aprile del 2015 gli Stati membri presentano le domande di contributo del FEG online tramite una procedura guidata e dall'agosto 2016 presentano anche le relazioni finali del FEG tramite il sistema SFC2014. L'utilizzo del sistema per la gestione dei fondi nell'Unione europea per il FEG ha portato alla presentazione di domande più corrette e complete, dato che la piattaforma offre agli Stati membri la possibilità di condividere i dati con la Commissione prima della presentazione ufficiale di una domanda. Questa procedura facilita la raccolta e l'elaborazione dei dati, oltre a velocizzare la rendicontazione in merito ai risultati del FEG. La presentazione della domanda di sostegno del FEG attraverso il sistema per la gestione dei fondi nell'Unione europea ha contribuito a ridurre il tempo che intercorre tra la presentazione di una domanda da parte di uno Stato membro e l'adozione da parte del Parlamento europeo e del Consiglio della proposta presentata dalla Commissione. </w:t>
      </w:r>
    </w:p>
    <w:p>
      <w:pPr>
        <w:jc w:val="both"/>
        <w:rPr>
          <w:rFonts w:ascii="Times New Roman" w:hAnsi="Times New Roman"/>
          <w:noProof/>
        </w:rPr>
      </w:pPr>
      <w:r>
        <w:rPr>
          <w:rFonts w:ascii="Times New Roman" w:hAnsi="Times New Roman"/>
          <w:noProof/>
        </w:rPr>
        <w:t>Ulteriori miglioramenti del sistema per la gestione dei fondi nell'Unione europea realizzati nel 2017 e nel 2018 hanno compreso la conservazione di tutti i dati del FEG in un'unità centrale, la traduzione del modulo per la relazione finale del FEG in tutte le lingue ufficiali dell'Unione europea, lo sviluppo di un modulo di rendicontazione sullo status occupazionale 12 mesi dopo la presentazione della relazione finale e la possibilità per la Commissione di generare una relazione contenente i risultati in termini di occupazione utilizzando lo strumento di rendicontazione denominato LaunchPad.</w:t>
      </w:r>
    </w:p>
    <w:p>
      <w:pPr>
        <w:pStyle w:val="Heading3"/>
        <w:rPr>
          <w:strike/>
          <w:noProof/>
        </w:rPr>
      </w:pPr>
      <w:bookmarkStart w:id="50" w:name="_Toc13653170"/>
      <w:bookmarkStart w:id="51" w:name="_Toc16946017"/>
      <w:r>
        <w:rPr>
          <w:noProof/>
        </w:rPr>
        <w:t>2.6.4. Valutazione intermedia</w:t>
      </w:r>
      <w:r>
        <w:rPr>
          <w:rStyle w:val="FootnoteReference"/>
          <w:noProof/>
        </w:rPr>
        <w:footnoteReference w:id="21"/>
      </w:r>
      <w:r>
        <w:rPr>
          <w:noProof/>
        </w:rPr>
        <w:t xml:space="preserve"> del FEG 2014-2020</w:t>
      </w:r>
      <w:bookmarkEnd w:id="50"/>
      <w:bookmarkEnd w:id="51"/>
      <w:r>
        <w:rPr>
          <w:noProof/>
        </w:rPr>
        <w:t xml:space="preserve"> </w:t>
      </w:r>
    </w:p>
    <w:p>
      <w:pPr>
        <w:jc w:val="both"/>
        <w:rPr>
          <w:rFonts w:ascii="Times New Roman" w:hAnsi="Times New Roman"/>
          <w:noProof/>
        </w:rPr>
      </w:pPr>
      <w:r>
        <w:rPr>
          <w:rFonts w:ascii="Times New Roman" w:hAnsi="Times New Roman"/>
          <w:noProof/>
        </w:rPr>
        <w:t>Ai sensi dell'articolo 20 del regolamento (UE) n. 1309/2013, la Commissione ha svolto, di propria iniziativa, una valutazione intermedia del FEG. Lo scopo della valutazione era esaminare l'efficacia, la sostenibilità, l'efficienza, la coerenza, la rilevanza e il valore aggiunto europeo del FEG. La valutazione intermedia è presentata sotto forma di documento di lavoro dei servizi della Commissione</w:t>
      </w:r>
      <w:r>
        <w:rPr>
          <w:rStyle w:val="FootnoteReference"/>
          <w:rFonts w:ascii="Times New Roman" w:hAnsi="Times New Roman"/>
          <w:noProof/>
        </w:rPr>
        <w:footnoteReference w:id="22"/>
      </w:r>
      <w:r>
        <w:rPr>
          <w:rFonts w:ascii="Times New Roman" w:hAnsi="Times New Roman"/>
          <w:noProof/>
        </w:rPr>
        <w:t xml:space="preserve"> basato su uno studio di valutazione di un contraente esterno</w:t>
      </w:r>
      <w:r>
        <w:rPr>
          <w:rStyle w:val="FootnoteReference"/>
          <w:rFonts w:ascii="Times New Roman" w:hAnsi="Times New Roman"/>
          <w:noProof/>
        </w:rPr>
        <w:footnoteReference w:id="23"/>
      </w:r>
      <w:r>
        <w:rPr>
          <w:rFonts w:ascii="Times New Roman" w:hAnsi="Times New Roman"/>
          <w:noProof/>
        </w:rPr>
        <w:t xml:space="preserve"> condotto nel 2016 e coperto dal bilancio per l'assistenza tecnica. Gli esiti e le raccomandazioni dei valutatori sono stati presentati alle parti interessate del FEG durante la riunione delle persone di contatto tenutasi a Tallinn il 19 ottobre 2017. La relazione finale presenta una serie di informazioni qualitative e quantitative. </w:t>
      </w:r>
    </w:p>
    <w:p>
      <w:pPr>
        <w:jc w:val="both"/>
        <w:rPr>
          <w:rFonts w:ascii="Times New Roman" w:hAnsi="Times New Roman"/>
          <w:noProof/>
        </w:rPr>
      </w:pPr>
      <w:r>
        <w:rPr>
          <w:rFonts w:ascii="Times New Roman" w:hAnsi="Times New Roman"/>
          <w:noProof/>
        </w:rPr>
        <w:t>I principali risultati della valutazione intermedia sono stati sintetizzati nella relazione della Commissione</w:t>
      </w:r>
      <w:r>
        <w:rPr>
          <w:rStyle w:val="FootnoteReference"/>
          <w:rFonts w:ascii="Times New Roman" w:hAnsi="Times New Roman"/>
          <w:noProof/>
        </w:rPr>
        <w:footnoteReference w:id="24"/>
      </w:r>
      <w:r>
        <w:rPr>
          <w:rFonts w:ascii="Times New Roman" w:hAnsi="Times New Roman"/>
          <w:noProof/>
        </w:rPr>
        <w:t xml:space="preserve"> e utilizzati come contributi per la proposta di regolamento del Parlamento europeo e del Consiglio sul Fondo europeo di adeguamento alla globalizzazione, pubblicata il 30 maggio 2018</w:t>
      </w:r>
      <w:r>
        <w:rPr>
          <w:rStyle w:val="FootnoteReference"/>
          <w:rFonts w:ascii="Times New Roman" w:hAnsi="Times New Roman"/>
          <w:noProof/>
        </w:rPr>
        <w:footnoteReference w:id="25"/>
      </w:r>
      <w:r>
        <w:rPr>
          <w:rFonts w:ascii="Times New Roman" w:hAnsi="Times New Roman"/>
          <w:noProof/>
        </w:rPr>
        <w:t>.</w:t>
      </w:r>
    </w:p>
    <w:p>
      <w:pPr>
        <w:jc w:val="both"/>
        <w:rPr>
          <w:rFonts w:ascii="Times New Roman" w:hAnsi="Times New Roman" w:cs="Times New Roman"/>
          <w:noProof/>
        </w:rPr>
      </w:pPr>
      <w:r>
        <w:rPr>
          <w:rFonts w:ascii="Times New Roman" w:hAnsi="Times New Roman"/>
          <w:noProof/>
        </w:rPr>
        <w:t xml:space="preserve">La valutazione intermedia della Commissione ha concluso che il FEG ha creato un effettivo valore aggiunto europeo aumentando il numero e la varietà dei servizi offerti ai lavoratori licenziati, nonché il loro livello di intensità. L'assistenza offerta ha contribuito a rafforzare l'autostima dei beneficiari, che hanno poi adottato un approccio più proattivo alla ricerca di lavoro. Anche il FEG si è dimostrato efficace. Rispetto al precedente periodo di finanziamento, il tasso di reinserimento dei lavoratori licenziati nel mercato del lavoro è migliorato passando dal 49 % al 56 %. </w:t>
      </w:r>
    </w:p>
    <w:p>
      <w:pPr>
        <w:jc w:val="both"/>
        <w:rPr>
          <w:rFonts w:ascii="Times New Roman" w:hAnsi="Times New Roman" w:cs="Times New Roman"/>
          <w:noProof/>
        </w:rPr>
      </w:pPr>
      <w:r>
        <w:rPr>
          <w:rFonts w:ascii="Times New Roman" w:hAnsi="Times New Roman"/>
          <w:noProof/>
        </w:rPr>
        <w:t xml:space="preserve">Secondo la valutazione intermedia, sono necessari ulteriori miglioramenti in relazione alla durata del processo decisionale e alla documentazione da presentare unitamente alla domanda. I termini "globalizzazione" e "crisi economica" non sono chiaramente definiti e gli Stati membri non sanno come motivare una domanda. In ragione delle modalità di evoluzione della globalizzazione, che rendono difficile individuare un unico fattore specifico che ha portato a un evento di ristrutturazione, la valutazione si chiede se la mobilitazione dell'assistenza del FEG debba dipendere dalla causa dei licenziamenti. Considerando che molti posti di lavoro vengono persi a causa di altri fattori, quali ad esempio i cambiamenti tecnologici, ampliare l'ambito di applicazione sembrerebbe essere più inclusivo. </w:t>
      </w:r>
    </w:p>
    <w:p>
      <w:pPr>
        <w:pStyle w:val="Heading1"/>
        <w:spacing w:after="100" w:afterAutospacing="1"/>
        <w:rPr>
          <w:noProof/>
        </w:rPr>
      </w:pPr>
      <w:bookmarkStart w:id="52" w:name="_Toc13653171"/>
      <w:bookmarkStart w:id="53" w:name="_Toc16946018"/>
      <w:r>
        <w:rPr>
          <w:noProof/>
        </w:rPr>
        <w:t>3. Sviluppo della politica del FEG</w:t>
      </w:r>
      <w:bookmarkEnd w:id="52"/>
      <w:bookmarkEnd w:id="53"/>
    </w:p>
    <w:p>
      <w:pPr>
        <w:pStyle w:val="Heading2"/>
        <w:rPr>
          <w:noProof/>
          <w:color w:val="auto"/>
        </w:rPr>
      </w:pPr>
      <w:bookmarkStart w:id="54" w:name="_Toc13653172"/>
      <w:bookmarkStart w:id="55" w:name="_Toc16946019"/>
      <w:r>
        <w:rPr>
          <w:noProof/>
        </w:rPr>
        <w:t xml:space="preserve">3.1. </w:t>
      </w:r>
      <w:r>
        <w:rPr>
          <w:noProof/>
          <w:color w:val="auto"/>
        </w:rPr>
        <w:t>Modifica del regolamento (UE) 1309/2013 nel contesto del regolamento (UE) 2018/1046</w:t>
      </w:r>
      <w:r>
        <w:rPr>
          <w:rStyle w:val="FootnoteReference"/>
          <w:noProof/>
          <w:color w:val="auto"/>
          <w:sz w:val="22"/>
        </w:rPr>
        <w:footnoteReference w:id="26"/>
      </w:r>
      <w:bookmarkEnd w:id="54"/>
      <w:bookmarkEnd w:id="55"/>
      <w:r>
        <w:rPr>
          <w:noProof/>
          <w:color w:val="auto"/>
        </w:rPr>
        <w:t xml:space="preserve"> </w:t>
      </w:r>
    </w:p>
    <w:p>
      <w:pPr>
        <w:pStyle w:val="FootnoteText"/>
        <w:spacing w:line="276" w:lineRule="auto"/>
        <w:jc w:val="both"/>
        <w:rPr>
          <w:rFonts w:cs="Times New Roman"/>
          <w:noProof/>
          <w:sz w:val="22"/>
          <w:szCs w:val="22"/>
        </w:rPr>
      </w:pPr>
      <w:r>
        <w:rPr>
          <w:noProof/>
        </w:rPr>
        <w:t xml:space="preserve">Nel contesto di una modifica più ampia delle regole finanziarie dell'UE, </w:t>
      </w:r>
      <w:r>
        <w:rPr>
          <w:noProof/>
          <w:sz w:val="22"/>
        </w:rPr>
        <w:t xml:space="preserve">il regolamento (UE, Euratom) 2018/1046 del Parlamento europeo e del Consiglio, del 18 luglio 2018, che stabilisce le regole finanziarie applicabili al bilancio generale dell'Unione, che modifica i regolamenti (UE) n. 1296/2013, (UE) n. 1301/2013, (UE) n. 1303/2013, (UE) n. 1304/2013, (UE) n. 1309/2013, (UE) n. 1316/2013, (UE) n. 223/2014, (UE) n. 283/2014 e la decisione n. 541/2014/UE e abroga il regolamento </w:t>
      </w:r>
      <w:r>
        <w:rPr>
          <w:noProof/>
        </w:rPr>
        <w:t>(UE, Euratom) n. </w:t>
      </w:r>
      <w:r>
        <w:rPr>
          <w:noProof/>
          <w:sz w:val="22"/>
        </w:rPr>
        <w:t>966/2012, anche talune disposizioni del regolamento (UE) n. 1309/2013 sono state rivedute.</w:t>
      </w:r>
    </w:p>
    <w:p>
      <w:pPr>
        <w:pStyle w:val="Default"/>
        <w:jc w:val="both"/>
        <w:rPr>
          <w:rFonts w:ascii="Times New Roman" w:hAnsi="Times New Roman" w:cs="Times New Roman"/>
          <w:noProof/>
          <w:color w:val="auto"/>
        </w:rPr>
      </w:pPr>
    </w:p>
    <w:p>
      <w:pPr>
        <w:jc w:val="both"/>
        <w:rPr>
          <w:rFonts w:ascii="Times New Roman" w:hAnsi="Times New Roman" w:cs="Times New Roman"/>
          <w:noProof/>
        </w:rPr>
      </w:pPr>
      <w:r>
        <w:rPr>
          <w:rFonts w:ascii="Times New Roman" w:hAnsi="Times New Roman"/>
          <w:noProof/>
        </w:rPr>
        <w:t>Il regolamento FEG originario prevedeva una deroga destinata a consentire il sostegno a favore dei NEET fino alla fine del 2017. Il regolamento FEG modificato</w:t>
      </w:r>
      <w:r>
        <w:rPr>
          <w:rStyle w:val="FootnoteReference"/>
          <w:rFonts w:ascii="Times New Roman" w:hAnsi="Times New Roman"/>
          <w:noProof/>
        </w:rPr>
        <w:footnoteReference w:id="27"/>
      </w:r>
      <w:r>
        <w:rPr>
          <w:rFonts w:ascii="Times New Roman" w:hAnsi="Times New Roman"/>
          <w:noProof/>
        </w:rPr>
        <w:t xml:space="preserve"> continua a fornire assistenza ai NEET fino alla fine del 2020 nelle regioni in cui il tasso di disoccupazione giovanile è superiore al 20 %. Inoltre, prevede un'estensione del sostegno a favore delle regioni colpite da un gran numero di esuberi e nelle quali le piccole e medie imprese costituiscono il principale o l'unico tipo di impresa.</w:t>
      </w:r>
    </w:p>
    <w:p>
      <w:pPr>
        <w:pStyle w:val="Heading2"/>
        <w:rPr>
          <w:strike/>
          <w:noProof/>
        </w:rPr>
      </w:pPr>
      <w:bookmarkStart w:id="56" w:name="_Toc13653173"/>
      <w:bookmarkStart w:id="57" w:name="_Toc16946020"/>
      <w:r>
        <w:rPr>
          <w:noProof/>
        </w:rPr>
        <w:t>3.2. Proposta legislativa per il FEG post-2020</w:t>
      </w:r>
      <w:r>
        <w:rPr>
          <w:rStyle w:val="FootnoteReference"/>
          <w:noProof/>
        </w:rPr>
        <w:footnoteReference w:id="28"/>
      </w:r>
      <w:bookmarkEnd w:id="56"/>
      <w:bookmarkEnd w:id="57"/>
    </w:p>
    <w:p>
      <w:pPr>
        <w:jc w:val="both"/>
        <w:rPr>
          <w:rFonts w:ascii="Times New Roman" w:hAnsi="Times New Roman" w:cs="Times New Roman"/>
          <w:noProof/>
          <w:color w:val="000000" w:themeColor="text1"/>
        </w:rPr>
      </w:pPr>
      <w:r>
        <w:rPr>
          <w:rFonts w:ascii="Times New Roman" w:hAnsi="Times New Roman"/>
          <w:noProof/>
          <w:color w:val="000000" w:themeColor="text1"/>
        </w:rPr>
        <w:t>Sulla base dei risultati della valutazione intermedia del FEG, la Commissione ha presentato una proposta legislativa per il FEG per il periodo successivo al 2020, preceduta da una valutazione dell'impatto</w:t>
      </w:r>
      <w:r>
        <w:rPr>
          <w:noProof/>
          <w:vertAlign w:val="superscript"/>
        </w:rPr>
        <w:footnoteReference w:id="29"/>
      </w:r>
      <w:r>
        <w:rPr>
          <w:rFonts w:ascii="Times New Roman" w:hAnsi="Times New Roman"/>
          <w:noProof/>
          <w:color w:val="000000" w:themeColor="text1"/>
        </w:rPr>
        <w:t xml:space="preserve">. La Commissione ha condotto questa valutazione dell'impatto comprendente tutti i fondi pertinenti nel settore dell'occupazione e degli affari sociali. Tali fondi svolgono un ruolo fondamentale ai fini della realizzazione del pilastro europeo dei diritti sociali e delle priorità sociali e occupazionali approvate dal processo di governance economica europea: </w:t>
      </w:r>
    </w:p>
    <w:p>
      <w:pPr>
        <w:pStyle w:val="ListParagraph"/>
        <w:numPr>
          <w:ilvl w:val="0"/>
          <w:numId w:val="27"/>
        </w:numPr>
        <w:jc w:val="both"/>
        <w:rPr>
          <w:rFonts w:cs="Times New Roman"/>
          <w:noProof/>
        </w:rPr>
      </w:pPr>
      <w:r>
        <w:rPr>
          <w:noProof/>
        </w:rPr>
        <w:t xml:space="preserve">il Fondo sociale europeo (FSE); </w:t>
      </w:r>
    </w:p>
    <w:p>
      <w:pPr>
        <w:pStyle w:val="ListParagraph"/>
        <w:numPr>
          <w:ilvl w:val="0"/>
          <w:numId w:val="27"/>
        </w:numPr>
        <w:jc w:val="both"/>
        <w:rPr>
          <w:rFonts w:cs="Times New Roman"/>
          <w:noProof/>
        </w:rPr>
      </w:pPr>
      <w:r>
        <w:rPr>
          <w:noProof/>
        </w:rPr>
        <w:t xml:space="preserve">l'iniziativa a favore dell'occupazione giovanile (IOG); </w:t>
      </w:r>
    </w:p>
    <w:p>
      <w:pPr>
        <w:pStyle w:val="ListParagraph"/>
        <w:numPr>
          <w:ilvl w:val="0"/>
          <w:numId w:val="27"/>
        </w:numPr>
        <w:jc w:val="both"/>
        <w:rPr>
          <w:rFonts w:cs="Times New Roman"/>
          <w:noProof/>
        </w:rPr>
      </w:pPr>
      <w:r>
        <w:rPr>
          <w:noProof/>
        </w:rPr>
        <w:t>il Fondo di aiuti europei agli indigenti (FEAD);</w:t>
      </w:r>
    </w:p>
    <w:p>
      <w:pPr>
        <w:pStyle w:val="ListParagraph"/>
        <w:numPr>
          <w:ilvl w:val="0"/>
          <w:numId w:val="27"/>
        </w:numPr>
        <w:jc w:val="both"/>
        <w:rPr>
          <w:rFonts w:cs="Times New Roman"/>
          <w:noProof/>
        </w:rPr>
      </w:pPr>
      <w:r>
        <w:rPr>
          <w:noProof/>
        </w:rPr>
        <w:t>il Fondo europeo di adeguamento alla globalizzazione (FEG);</w:t>
      </w:r>
    </w:p>
    <w:p>
      <w:pPr>
        <w:pStyle w:val="ListParagraph"/>
        <w:numPr>
          <w:ilvl w:val="0"/>
          <w:numId w:val="27"/>
        </w:numPr>
        <w:jc w:val="both"/>
        <w:rPr>
          <w:rFonts w:cs="Times New Roman"/>
          <w:noProof/>
        </w:rPr>
      </w:pPr>
      <w:r>
        <w:rPr>
          <w:noProof/>
        </w:rPr>
        <w:t xml:space="preserve">il programma dell'UE per la salute; e </w:t>
      </w:r>
    </w:p>
    <w:p>
      <w:pPr>
        <w:pStyle w:val="ListParagraph"/>
        <w:numPr>
          <w:ilvl w:val="0"/>
          <w:numId w:val="27"/>
        </w:numPr>
        <w:jc w:val="both"/>
        <w:rPr>
          <w:rFonts w:cs="Times New Roman"/>
          <w:noProof/>
        </w:rPr>
      </w:pPr>
      <w:r>
        <w:rPr>
          <w:noProof/>
        </w:rPr>
        <w:t>il programma dell'Unione europea per l'occupazione e l'innovazione sociale (EaSI).</w:t>
      </w:r>
    </w:p>
    <w:p>
      <w:pPr>
        <w:jc w:val="both"/>
        <w:rPr>
          <w:rFonts w:ascii="Times New Roman" w:hAnsi="Times New Roman" w:cs="Times New Roman"/>
          <w:noProof/>
        </w:rPr>
      </w:pPr>
      <w:r>
        <w:rPr>
          <w:rFonts w:ascii="Times New Roman" w:hAnsi="Times New Roman"/>
          <w:noProof/>
        </w:rPr>
        <w:t xml:space="preserve">Poiché i fondi si completano a vicenda nel contribuire al medesimo obiettivo politico, la valutazione dell'impatto li ha presi in considerazione congiuntamente o in base alle loro proprietà specifiche, a seconda dei casi. </w:t>
      </w:r>
    </w:p>
    <w:p>
      <w:pPr>
        <w:pStyle w:val="ListParagraph"/>
        <w:ind w:left="0"/>
        <w:jc w:val="both"/>
        <w:rPr>
          <w:rFonts w:cs="Times New Roman"/>
          <w:noProof/>
        </w:rPr>
      </w:pPr>
      <w:r>
        <w:rPr>
          <w:noProof/>
        </w:rPr>
        <w:t xml:space="preserve">La valutazione dell'impatto ha esaminato l'opzione di fondere il FEG con gli altri fondi, tuttavia al fine di mantenere la visibilità del fondo, lo studio ha suggerito di mantenere il FEG come fondo separato. </w:t>
      </w:r>
    </w:p>
    <w:p>
      <w:pPr>
        <w:pStyle w:val="ListParagraph"/>
        <w:ind w:left="0"/>
        <w:jc w:val="both"/>
        <w:rPr>
          <w:rFonts w:cs="Times New Roman"/>
          <w:noProof/>
        </w:rPr>
      </w:pPr>
    </w:p>
    <w:p>
      <w:pPr>
        <w:pStyle w:val="ListParagraph"/>
        <w:ind w:left="0"/>
        <w:jc w:val="both"/>
        <w:rPr>
          <w:rFonts w:cs="Times New Roman"/>
          <w:noProof/>
        </w:rPr>
      </w:pPr>
      <w:r>
        <w:rPr>
          <w:noProof/>
        </w:rPr>
        <w:t>La Commissione ha tenuto conto degli esiti principali della valutazione dell'impatto nella sua proposta di regolamento per il periodo successivo al 2020.</w:t>
      </w:r>
    </w:p>
    <w:p>
      <w:pPr>
        <w:jc w:val="both"/>
        <w:rPr>
          <w:rFonts w:ascii="Times New Roman" w:hAnsi="Times New Roman" w:cs="Times New Roman"/>
          <w:noProof/>
        </w:rPr>
      </w:pPr>
      <w:r>
        <w:rPr>
          <w:rFonts w:ascii="Times New Roman" w:hAnsi="Times New Roman"/>
          <w:noProof/>
        </w:rPr>
        <w:t>Dato che l'obiettivo principale del FEG consiste nel fornire rapidamente un sostegno finanziario in situazioni di urgenza e in circostanze impreviste specifiche, la Commissione propone di mantenere il fondo come strumento flessibile e speciale al di fuori dei massimali di bilancio del quadro finanziario pluriennale. Il FEG non dispone quindi di un bilancio annuale che si prevede di spendere, bensì di un finanziamento fino a un massimale annuo che può essere mobilitato in caso di necessità. La Commissione propone che l'importo massimo che potrebbe essere utilizzato dal FEG per il periodo 2021-2027 sia pari a 1,578 miliardi di EUR (secondo i prezzi correnti) con una media annua di 225 milioni di EUR (secondo i prezzi correnti).</w:t>
      </w:r>
    </w:p>
    <w:p>
      <w:pPr>
        <w:jc w:val="both"/>
        <w:rPr>
          <w:rFonts w:ascii="Times New Roman" w:hAnsi="Times New Roman" w:cs="Times New Roman"/>
          <w:noProof/>
        </w:rPr>
      </w:pPr>
      <w:r>
        <w:rPr>
          <w:rFonts w:ascii="Times New Roman" w:hAnsi="Times New Roman"/>
          <w:noProof/>
        </w:rPr>
        <w:t xml:space="preserve">La proposta della Commissione contiene un importo massimo disponibile per il FEG per il periodo 2021-2027. La Commissione propone tuttavia un regolamento FEG con durata indeterminata, non limitata a quella del quadro finanziario pluriennale. Ciò semplificherà il processo legislativo e consentirà una certa flessibilità per concordare l'importo massimo per il futuro periodo di programmazione in funzione delle esigenze di un mercato del lavoro in costante evoluzione. </w:t>
      </w:r>
    </w:p>
    <w:p>
      <w:pPr>
        <w:jc w:val="both"/>
        <w:rPr>
          <w:rFonts w:ascii="Times New Roman" w:hAnsi="Times New Roman" w:cs="Times New Roman"/>
          <w:noProof/>
        </w:rPr>
      </w:pPr>
      <w:r>
        <w:rPr>
          <w:rFonts w:ascii="Times New Roman" w:hAnsi="Times New Roman"/>
          <w:noProof/>
        </w:rPr>
        <w:t xml:space="preserve">Al fine di garantire che il FEG resti idoneo a rispondere ai cambiamenti del mercato del lavoro e alle sfide economiche, la Commissione propone i seguenti miglioramenti: </w:t>
      </w:r>
    </w:p>
    <w:p>
      <w:pPr>
        <w:pStyle w:val="Briefingtext"/>
        <w:numPr>
          <w:ilvl w:val="0"/>
          <w:numId w:val="23"/>
        </w:numPr>
        <w:rPr>
          <w:rFonts w:ascii="Times New Roman" w:hAnsi="Times New Roman" w:cs="Times New Roman"/>
          <w:noProof/>
        </w:rPr>
      </w:pPr>
      <w:r>
        <w:rPr>
          <w:rFonts w:ascii="Times New Roman" w:hAnsi="Times New Roman"/>
          <w:noProof/>
        </w:rPr>
        <w:t xml:space="preserve">ambito di applicazione più ampio - lavoratori che perdono il posto di lavoro a causa di importanti eventi di ristrutturazione inattesi, causati non soltanto dalle sfide legate alla globalizzazione o da crisi finanziarie o economiche, ma anche dalla transizione verso un'economia a basse emissioni di carbonio, dalla digitalizzazione o dall'automazione; </w:t>
      </w:r>
    </w:p>
    <w:p>
      <w:pPr>
        <w:pStyle w:val="Briefingtext"/>
        <w:numPr>
          <w:ilvl w:val="0"/>
          <w:numId w:val="23"/>
        </w:numPr>
        <w:rPr>
          <w:rFonts w:ascii="Times New Roman" w:hAnsi="Times New Roman" w:cs="Times New Roman"/>
          <w:noProof/>
        </w:rPr>
      </w:pPr>
      <w:r>
        <w:rPr>
          <w:rFonts w:ascii="Times New Roman" w:hAnsi="Times New Roman"/>
          <w:noProof/>
        </w:rPr>
        <w:t>riduzione della soglia dei lavoratori che hanno perso il lavoro (da 500 a 250) - in maniera da rispecchiare meglio la dimensione media delle imprese odierne, nelle quali in molti Stati membri la maggior parte dei lavoratori è occupata da piccole e medie imprese. Il licenziamento di 250 lavoratori ha un impatto significativo sul mercato del lavoro nella maggior parte delle regioni;</w:t>
      </w:r>
    </w:p>
    <w:p>
      <w:pPr>
        <w:pStyle w:val="ListParagraph"/>
        <w:numPr>
          <w:ilvl w:val="0"/>
          <w:numId w:val="23"/>
        </w:numPr>
        <w:jc w:val="both"/>
        <w:rPr>
          <w:rFonts w:cs="Times New Roman"/>
          <w:noProof/>
        </w:rPr>
      </w:pPr>
      <w:r>
        <w:rPr>
          <w:noProof/>
        </w:rPr>
        <w:t xml:space="preserve">l'allineamento del tasso di cofinanziamento del FEG (attualmente pari al 60 %) al tasso di cofinanziamento FSE+ più elevato per lo Stato membro in questione incoraggerà i paesi a presentare domanda di finanziamento nella maniera più efficiente; </w:t>
      </w:r>
    </w:p>
    <w:p>
      <w:pPr>
        <w:pStyle w:val="ListParagraph"/>
        <w:ind w:left="360"/>
        <w:jc w:val="both"/>
        <w:rPr>
          <w:rFonts w:cs="Times New Roman"/>
          <w:noProof/>
        </w:rPr>
      </w:pPr>
    </w:p>
    <w:p>
      <w:pPr>
        <w:pStyle w:val="ListParagraph"/>
        <w:numPr>
          <w:ilvl w:val="0"/>
          <w:numId w:val="15"/>
        </w:numPr>
        <w:jc w:val="both"/>
        <w:rPr>
          <w:rFonts w:cs="Times New Roman"/>
          <w:noProof/>
        </w:rPr>
      </w:pPr>
      <w:r>
        <w:rPr>
          <w:noProof/>
        </w:rPr>
        <w:t>processo più rapido di presentazione delle domande e di mobilitazione dei finanziamenti - si prevede che ciò riduca l'onere amministrativo legato all'ampia giustificazione di una domanda richiesta da parte degli Stati membri e a un processo decisionale più rapido.</w:t>
      </w:r>
    </w:p>
    <w:p>
      <w:pPr>
        <w:pStyle w:val="ListParagraph"/>
        <w:ind w:left="360"/>
        <w:jc w:val="both"/>
        <w:rPr>
          <w:rFonts w:cs="Times New Roman"/>
          <w:noProof/>
        </w:rPr>
      </w:pPr>
    </w:p>
    <w:p>
      <w:pPr>
        <w:pStyle w:val="ListParagraph"/>
        <w:ind w:left="0"/>
        <w:jc w:val="both"/>
        <w:rPr>
          <w:rFonts w:cs="Times New Roman"/>
          <w:noProof/>
        </w:rPr>
      </w:pPr>
      <w:r>
        <w:rPr>
          <w:noProof/>
        </w:rPr>
        <w:t>Al fine di analizzare meglio l'efficacia del FEG, la Commissione propone di estendere il numero di indicatori comuni concernenti le realizzazioni e i risultati, al fine di raccogliere dati di monitoraggio più dettagliati, in particolare per quanto concerne la categoria dei lavoratori (formazione professionale e istruzione), il loro status occupazionale e il tipo di lavoro trovato.</w:t>
      </w:r>
    </w:p>
    <w:p>
      <w:pPr>
        <w:pStyle w:val="ListParagraph"/>
        <w:ind w:left="360"/>
        <w:jc w:val="both"/>
        <w:rPr>
          <w:rFonts w:cs="Times New Roman"/>
          <w:noProof/>
        </w:rPr>
      </w:pPr>
    </w:p>
    <w:p>
      <w:pPr>
        <w:pStyle w:val="ListParagraph"/>
        <w:ind w:left="0"/>
        <w:rPr>
          <w:rFonts w:cs="Times New Roman"/>
          <w:noProof/>
        </w:rPr>
      </w:pPr>
    </w:p>
    <w:sectPr>
      <w:headerReference w:type="even" r:id="rId77"/>
      <w:headerReference w:type="default" r:id="rId78"/>
      <w:footerReference w:type="even" r:id="rId79"/>
      <w:footerReference w:type="default" r:id="rId80"/>
      <w:headerReference w:type="first" r:id="rId81"/>
      <w:footerReference w:type="first" r:id="rId82"/>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55289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55038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93255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IT</w:t>
    </w:r>
    <w:r>
      <w:rPr>
        <w:rFonts w:ascii="Arial" w:hAnsi="Arial" w:cs="Arial"/>
        <w:b/>
        <w:sz w:val="48"/>
      </w:rPr>
      <w:tab/>
    </w:r>
    <w:r>
      <w:rPr>
        <w:rFonts w:ascii="Arial" w:hAnsi="Arial" w:cs="Arial"/>
        <w:b/>
        <w:sz w:val="48"/>
      </w:rPr>
      <w:tab/>
    </w:r>
    <w:r>
      <w:tab/>
    </w:r>
    <w:r>
      <w:rPr>
        <w:rFonts w:ascii="Arial" w:hAnsi="Arial" w:cs="Arial"/>
        <w:b/>
        <w:sz w:val="48"/>
      </w:rPr>
      <w:t>IT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01922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60664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7024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09278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sz w:val="18"/>
          <w:szCs w:val="18"/>
        </w:rPr>
      </w:pPr>
      <w:r>
        <w:rPr>
          <w:rStyle w:val="FootnoteReference"/>
        </w:rPr>
        <w:footnoteRef/>
      </w:r>
      <w:r>
        <w:t xml:space="preserve"> </w:t>
      </w:r>
      <w:r>
        <w:rPr>
          <w:sz w:val="18"/>
        </w:rPr>
        <w:t>Comprese due domande presentate nel 2016.</w:t>
      </w:r>
    </w:p>
  </w:footnote>
  <w:footnote w:id="2">
    <w:p>
      <w:pPr>
        <w:pStyle w:val="EndnoteText"/>
        <w:rPr>
          <w:sz w:val="18"/>
          <w:szCs w:val="18"/>
        </w:rPr>
      </w:pPr>
      <w:r>
        <w:rPr>
          <w:rStyle w:val="FootnoteReference"/>
        </w:rPr>
        <w:footnoteRef/>
      </w:r>
      <w:r>
        <w:t xml:space="preserve"> </w:t>
      </w:r>
      <w:r>
        <w:rPr>
          <w:sz w:val="18"/>
        </w:rPr>
        <w:t xml:space="preserve">Comunicazione: "Un bilancio moderno al servizio di un'Unione che protegge, che dà forza, che difende", COM(2018) 321, disponibile all'indirizzo: </w:t>
      </w:r>
      <w:hyperlink r:id="rId1">
        <w:r>
          <w:rPr>
            <w:rStyle w:val="Hyperlink"/>
            <w:color w:val="auto"/>
            <w:sz w:val="18"/>
          </w:rPr>
          <w:t>https://eur-lex.europa.eu/legal-content/IT/TXT/?uri=CELEX:52018DC0321</w:t>
        </w:r>
      </w:hyperlink>
      <w:r>
        <w:t>.</w:t>
      </w:r>
      <w:hyperlink r:id="rId2"/>
    </w:p>
    <w:p>
      <w:pPr>
        <w:pStyle w:val="FootnoteText"/>
      </w:pPr>
    </w:p>
  </w:footnote>
  <w:footnote w:id="3">
    <w:p>
      <w:pPr>
        <w:pStyle w:val="FootnoteText"/>
        <w:jc w:val="both"/>
        <w:rPr>
          <w:sz w:val="18"/>
          <w:szCs w:val="18"/>
        </w:rPr>
      </w:pPr>
      <w:r>
        <w:rPr>
          <w:rStyle w:val="FootnoteReference"/>
        </w:rPr>
        <w:footnoteRef/>
      </w:r>
      <w:r>
        <w:t xml:space="preserve"> </w:t>
      </w:r>
      <w:r>
        <w:rPr>
          <w:sz w:val="18"/>
        </w:rPr>
        <w:t>Istituito dal regolamento (CE) n. 1927/2006 del Parlamento europeo e del Consiglio, del 20 dicembre 2006, che istituisce un Fondo europeo di adeguamento alla globalizzazione, modificato dal regolamento (CE) n. 546/2009 del Parlamento europeo e del Consiglio, del 18 giugno 2006, e soggetto al regolamento (UE) n. 1309/2013 del Parlamento europeo e del Consiglio, del 17 dicembre 2013, sul Fondo europeo di adeguamento alla globalizzazione (2014-2020) e che abroga il regolamento (CE) n. 1927/2006.</w:t>
      </w:r>
    </w:p>
  </w:footnote>
  <w:footnote w:id="4">
    <w:p>
      <w:pPr>
        <w:pStyle w:val="FootnoteText"/>
        <w:jc w:val="both"/>
        <w:rPr>
          <w:sz w:val="18"/>
          <w:szCs w:val="18"/>
        </w:rPr>
      </w:pPr>
      <w:r>
        <w:rPr>
          <w:rStyle w:val="FootnoteReference"/>
        </w:rPr>
        <w:footnoteRef/>
      </w:r>
      <w:r>
        <w:t xml:space="preserve"> </w:t>
      </w:r>
      <w:r>
        <w:rPr>
          <w:noProof/>
          <w:sz w:val="18"/>
        </w:rPr>
        <w:t>L'articolo 4, paragrafo 1, lettera b), del regolamento FEG prevede il collocamento in esubero di almeno 500 lavoratori nell'arco di un periodo di riferimento di nove mesi, in imprese operanti nello stesso settore economico definito a livello delle divisioni NACE Rev. 2, in una regione o due regioni contigue di livello NUTS 2 in uno Stato membro. Due domande presentate sono state oggetto di deroga rispetto a tali criteri. Conformemente all'articolo 4, paragrafo 2, del regolamento FEG, ciò è stato giustificato da circostanze eccezionali e dal fatto che il caso si è verificato in un mercato del lavoro di dimensioni ridotte.</w:t>
      </w:r>
    </w:p>
  </w:footnote>
  <w:footnote w:id="5">
    <w:p>
      <w:pPr>
        <w:pStyle w:val="FootnoteText"/>
        <w:jc w:val="both"/>
      </w:pPr>
      <w:r>
        <w:rPr>
          <w:rStyle w:val="FootnoteReference"/>
        </w:rPr>
        <w:footnoteRef/>
      </w:r>
      <w:r>
        <w:t xml:space="preserve"> </w:t>
      </w:r>
      <w:r>
        <w:rPr>
          <w:sz w:val="18"/>
        </w:rPr>
        <w:t>Cfr. nota 4.</w:t>
      </w:r>
    </w:p>
  </w:footnote>
  <w:footnote w:id="6">
    <w:p>
      <w:pPr>
        <w:pStyle w:val="FootnoteText"/>
        <w:rPr>
          <w:sz w:val="18"/>
          <w:szCs w:val="18"/>
        </w:rPr>
      </w:pPr>
      <w:r>
        <w:rPr>
          <w:rStyle w:val="FootnoteReference"/>
        </w:rPr>
        <w:footnoteRef/>
      </w:r>
      <w:r>
        <w:t xml:space="preserve"> </w:t>
      </w:r>
      <w:r>
        <w:rPr>
          <w:sz w:val="18"/>
        </w:rPr>
        <w:t xml:space="preserve">NACE Rev. 2 - Classificazione statistica delle attività economiche nell'Unione europea: </w:t>
      </w:r>
      <w:hyperlink r:id="rId3">
        <w:r>
          <w:rPr>
            <w:rStyle w:val="Hyperlink"/>
            <w:color w:val="auto"/>
            <w:sz w:val="18"/>
          </w:rPr>
          <w:t>https://ec.europa.eu/eurostat/web/products-manuals-and-guidelines/-/KS-RA-07-015</w:t>
        </w:r>
      </w:hyperlink>
      <w:r>
        <w:t>.</w:t>
      </w:r>
    </w:p>
    <w:p>
      <w:pPr>
        <w:pStyle w:val="FootnoteText"/>
        <w:rPr>
          <w:sz w:val="18"/>
          <w:szCs w:val="18"/>
        </w:rPr>
      </w:pPr>
    </w:p>
  </w:footnote>
  <w:footnote w:id="7">
    <w:p>
      <w:pPr>
        <w:pStyle w:val="FootnoteText"/>
        <w:jc w:val="both"/>
        <w:rPr>
          <w:sz w:val="18"/>
          <w:szCs w:val="18"/>
        </w:rPr>
      </w:pPr>
      <w:r>
        <w:rPr>
          <w:rStyle w:val="FootnoteReference"/>
          <w:sz w:val="18"/>
        </w:rPr>
        <w:footnoteRef/>
      </w:r>
      <w:r>
        <w:rPr>
          <w:sz w:val="18"/>
        </w:rPr>
        <w:t xml:space="preserve"> Due di questi casi riguardavano tutti i lavoratori in esubero, il cui numero era comunque inferiore a 500, in quanto le domande erano state presentate a norma dell'articolo 4, paragrafo 2, del </w:t>
      </w:r>
      <w:r>
        <w:rPr>
          <w:color w:val="000000" w:themeColor="text1"/>
          <w:sz w:val="18"/>
        </w:rPr>
        <w:t>Regolamento (UE) n. 1309/2013.</w:t>
      </w:r>
    </w:p>
  </w:footnote>
  <w:footnote w:id="8">
    <w:p>
      <w:pPr>
        <w:pStyle w:val="FootnoteText"/>
        <w:rPr>
          <w:sz w:val="18"/>
          <w:szCs w:val="18"/>
        </w:rPr>
      </w:pPr>
      <w:r>
        <w:rPr>
          <w:rStyle w:val="FootnoteReference"/>
        </w:rPr>
        <w:footnoteRef/>
      </w:r>
      <w:r>
        <w:t xml:space="preserve"> </w:t>
      </w:r>
      <w:r>
        <w:rPr>
          <w:sz w:val="18"/>
        </w:rPr>
        <w:t xml:space="preserve">Le domande non contengono alcuna informazione sul profilo dei NEET, di conseguenza non è possibile effettuare una ripartizione per sesso, cittadinanza, età o disabilità. </w:t>
      </w:r>
    </w:p>
  </w:footnote>
  <w:footnote w:id="9">
    <w:p>
      <w:pPr>
        <w:pStyle w:val="FootnoteText"/>
        <w:rPr>
          <w:rStyle w:val="FootnoteReference"/>
          <w:sz w:val="18"/>
          <w:szCs w:val="18"/>
        </w:rPr>
      </w:pPr>
      <w:r>
        <w:rPr>
          <w:rStyle w:val="FootnoteReference"/>
          <w:sz w:val="18"/>
        </w:rPr>
        <w:footnoteRef/>
      </w:r>
      <w:r>
        <w:rPr>
          <w:rStyle w:val="FootnoteReference"/>
        </w:rPr>
        <w:t xml:space="preserve"> </w:t>
      </w:r>
      <w:r>
        <w:rPr>
          <w:sz w:val="18"/>
        </w:rPr>
        <w:t>Cfr. punto 2.7.4 sulla valutazione intermedia per il periodo 2014-2020.</w:t>
      </w:r>
    </w:p>
    <w:p>
      <w:pPr>
        <w:pStyle w:val="FootnoteText"/>
        <w:rPr>
          <w:sz w:val="18"/>
          <w:szCs w:val="18"/>
        </w:rPr>
      </w:pPr>
    </w:p>
    <w:p>
      <w:pPr>
        <w:pStyle w:val="FootnoteText"/>
      </w:pPr>
    </w:p>
  </w:footnote>
  <w:footnote w:id="10">
    <w:p>
      <w:pPr>
        <w:pStyle w:val="FootnoteText"/>
      </w:pPr>
      <w:r>
        <w:rPr>
          <w:rStyle w:val="FootnoteReference"/>
          <w:sz w:val="18"/>
        </w:rPr>
        <w:footnoteRef/>
      </w:r>
      <w:r>
        <w:t xml:space="preserve"> </w:t>
      </w:r>
      <w:r>
        <w:rPr>
          <w:sz w:val="18"/>
        </w:rPr>
        <w:t>Cfr. punto 2.7.4 sulla valutazione intermedia per il periodo 2014-2020.</w:t>
      </w:r>
    </w:p>
  </w:footnote>
  <w:footnote w:id="11">
    <w:p>
      <w:pPr>
        <w:pStyle w:val="FootnoteText"/>
        <w:jc w:val="both"/>
        <w:rPr>
          <w:sz w:val="18"/>
          <w:szCs w:val="18"/>
        </w:rPr>
      </w:pPr>
      <w:r>
        <w:rPr>
          <w:rStyle w:val="FootnoteReference"/>
          <w:sz w:val="18"/>
        </w:rPr>
        <w:footnoteRef/>
      </w:r>
      <w:r>
        <w:rPr>
          <w:rStyle w:val="FootnoteReference"/>
          <w:sz w:val="18"/>
        </w:rPr>
        <w:t xml:space="preserve"> </w:t>
      </w:r>
      <w:r>
        <w:rPr>
          <w:sz w:val="18"/>
        </w:rPr>
        <w:t xml:space="preserve">Il regolamento (UE) n. 1309/2013 </w:t>
      </w:r>
      <w:r>
        <w:rPr>
          <w:color w:val="000000" w:themeColor="text1"/>
          <w:sz w:val="18"/>
        </w:rPr>
        <w:t xml:space="preserve">ha fissato un tetto massimo pari al 35 % del costo totale dei servizi personalizzati. </w:t>
      </w:r>
    </w:p>
  </w:footnote>
  <w:footnote w:id="12">
    <w:p>
      <w:pPr>
        <w:pStyle w:val="FootnoteText"/>
      </w:pPr>
      <w:r>
        <w:rPr>
          <w:rStyle w:val="FootnoteReference"/>
          <w:sz w:val="18"/>
        </w:rPr>
        <w:footnoteRef/>
      </w:r>
      <w:r>
        <w:t xml:space="preserve"> </w:t>
      </w:r>
      <w:r>
        <w:rPr>
          <w:sz w:val="18"/>
        </w:rPr>
        <w:t>Il tasso di assorbimento è la percentuale del contributo finanziario del FEG spesa dallo Stato membro entro il periodo di 24 mesi specificato nella domanda</w:t>
      </w:r>
      <w:r>
        <w:t>.</w:t>
      </w:r>
    </w:p>
  </w:footnote>
  <w:footnote w:id="13">
    <w:p>
      <w:pPr>
        <w:pStyle w:val="FootnoteText"/>
        <w:jc w:val="both"/>
        <w:rPr>
          <w:sz w:val="18"/>
          <w:szCs w:val="18"/>
        </w:rPr>
      </w:pPr>
      <w:r>
        <w:rPr>
          <w:rStyle w:val="FootnoteReference"/>
          <w:sz w:val="18"/>
        </w:rPr>
        <w:footnoteRef/>
      </w:r>
      <w:r>
        <w:rPr>
          <w:sz w:val="18"/>
        </w:rPr>
        <w:t xml:space="preserve"> Tale importo non comprende le decisioni di assistenza tecnica su iniziativa della Commissione europea.</w:t>
      </w:r>
    </w:p>
  </w:footnote>
  <w:footnote w:id="14">
    <w:p>
      <w:pPr>
        <w:pStyle w:val="FootnoteText"/>
        <w:jc w:val="both"/>
        <w:rPr>
          <w:sz w:val="18"/>
          <w:szCs w:val="18"/>
        </w:rPr>
      </w:pPr>
      <w:r>
        <w:rPr>
          <w:rStyle w:val="FootnoteReference"/>
          <w:sz w:val="18"/>
        </w:rPr>
        <w:footnoteRef/>
      </w:r>
      <w:r>
        <w:rPr>
          <w:sz w:val="18"/>
        </w:rPr>
        <w:t xml:space="preserve"> Articolo 12 del regolamento (UE, Euratom) n. 1311/2013 del Consiglio, del 2 dicembre 2013, che stabilisce il quadro finanziario pluriennale per il periodo 2014-2020, </w:t>
      </w:r>
    </w:p>
  </w:footnote>
  <w:footnote w:id="15">
    <w:p>
      <w:pPr>
        <w:pStyle w:val="CommentText"/>
        <w:spacing w:after="0"/>
        <w:jc w:val="both"/>
        <w:rPr>
          <w:sz w:val="18"/>
          <w:szCs w:val="18"/>
        </w:rPr>
      </w:pPr>
      <w:r>
        <w:rPr>
          <w:rStyle w:val="FootnoteReference"/>
          <w:sz w:val="18"/>
        </w:rPr>
        <w:footnoteRef/>
      </w:r>
      <w:r>
        <w:rPr>
          <w:rStyle w:val="FootnoteReference"/>
          <w:sz w:val="18"/>
        </w:rPr>
        <w:t xml:space="preserve"> </w:t>
      </w:r>
      <w:r>
        <w:rPr>
          <w:sz w:val="18"/>
        </w:rPr>
        <w:t>Il contributo del FEG viene corrisposto agli Stati membri in una rata singola come prefinanziamento al 100 % entro 15 giorni dall'approvazione da parte dell'autorità di bilancio della decisione di mobilitazione del FEG.</w:t>
      </w:r>
    </w:p>
  </w:footnote>
  <w:footnote w:id="16">
    <w:p>
      <w:pPr>
        <w:pStyle w:val="FootnoteText"/>
        <w:rPr>
          <w:sz w:val="18"/>
          <w:szCs w:val="18"/>
        </w:rPr>
      </w:pPr>
      <w:r>
        <w:rPr>
          <w:rStyle w:val="FootnoteReference"/>
          <w:sz w:val="18"/>
        </w:rPr>
        <w:footnoteRef/>
      </w:r>
      <w:r>
        <w:rPr>
          <w:sz w:val="18"/>
        </w:rPr>
        <w:t xml:space="preserve"> 13 casi chiusi nel 2017 e nel 2018 sono stati presentati a norma del regolamento (CE) n. 1927/2006.</w:t>
      </w:r>
    </w:p>
  </w:footnote>
  <w:footnote w:id="17">
    <w:p>
      <w:pPr>
        <w:pStyle w:val="FootnoteText"/>
        <w:jc w:val="both"/>
      </w:pPr>
      <w:r>
        <w:rPr>
          <w:rStyle w:val="FootnoteReference"/>
          <w:sz w:val="18"/>
        </w:rPr>
        <w:footnoteRef/>
      </w:r>
      <w:r>
        <w:t xml:space="preserve"> </w:t>
      </w:r>
      <w:r>
        <w:rPr>
          <w:sz w:val="18"/>
        </w:rPr>
        <w:t>Cfr. definizione di cui alla nota 12.</w:t>
      </w:r>
    </w:p>
  </w:footnote>
  <w:footnote w:id="18">
    <w:p>
      <w:pPr>
        <w:pStyle w:val="FootnoteText"/>
        <w:rPr>
          <w:sz w:val="18"/>
          <w:szCs w:val="18"/>
        </w:rPr>
      </w:pPr>
      <w:r>
        <w:rPr>
          <w:rStyle w:val="FootnoteReference"/>
          <w:sz w:val="18"/>
        </w:rPr>
        <w:footnoteRef/>
      </w:r>
      <w:r>
        <w:t xml:space="preserve"> </w:t>
      </w:r>
      <w:r>
        <w:rPr>
          <w:sz w:val="18"/>
        </w:rPr>
        <w:t>Nel</w:t>
      </w:r>
      <w:r>
        <w:t xml:space="preserve"> </w:t>
      </w:r>
      <w:r>
        <w:rPr>
          <w:sz w:val="18"/>
        </w:rPr>
        <w:t xml:space="preserve">caso di Alitalia alcuni lavoratori hanno rifiutato di partecipare al sostegno attivo alla ricerca di lavoro, principalmente perché avevano già trovato un lavoro. Per due misure, gli organismi di attuazione non hanno richiesto il sostegno del FEG per il servizio erogato. </w:t>
      </w:r>
    </w:p>
  </w:footnote>
  <w:footnote w:id="19">
    <w:p>
      <w:pPr>
        <w:pStyle w:val="NormalWeb"/>
        <w:spacing w:before="0" w:beforeAutospacing="0" w:after="0" w:afterAutospacing="0"/>
        <w:rPr>
          <w:rFonts w:ascii="Arial" w:hAnsi="Arial" w:cs="Arial"/>
        </w:rPr>
      </w:pPr>
      <w:r>
        <w:rPr>
          <w:rStyle w:val="FootnoteReference"/>
          <w:sz w:val="18"/>
        </w:rPr>
        <w:footnoteRef/>
      </w:r>
      <w:r>
        <w:rPr>
          <w:sz w:val="18"/>
        </w:rPr>
        <w:t xml:space="preserve"> Documento disponibile al seguente indirizzo: </w:t>
      </w:r>
      <w:hyperlink r:id="rId4">
        <w:r>
          <w:rPr>
            <w:rStyle w:val="Hyperlink"/>
            <w:color w:val="auto"/>
            <w:sz w:val="18"/>
          </w:rPr>
          <w:t>https://publications.europa.eu/it/publication-detail/-/publication/8c4ba2de-ce2f-11e5-a4b5-01aa75ed71a1</w:t>
        </w:r>
      </w:hyperlink>
      <w:r>
        <w:t>.</w:t>
      </w:r>
      <w:hyperlink r:id="rId5"/>
      <w:r>
        <w:rPr>
          <w:rFonts w:ascii="Arial" w:hAnsi="Arial"/>
        </w:rPr>
        <w:t xml:space="preserve"> </w:t>
      </w:r>
    </w:p>
    <w:p>
      <w:pPr>
        <w:pStyle w:val="FootnoteText"/>
        <w:rPr>
          <w:rFonts w:ascii="Arial" w:hAnsi="Arial" w:cs="Arial"/>
        </w:rPr>
      </w:pPr>
    </w:p>
  </w:footnote>
  <w:footnote w:id="20">
    <w:p>
      <w:pPr>
        <w:pStyle w:val="FootnoteText"/>
        <w:rPr>
          <w:sz w:val="18"/>
          <w:szCs w:val="18"/>
        </w:rPr>
      </w:pPr>
      <w:r>
        <w:rPr>
          <w:rStyle w:val="FootnoteReference"/>
          <w:sz w:val="18"/>
        </w:rPr>
        <w:footnoteRef/>
      </w:r>
      <w:r>
        <w:rPr>
          <w:sz w:val="18"/>
        </w:rPr>
        <w:t xml:space="preserve"> Disponibile in 24 lingue dell'UE all'indirizzo: </w:t>
      </w:r>
      <w:hyperlink r:id="rId6">
        <w:r>
          <w:rPr>
            <w:rStyle w:val="Hyperlink"/>
            <w:color w:val="auto"/>
            <w:sz w:val="18"/>
          </w:rPr>
          <w:t>https://ec.europa.eu/social/main.jsp?catId=326&amp;langId=it</w:t>
        </w:r>
      </w:hyperlink>
      <w:r>
        <w:t>.</w:t>
      </w:r>
      <w:hyperlink r:id="rId7"/>
    </w:p>
    <w:p>
      <w:pPr>
        <w:pStyle w:val="FootnoteText"/>
        <w:rPr>
          <w:sz w:val="18"/>
          <w:szCs w:val="18"/>
        </w:rPr>
      </w:pPr>
    </w:p>
    <w:p>
      <w:pPr>
        <w:pStyle w:val="FootnoteText"/>
      </w:pPr>
    </w:p>
  </w:footnote>
  <w:footnote w:id="21">
    <w:p>
      <w:pPr>
        <w:pStyle w:val="NormalIndent1"/>
        <w:spacing w:before="0" w:after="0"/>
        <w:ind w:left="0"/>
        <w:rPr>
          <w:rFonts w:ascii="Times New Roman" w:hAnsi="Times New Roman"/>
          <w:color w:val="auto"/>
          <w:sz w:val="18"/>
          <w:szCs w:val="18"/>
        </w:rPr>
      </w:pPr>
      <w:r>
        <w:rPr>
          <w:rStyle w:val="FootnoteReference"/>
          <w:rFonts w:ascii="Times New Roman" w:hAnsi="Times New Roman"/>
          <w:sz w:val="18"/>
        </w:rPr>
        <w:footnoteRef/>
      </w:r>
      <w:r>
        <w:rPr>
          <w:rFonts w:ascii="Times New Roman" w:hAnsi="Times New Roman"/>
          <w:sz w:val="18"/>
        </w:rPr>
        <w:t xml:space="preserve"> </w:t>
      </w:r>
      <w:r>
        <w:rPr>
          <w:rFonts w:ascii="Times New Roman" w:hAnsi="Times New Roman"/>
          <w:color w:val="auto"/>
          <w:sz w:val="18"/>
        </w:rPr>
        <w:t>La valutazione intermedia riguarda 29 domande finanziate in 10 paesi, ricevute nel 2014 e 2015.</w:t>
      </w:r>
    </w:p>
  </w:footnote>
  <w:footnote w:id="22">
    <w:p>
      <w:pPr>
        <w:pStyle w:val="FootnoteText"/>
        <w:rPr>
          <w:rFonts w:cs="Times New Roman"/>
          <w:sz w:val="18"/>
          <w:szCs w:val="18"/>
        </w:rPr>
      </w:pPr>
      <w:r>
        <w:rPr>
          <w:rStyle w:val="FootnoteReference"/>
          <w:sz w:val="18"/>
        </w:rPr>
        <w:footnoteRef/>
      </w:r>
      <w:r>
        <w:t xml:space="preserve"> </w:t>
      </w:r>
      <w:r>
        <w:rPr>
          <w:sz w:val="18"/>
        </w:rPr>
        <w:t>SWD(2018) 192 disponibile all'indirizzo:</w:t>
      </w:r>
      <w:r>
        <w:t xml:space="preserve"> </w:t>
      </w:r>
      <w:hyperlink r:id="rId8">
        <w:r>
          <w:rPr>
            <w:rStyle w:val="Hyperlink"/>
            <w:color w:val="auto"/>
            <w:sz w:val="18"/>
          </w:rPr>
          <w:t>https://eur-lex.europa.eu/legal-content/EN/TXT/?qid=1562591970533&amp;uri=CELEX:52018SC0192</w:t>
        </w:r>
      </w:hyperlink>
      <w:r>
        <w:t>.</w:t>
      </w:r>
      <w:hyperlink r:id="rId9"/>
    </w:p>
  </w:footnote>
  <w:footnote w:id="23">
    <w:p>
      <w:pPr>
        <w:pStyle w:val="FootnoteText"/>
        <w:rPr>
          <w:rFonts w:cs="Times New Roman"/>
          <w:sz w:val="18"/>
          <w:szCs w:val="18"/>
        </w:rPr>
      </w:pPr>
      <w:r>
        <w:rPr>
          <w:rStyle w:val="FootnoteReference"/>
          <w:sz w:val="18"/>
        </w:rPr>
        <w:footnoteRef/>
      </w:r>
      <w:r>
        <w:rPr>
          <w:rStyle w:val="FootnoteReference"/>
          <w:sz w:val="18"/>
        </w:rPr>
        <w:t xml:space="preserve"> </w:t>
      </w:r>
      <w:r>
        <w:rPr>
          <w:sz w:val="18"/>
        </w:rPr>
        <w:t xml:space="preserve">Disponibile all'indirizzo: </w:t>
      </w:r>
      <w:hyperlink r:id="rId10">
        <w:r>
          <w:rPr>
            <w:rStyle w:val="Hyperlink"/>
            <w:color w:val="auto"/>
            <w:sz w:val="18"/>
          </w:rPr>
          <w:t>https://publications.europa.eu/it/publication-detail/-/publication/57273012-b7cb-11e8-99ee-01aa75ed71a1</w:t>
        </w:r>
      </w:hyperlink>
      <w:r>
        <w:t>.</w:t>
      </w:r>
    </w:p>
  </w:footnote>
  <w:footnote w:id="24">
    <w:p>
      <w:pPr>
        <w:pStyle w:val="FootnoteText"/>
      </w:pPr>
      <w:r>
        <w:rPr>
          <w:rStyle w:val="FootnoteReference"/>
          <w:sz w:val="18"/>
        </w:rPr>
        <w:footnoteRef/>
      </w:r>
      <w:r>
        <w:rPr>
          <w:sz w:val="18"/>
        </w:rPr>
        <w:t xml:space="preserve"> COM(2018) 297</w:t>
      </w:r>
      <w:r>
        <w:rPr>
          <w:sz w:val="24"/>
        </w:rPr>
        <w:t xml:space="preserve"> </w:t>
      </w:r>
      <w:r>
        <w:rPr>
          <w:sz w:val="18"/>
        </w:rPr>
        <w:t xml:space="preserve">disponibile all'indirizzo: </w:t>
      </w:r>
      <w:hyperlink r:id="rId11">
        <w:r>
          <w:rPr>
            <w:rStyle w:val="Hyperlink"/>
            <w:color w:val="auto"/>
            <w:sz w:val="18"/>
          </w:rPr>
          <w:t>https://eur-lex.europa.eu/legal-content/IT/TXT/PDF/?uri=CELEX:52018DC0297&amp;from=IT</w:t>
        </w:r>
      </w:hyperlink>
      <w:r>
        <w:t>.</w:t>
      </w:r>
    </w:p>
  </w:footnote>
  <w:footnote w:id="25">
    <w:p>
      <w:pPr>
        <w:rPr>
          <w:sz w:val="26"/>
          <w:szCs w:val="26"/>
        </w:rPr>
      </w:pPr>
      <w:r>
        <w:rPr>
          <w:rStyle w:val="FootnoteReference"/>
          <w:rFonts w:ascii="Times New Roman" w:hAnsi="Times New Roman"/>
          <w:sz w:val="18"/>
        </w:rPr>
        <w:footnoteRef/>
      </w:r>
      <w:r>
        <w:rPr>
          <w:sz w:val="18"/>
        </w:rPr>
        <w:t xml:space="preserve"> </w:t>
      </w:r>
      <w:r>
        <w:rPr>
          <w:rFonts w:ascii="Times New Roman" w:hAnsi="Times New Roman"/>
          <w:sz w:val="18"/>
        </w:rPr>
        <w:t>COM(2018) 380 final, disponibile all'indirizzo:</w:t>
      </w:r>
      <w:r>
        <w:rPr>
          <w:sz w:val="18"/>
        </w:rPr>
        <w:t xml:space="preserve"> </w:t>
      </w:r>
      <w:hyperlink r:id="rId12">
        <w:r>
          <w:rPr>
            <w:rStyle w:val="Hyperlink"/>
            <w:rFonts w:ascii="Times New Roman" w:hAnsi="Times New Roman"/>
            <w:color w:val="auto"/>
            <w:sz w:val="18"/>
          </w:rPr>
          <w:t>https://eur-lex.europa.eu/legal-content/IT/TXT/?uri=CELEX:52018PC0380</w:t>
        </w:r>
      </w:hyperlink>
      <w:r>
        <w:rPr>
          <w:rStyle w:val="Hyperlink"/>
          <w:rFonts w:ascii="Times New Roman" w:hAnsi="Times New Roman"/>
          <w:color w:val="auto"/>
          <w:sz w:val="18"/>
        </w:rPr>
        <w:t>)</w:t>
      </w:r>
      <w:r>
        <w:t>.</w:t>
      </w:r>
    </w:p>
    <w:p>
      <w:pPr>
        <w:pStyle w:val="FootnoteText"/>
        <w:rPr>
          <w:sz w:val="18"/>
          <w:szCs w:val="18"/>
        </w:rPr>
      </w:pPr>
      <w:r>
        <w:rPr>
          <w:sz w:val="18"/>
        </w:rPr>
        <w:t xml:space="preserve"> </w:t>
      </w:r>
    </w:p>
  </w:footnote>
  <w:footnote w:id="26">
    <w:p>
      <w:pPr>
        <w:pStyle w:val="FootnoteText"/>
        <w:jc w:val="both"/>
        <w:rPr>
          <w:sz w:val="18"/>
          <w:szCs w:val="18"/>
        </w:rPr>
      </w:pPr>
      <w:r>
        <w:rPr>
          <w:rStyle w:val="FootnoteReference"/>
          <w:sz w:val="18"/>
        </w:rPr>
        <w:footnoteRef/>
      </w:r>
      <w:r>
        <w:rPr>
          <w:sz w:val="18"/>
        </w:rPr>
        <w:t xml:space="preserve"> Documento disponibile all'indirizzo: </w:t>
      </w:r>
      <w:hyperlink r:id="rId13">
        <w:r>
          <w:rPr>
            <w:rStyle w:val="Hyperlink"/>
            <w:color w:val="auto"/>
            <w:sz w:val="18"/>
          </w:rPr>
          <w:t>https://eur-lex.europa.eu/legal-content/it/TXT/?uri=CELEX%3A32018R1046</w:t>
        </w:r>
      </w:hyperlink>
      <w:r>
        <w:t>.</w:t>
      </w:r>
      <w:hyperlink r:id="rId14"/>
    </w:p>
  </w:footnote>
  <w:footnote w:id="27">
    <w:p>
      <w:pPr>
        <w:pStyle w:val="FootnoteText"/>
      </w:pPr>
      <w:r>
        <w:rPr>
          <w:rStyle w:val="FootnoteReference"/>
          <w:sz w:val="18"/>
        </w:rPr>
        <w:footnoteRef/>
      </w:r>
      <w:r>
        <w:t xml:space="preserve"> </w:t>
      </w:r>
      <w:r>
        <w:rPr>
          <w:sz w:val="18"/>
        </w:rPr>
        <w:t>Cfr. nota 25,</w:t>
      </w:r>
      <w:r>
        <w:t xml:space="preserve"> </w:t>
      </w:r>
      <w:r>
        <w:rPr>
          <w:sz w:val="18"/>
        </w:rPr>
        <w:t>articolo 274 del regolamento (UE, Euratom) 2018/1046.</w:t>
      </w:r>
    </w:p>
  </w:footnote>
  <w:footnote w:id="28">
    <w:p>
      <w:pPr>
        <w:pStyle w:val="FootnoteText"/>
      </w:pPr>
      <w:r>
        <w:rPr>
          <w:rStyle w:val="FootnoteReference"/>
          <w:sz w:val="18"/>
        </w:rPr>
        <w:footnoteRef/>
      </w:r>
      <w:r>
        <w:t xml:space="preserve"> </w:t>
      </w:r>
      <w:r>
        <w:rPr>
          <w:sz w:val="18"/>
        </w:rPr>
        <w:t>Cfr. nota 24.</w:t>
      </w:r>
    </w:p>
  </w:footnote>
  <w:footnote w:id="29">
    <w:p>
      <w:pPr>
        <w:pStyle w:val="Default"/>
        <w:rPr>
          <w:rFonts w:ascii="Times New Roman" w:hAnsi="Times New Roman" w:cs="Times New Roman"/>
          <w:color w:val="auto"/>
          <w:sz w:val="18"/>
          <w:szCs w:val="18"/>
        </w:rPr>
      </w:pPr>
      <w:r>
        <w:rPr>
          <w:rStyle w:val="FootnoteReference"/>
          <w:rFonts w:ascii="Times New Roman" w:hAnsi="Times New Roman"/>
          <w:color w:val="auto"/>
          <w:sz w:val="18"/>
        </w:rPr>
        <w:footnoteRef/>
      </w:r>
      <w:r>
        <w:rPr>
          <w:rStyle w:val="FootnoteReference"/>
          <w:rFonts w:ascii="Times New Roman" w:hAnsi="Times New Roman"/>
          <w:color w:val="auto"/>
        </w:rPr>
        <w:t xml:space="preserve"> </w:t>
      </w:r>
      <w:r>
        <w:rPr>
          <w:rFonts w:ascii="Times New Roman" w:hAnsi="Times New Roman"/>
          <w:sz w:val="18"/>
        </w:rPr>
        <w:t>SWD(2018) 289</w:t>
      </w:r>
      <w:r>
        <w:rPr>
          <w:sz w:val="18"/>
        </w:rPr>
        <w:t xml:space="preserve"> </w:t>
      </w:r>
      <w:r>
        <w:rPr>
          <w:rFonts w:ascii="Times New Roman" w:hAnsi="Times New Roman"/>
          <w:color w:val="auto"/>
          <w:sz w:val="18"/>
        </w:rPr>
        <w:t xml:space="preserve">disponibile all'indirizzo: </w:t>
      </w:r>
      <w:hyperlink r:id="rId15">
        <w:r>
          <w:rPr>
            <w:rStyle w:val="Hyperlink"/>
            <w:rFonts w:ascii="Times New Roman" w:hAnsi="Times New Roman"/>
            <w:color w:val="auto"/>
            <w:sz w:val="18"/>
          </w:rPr>
          <w:t>https://eur-lex.europa.eu/legal-content/EN/TXT/PDF/?uri=CELEX:52018SC0289&amp;qid=1565604058690&amp;from=IT</w:t>
        </w:r>
      </w:hyperlink>
      <w:r>
        <w:t>.</w:t>
      </w:r>
      <w:hyperlink r:id="rId16"/>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55E6"/>
    <w:multiLevelType w:val="hybridMultilevel"/>
    <w:tmpl w:val="36C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EC4F7E"/>
    <w:multiLevelType w:val="hybridMultilevel"/>
    <w:tmpl w:val="B1546DB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
    <w:nsid w:val="099415E0"/>
    <w:multiLevelType w:val="hybridMultilevel"/>
    <w:tmpl w:val="E39A47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D5703C"/>
    <w:multiLevelType w:val="hybridMultilevel"/>
    <w:tmpl w:val="1842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5B51E3"/>
    <w:multiLevelType w:val="hybridMultilevel"/>
    <w:tmpl w:val="6E1CC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C5F142C"/>
    <w:multiLevelType w:val="hybridMultilevel"/>
    <w:tmpl w:val="69AEA3BE"/>
    <w:lvl w:ilvl="0" w:tplc="21F04226">
      <w:numFmt w:val="bullet"/>
      <w:lvlText w:val="-"/>
      <w:lvlJc w:val="left"/>
      <w:pPr>
        <w:ind w:left="1440" w:hanging="360"/>
      </w:pPr>
      <w:rPr>
        <w:rFonts w:ascii="Times New Roman" w:eastAsia="Times New Roman" w:hAnsi="Times New Roman" w:cs="Times New Roman" w:hint="default"/>
        <w:u w:val="no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E2F3743"/>
    <w:multiLevelType w:val="hybridMultilevel"/>
    <w:tmpl w:val="6DF0FA8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1D92A4E"/>
    <w:multiLevelType w:val="hybridMultilevel"/>
    <w:tmpl w:val="7D8E0CB8"/>
    <w:lvl w:ilvl="0" w:tplc="00C4B21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8">
    <w:nsid w:val="27FF0E03"/>
    <w:multiLevelType w:val="hybridMultilevel"/>
    <w:tmpl w:val="1220A7C6"/>
    <w:lvl w:ilvl="0" w:tplc="A058B834">
      <w:start w:val="4"/>
      <w:numFmt w:val="bullet"/>
      <w:lvlText w:val="-"/>
      <w:lvlJc w:val="left"/>
      <w:pPr>
        <w:ind w:left="1173" w:hanging="360"/>
      </w:pPr>
      <w:rPr>
        <w:rFonts w:ascii="Calibri" w:eastAsiaTheme="minorHAnsi" w:hAnsi="Calibri" w:cs="Calibri" w:hint="default"/>
        <w:color w:val="auto"/>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9">
    <w:nsid w:val="280F0E50"/>
    <w:multiLevelType w:val="hybridMultilevel"/>
    <w:tmpl w:val="8E24A272"/>
    <w:lvl w:ilvl="0" w:tplc="21F04226">
      <w:numFmt w:val="bullet"/>
      <w:lvlText w:val="-"/>
      <w:lvlJc w:val="left"/>
      <w:pPr>
        <w:ind w:left="1068" w:hanging="360"/>
      </w:pPr>
      <w:rPr>
        <w:rFonts w:ascii="Times New Roman" w:eastAsia="Times New Roman" w:hAnsi="Times New Roman" w:cs="Times New Roman" w:hint="default"/>
        <w:u w:val="none"/>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nsid w:val="33EE6237"/>
    <w:multiLevelType w:val="hybridMultilevel"/>
    <w:tmpl w:val="5B8EC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91925D2"/>
    <w:multiLevelType w:val="hybridMultilevel"/>
    <w:tmpl w:val="3F4A47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B8204E"/>
    <w:multiLevelType w:val="hybridMultilevel"/>
    <w:tmpl w:val="0F14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E2667D"/>
    <w:multiLevelType w:val="hybridMultilevel"/>
    <w:tmpl w:val="10EC88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42E34740"/>
    <w:multiLevelType w:val="hybridMultilevel"/>
    <w:tmpl w:val="B888C44E"/>
    <w:lvl w:ilvl="0" w:tplc="7A30F28E">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A608C1"/>
    <w:multiLevelType w:val="hybridMultilevel"/>
    <w:tmpl w:val="2EBC6C30"/>
    <w:lvl w:ilvl="0" w:tplc="24EAA270">
      <w:numFmt w:val="bullet"/>
      <w:lvlText w:val="-"/>
      <w:lvlJc w:val="left"/>
      <w:pPr>
        <w:ind w:left="540" w:hanging="360"/>
      </w:pPr>
      <w:rPr>
        <w:rFonts w:ascii="Times New Roman" w:eastAsia="Times New Roman" w:hAnsi="Times New Roman" w:cs="Times New Roman"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6">
    <w:nsid w:val="448B5AA0"/>
    <w:multiLevelType w:val="hybridMultilevel"/>
    <w:tmpl w:val="E4424604"/>
    <w:lvl w:ilvl="0" w:tplc="21F04226">
      <w:numFmt w:val="bullet"/>
      <w:lvlText w:val="-"/>
      <w:lvlJc w:val="left"/>
      <w:pPr>
        <w:ind w:left="720" w:hanging="360"/>
      </w:pPr>
      <w:rPr>
        <w:rFonts w:ascii="Times New Roman" w:eastAsia="Times New Roman" w:hAnsi="Times New Roman" w:cs="Times New Roman"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FB1991"/>
    <w:multiLevelType w:val="hybridMultilevel"/>
    <w:tmpl w:val="BF9C4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14475EE"/>
    <w:multiLevelType w:val="hybridMultilevel"/>
    <w:tmpl w:val="02FA9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5F9021B"/>
    <w:multiLevelType w:val="hybridMultilevel"/>
    <w:tmpl w:val="0DE68E32"/>
    <w:lvl w:ilvl="0" w:tplc="08090001">
      <w:start w:val="1"/>
      <w:numFmt w:val="bullet"/>
      <w:lvlText w:val=""/>
      <w:lvlJc w:val="left"/>
      <w:pPr>
        <w:ind w:left="912" w:hanging="360"/>
      </w:pPr>
      <w:rPr>
        <w:rFonts w:ascii="Symbol" w:hAnsi="Symbol" w:hint="default"/>
      </w:rPr>
    </w:lvl>
    <w:lvl w:ilvl="1" w:tplc="08090003">
      <w:start w:val="1"/>
      <w:numFmt w:val="bullet"/>
      <w:lvlText w:val="o"/>
      <w:lvlJc w:val="left"/>
      <w:pPr>
        <w:ind w:left="1632" w:hanging="360"/>
      </w:pPr>
      <w:rPr>
        <w:rFonts w:ascii="Courier New" w:hAnsi="Courier New" w:cs="Times New Roman" w:hint="default"/>
      </w:rPr>
    </w:lvl>
    <w:lvl w:ilvl="2" w:tplc="08090005">
      <w:start w:val="1"/>
      <w:numFmt w:val="bullet"/>
      <w:lvlText w:val=""/>
      <w:lvlJc w:val="left"/>
      <w:pPr>
        <w:ind w:left="2352" w:hanging="360"/>
      </w:pPr>
      <w:rPr>
        <w:rFonts w:ascii="Wingdings" w:hAnsi="Wingdings" w:hint="default"/>
      </w:rPr>
    </w:lvl>
    <w:lvl w:ilvl="3" w:tplc="08090001">
      <w:start w:val="1"/>
      <w:numFmt w:val="bullet"/>
      <w:lvlText w:val=""/>
      <w:lvlJc w:val="left"/>
      <w:pPr>
        <w:ind w:left="3072" w:hanging="360"/>
      </w:pPr>
      <w:rPr>
        <w:rFonts w:ascii="Symbol" w:hAnsi="Symbol" w:hint="default"/>
      </w:rPr>
    </w:lvl>
    <w:lvl w:ilvl="4" w:tplc="08090003">
      <w:start w:val="1"/>
      <w:numFmt w:val="bullet"/>
      <w:lvlText w:val="o"/>
      <w:lvlJc w:val="left"/>
      <w:pPr>
        <w:ind w:left="3792" w:hanging="360"/>
      </w:pPr>
      <w:rPr>
        <w:rFonts w:ascii="Courier New" w:hAnsi="Courier New" w:cs="Times New Roman" w:hint="default"/>
      </w:rPr>
    </w:lvl>
    <w:lvl w:ilvl="5" w:tplc="08090005">
      <w:start w:val="1"/>
      <w:numFmt w:val="bullet"/>
      <w:lvlText w:val=""/>
      <w:lvlJc w:val="left"/>
      <w:pPr>
        <w:ind w:left="4512" w:hanging="360"/>
      </w:pPr>
      <w:rPr>
        <w:rFonts w:ascii="Wingdings" w:hAnsi="Wingdings" w:hint="default"/>
      </w:rPr>
    </w:lvl>
    <w:lvl w:ilvl="6" w:tplc="08090001">
      <w:start w:val="1"/>
      <w:numFmt w:val="bullet"/>
      <w:lvlText w:val=""/>
      <w:lvlJc w:val="left"/>
      <w:pPr>
        <w:ind w:left="5232" w:hanging="360"/>
      </w:pPr>
      <w:rPr>
        <w:rFonts w:ascii="Symbol" w:hAnsi="Symbol" w:hint="default"/>
      </w:rPr>
    </w:lvl>
    <w:lvl w:ilvl="7" w:tplc="08090003">
      <w:start w:val="1"/>
      <w:numFmt w:val="bullet"/>
      <w:lvlText w:val="o"/>
      <w:lvlJc w:val="left"/>
      <w:pPr>
        <w:ind w:left="5952" w:hanging="360"/>
      </w:pPr>
      <w:rPr>
        <w:rFonts w:ascii="Courier New" w:hAnsi="Courier New" w:cs="Times New Roman" w:hint="default"/>
      </w:rPr>
    </w:lvl>
    <w:lvl w:ilvl="8" w:tplc="08090005">
      <w:start w:val="1"/>
      <w:numFmt w:val="bullet"/>
      <w:lvlText w:val=""/>
      <w:lvlJc w:val="left"/>
      <w:pPr>
        <w:ind w:left="6672" w:hanging="360"/>
      </w:pPr>
      <w:rPr>
        <w:rFonts w:ascii="Wingdings" w:hAnsi="Wingdings" w:hint="default"/>
      </w:rPr>
    </w:lvl>
  </w:abstractNum>
  <w:abstractNum w:abstractNumId="20">
    <w:nsid w:val="56F54146"/>
    <w:multiLevelType w:val="hybridMultilevel"/>
    <w:tmpl w:val="11B23FD8"/>
    <w:lvl w:ilvl="0" w:tplc="A69C4026">
      <w:start w:val="1"/>
      <w:numFmt w:val="decimal"/>
      <w:pStyle w:val="TOC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92813D6"/>
    <w:multiLevelType w:val="hybridMultilevel"/>
    <w:tmpl w:val="7DB29E3E"/>
    <w:lvl w:ilvl="0" w:tplc="08090005">
      <w:start w:val="1"/>
      <w:numFmt w:val="bullet"/>
      <w:lvlText w:val=""/>
      <w:lvlJc w:val="left"/>
      <w:pPr>
        <w:ind w:left="360" w:hanging="360"/>
      </w:pPr>
      <w:rPr>
        <w:rFonts w:ascii="Wingdings" w:hAnsi="Wingdings" w:hint="default"/>
        <w:u w:val="no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5FA8089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649339D3"/>
    <w:multiLevelType w:val="hybridMultilevel"/>
    <w:tmpl w:val="1E6C9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4DE6650"/>
    <w:multiLevelType w:val="hybridMultilevel"/>
    <w:tmpl w:val="4894B96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58F6D62"/>
    <w:multiLevelType w:val="hybridMultilevel"/>
    <w:tmpl w:val="2B967E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766139F"/>
    <w:multiLevelType w:val="hybridMultilevel"/>
    <w:tmpl w:val="F5AA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0066A71"/>
    <w:multiLevelType w:val="hybridMultilevel"/>
    <w:tmpl w:val="A300C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0067F4"/>
    <w:multiLevelType w:val="hybridMultilevel"/>
    <w:tmpl w:val="A844D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624025D"/>
    <w:multiLevelType w:val="hybridMultilevel"/>
    <w:tmpl w:val="9528B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674005A"/>
    <w:multiLevelType w:val="hybridMultilevel"/>
    <w:tmpl w:val="5F50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79A10EC"/>
    <w:multiLevelType w:val="hybridMultilevel"/>
    <w:tmpl w:val="DDF6D74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CB92992"/>
    <w:multiLevelType w:val="hybridMultilevel"/>
    <w:tmpl w:val="FA3086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7"/>
  </w:num>
  <w:num w:numId="2">
    <w:abstractNumId w:val="18"/>
  </w:num>
  <w:num w:numId="3">
    <w:abstractNumId w:val="30"/>
  </w:num>
  <w:num w:numId="4">
    <w:abstractNumId w:val="4"/>
  </w:num>
  <w:num w:numId="5">
    <w:abstractNumId w:val="3"/>
  </w:num>
  <w:num w:numId="6">
    <w:abstractNumId w:val="12"/>
  </w:num>
  <w:num w:numId="7">
    <w:abstractNumId w:val="28"/>
  </w:num>
  <w:num w:numId="8">
    <w:abstractNumId w:val="26"/>
  </w:num>
  <w:num w:numId="9">
    <w:abstractNumId w:val="19"/>
  </w:num>
  <w:num w:numId="10">
    <w:abstractNumId w:val="0"/>
  </w:num>
  <w:num w:numId="11">
    <w:abstractNumId w:val="2"/>
  </w:num>
  <w:num w:numId="12">
    <w:abstractNumId w:val="22"/>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1"/>
  </w:num>
  <w:num w:numId="16">
    <w:abstractNumId w:val="7"/>
  </w:num>
  <w:num w:numId="17">
    <w:abstractNumId w:val="23"/>
  </w:num>
  <w:num w:numId="18">
    <w:abstractNumId w:val="10"/>
  </w:num>
  <w:num w:numId="19">
    <w:abstractNumId w:val="13"/>
  </w:num>
  <w:num w:numId="20">
    <w:abstractNumId w:val="17"/>
  </w:num>
  <w:num w:numId="21">
    <w:abstractNumId w:val="5"/>
  </w:num>
  <w:num w:numId="22">
    <w:abstractNumId w:val="15"/>
  </w:num>
  <w:num w:numId="23">
    <w:abstractNumId w:val="25"/>
  </w:num>
  <w:num w:numId="24">
    <w:abstractNumId w:val="24"/>
  </w:num>
  <w:num w:numId="25">
    <w:abstractNumId w:val="29"/>
  </w:num>
  <w:num w:numId="26">
    <w:abstractNumId w:val="16"/>
  </w:num>
  <w:num w:numId="27">
    <w:abstractNumId w:val="11"/>
  </w:num>
  <w:num w:numId="28">
    <w:abstractNumId w:val="8"/>
  </w:num>
  <w:num w:numId="29">
    <w:abstractNumId w:val="9"/>
  </w:num>
  <w:num w:numId="30">
    <w:abstractNumId w:val="32"/>
  </w:num>
  <w:num w:numId="31">
    <w:abstractNumId w:val="6"/>
  </w:num>
  <w:num w:numId="32">
    <w:abstractNumId w:val="31"/>
  </w:num>
  <w:num w:numId="33">
    <w:abstractNumId w:val="14"/>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1"/>
    <w:docVar w:name="LW_CORRIGENDUM" w:val="&lt;UNUSED&gt;"/>
    <w:docVar w:name="LW_COVERPAGE_EXISTS" w:val="True"/>
    <w:docVar w:name="LW_COVERPAGE_GUID" w:val="573E5347-F1A1-4CA9-8483-AD1257F970DC"/>
    <w:docVar w:name="LW_COVERPAGE_TYPE" w:val="1"/>
    <w:docVar w:name="LW_CROSSREFERENCE" w:val="&lt;UNUSED&gt;"/>
    <w:docVar w:name="LW_DocType" w:val="NORMAL"/>
    <w:docVar w:name="LW_EMISSION" w:val="16.9.2019"/>
    <w:docVar w:name="LW_EMISSION_ISODATE" w:val="2019-09-16"/>
    <w:docVar w:name="LW_EMISSION_LOCATION" w:val="BRX"/>
    <w:docVar w:name="LW_EMISSION_PREFIX" w:val="Bruxelles, "/>
    <w:docVar w:name="LW_EMISSION_SUFFIX" w:val=" "/>
    <w:docVar w:name="LW_ID_DOCTYPE_NONLW" w:val="CP-006"/>
    <w:docVar w:name="LW_LANGUE" w:val="IT"/>
    <w:docVar w:name="LW_LEVEL_OF_SENSITIVITY" w:val="Standard treatment"/>
    <w:docVar w:name="LW_NOM.INST" w:val="COMMISSIONE EUROPEA"/>
    <w:docVar w:name="LW_NOM.INST_JOINTDOC" w:val="&lt;EMPTY&gt;"/>
    <w:docVar w:name="LW_PART_NBR" w:val="1"/>
    <w:docVar w:name="LW_PART_NBR_TOTAL" w:val="1"/>
    <w:docVar w:name="LW_REF.INST.NEW" w:val="COM"/>
    <w:docVar w:name="LW_REF.INST.NEW_ADOPTED" w:val="final"/>
    <w:docVar w:name="LW_REF.INST.NEW_TEXT" w:val="(2019) 41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ulle attività del Fondo europeo di adeguamento alla globalizzazione nel 2017 e nel 2018"/>
    <w:docVar w:name="LW_TYPE.DOC.CP" w:val="RELAZIONE DELLA COMMISSIONE AL PARLAMENTO EUROPEO E AL CONSIGLIO"/>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600" w:line="240" w:lineRule="auto"/>
      <w:jc w:val="both"/>
      <w:outlineLvl w:val="0"/>
    </w:pPr>
    <w:rPr>
      <w:rFonts w:ascii="Times New Roman" w:eastAsiaTheme="majorEastAsia" w:hAnsi="Times New Roman" w:cs="Times New Roman"/>
      <w:b/>
      <w:bCs/>
      <w:color w:val="000000" w:themeColor="text1"/>
      <w:sz w:val="28"/>
      <w:szCs w:val="24"/>
    </w:rPr>
  </w:style>
  <w:style w:type="paragraph" w:styleId="Heading2">
    <w:name w:val="heading 2"/>
    <w:basedOn w:val="Normal"/>
    <w:next w:val="Normal"/>
    <w:link w:val="Heading2Char"/>
    <w:uiPriority w:val="9"/>
    <w:unhideWhenUsed/>
    <w:qFormat/>
    <w:pPr>
      <w:keepNext/>
      <w:keepLines/>
      <w:spacing w:before="240" w:after="240"/>
      <w:outlineLvl w:val="1"/>
    </w:pPr>
    <w:rPr>
      <w:rFonts w:ascii="Times New Roman" w:eastAsiaTheme="majorEastAsia" w:hAnsi="Times New Roman" w:cs="Times New Roman"/>
      <w:b/>
      <w:bCs/>
      <w:color w:val="000000" w:themeColor="text1"/>
      <w:sz w:val="26"/>
      <w:szCs w:val="26"/>
    </w:rPr>
  </w:style>
  <w:style w:type="paragraph" w:styleId="Heading3">
    <w:name w:val="heading 3"/>
    <w:basedOn w:val="Normal"/>
    <w:next w:val="Normal"/>
    <w:link w:val="Heading3Char"/>
    <w:uiPriority w:val="9"/>
    <w:unhideWhenUsed/>
    <w:qFormat/>
    <w:pPr>
      <w:keepNext/>
      <w:keepLines/>
      <w:spacing w:before="600" w:after="120"/>
      <w:ind w:left="720"/>
      <w:outlineLvl w:val="2"/>
    </w:pPr>
    <w:rPr>
      <w:rFonts w:ascii="Times New Roman" w:eastAsiaTheme="majorEastAsia" w:hAnsi="Times New Roman" w:cs="Times New Roman"/>
      <w:bCs/>
      <w:i/>
      <w:color w:val="000000" w:themeColor="text1"/>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it-IT"/>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it-IT"/>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DefaultParagraphFont"/>
    <w:link w:val="Typedudocument"/>
    <w:rPr>
      <w:rFonts w:ascii="Times New Roman" w:hAnsi="Times New Roman" w:cs="Times New Roman"/>
      <w:b/>
      <w:sz w:val="24"/>
      <w:lang w:val="it-IT"/>
    </w:rPr>
  </w:style>
  <w:style w:type="character" w:customStyle="1" w:styleId="FooterCoverPageChar">
    <w:name w:val="Footer Cover Page Char"/>
    <w:basedOn w:val="TypedudocumentChar"/>
    <w:link w:val="FooterCoverPage"/>
    <w:rPr>
      <w:rFonts w:ascii="Times New Roman" w:hAnsi="Times New Roman" w:cs="Times New Roman"/>
      <w:b w:val="0"/>
      <w:sz w:val="24"/>
      <w:lang w:val="it-IT"/>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lang w:val="it-IT"/>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000000" w:themeColor="text1"/>
      <w:sz w:val="28"/>
      <w:szCs w:val="24"/>
      <w:lang w:val="it-IT"/>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000000" w:themeColor="text1"/>
      <w:sz w:val="26"/>
      <w:szCs w:val="26"/>
      <w:lang w:val="it-IT"/>
    </w:rPr>
  </w:style>
  <w:style w:type="character" w:customStyle="1" w:styleId="Heading3Char">
    <w:name w:val="Heading 3 Char"/>
    <w:basedOn w:val="DefaultParagraphFont"/>
    <w:link w:val="Heading3"/>
    <w:uiPriority w:val="9"/>
    <w:rPr>
      <w:rFonts w:ascii="Times New Roman" w:eastAsiaTheme="majorEastAsia" w:hAnsi="Times New Roman" w:cs="Times New Roman"/>
      <w:bCs/>
      <w:i/>
      <w:color w:val="000000" w:themeColor="text1"/>
      <w:sz w:val="24"/>
      <w:lang w:val="it-IT"/>
    </w:rPr>
  </w:style>
  <w:style w:type="numbering" w:customStyle="1" w:styleId="NoList1">
    <w:name w:val="No List1"/>
    <w:next w:val="No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it-IT"/>
    </w:rPr>
  </w:style>
  <w:style w:type="paragraph" w:styleId="TOCHeading">
    <w:name w:val="TOC Heading"/>
    <w:basedOn w:val="Heading1"/>
    <w:next w:val="Normal"/>
    <w:uiPriority w:val="39"/>
    <w:unhideWhenUsed/>
    <w:qFormat/>
    <w:p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pPr>
      <w:numPr>
        <w:numId w:val="34"/>
      </w:numPr>
      <w:tabs>
        <w:tab w:val="right" w:leader="dot" w:pos="9062"/>
      </w:tabs>
      <w:spacing w:after="100"/>
    </w:pPr>
    <w:rPr>
      <w:rFonts w:ascii="Times New Roman" w:hAnsi="Times New Roman"/>
    </w:rPr>
  </w:style>
  <w:style w:type="character" w:styleId="Hyperlink">
    <w:name w:val="Hyperlink"/>
    <w:basedOn w:val="DefaultParagraphFont"/>
    <w:uiPriority w:val="99"/>
    <w:unhideWhenUsed/>
    <w:rPr>
      <w:color w:val="0000FF" w:themeColor="hyperlink"/>
      <w:u w:val="single"/>
    </w:rPr>
  </w:style>
  <w:style w:type="paragraph" w:styleId="TOC2">
    <w:name w:val="toc 2"/>
    <w:basedOn w:val="Normal"/>
    <w:next w:val="Normal"/>
    <w:autoRedefine/>
    <w:uiPriority w:val="39"/>
    <w:unhideWhenUsed/>
    <w:qFormat/>
    <w:pPr>
      <w:tabs>
        <w:tab w:val="right" w:leader="dot" w:pos="9062"/>
      </w:tabs>
      <w:spacing w:after="100"/>
      <w:ind w:left="220"/>
    </w:pPr>
    <w:rPr>
      <w:rFonts w:ascii="Times New Roman" w:eastAsiaTheme="minorEastAsia" w:hAnsi="Times New Roman"/>
    </w:rPr>
  </w:style>
  <w:style w:type="paragraph" w:styleId="TOC3">
    <w:name w:val="toc 3"/>
    <w:basedOn w:val="Normal"/>
    <w:next w:val="Normal"/>
    <w:autoRedefine/>
    <w:uiPriority w:val="39"/>
    <w:unhideWhenUsed/>
    <w:qFormat/>
    <w:pPr>
      <w:spacing w:after="100"/>
      <w:ind w:left="720"/>
    </w:pPr>
    <w:rPr>
      <w:rFonts w:ascii="Times New Roman" w:eastAsiaTheme="minorEastAsia" w:hAnsi="Times New Roman"/>
    </w:rPr>
  </w:style>
  <w:style w:type="paragraph" w:styleId="ListParagraph">
    <w:name w:val="List Paragraph"/>
    <w:basedOn w:val="Normal"/>
    <w:uiPriority w:val="34"/>
    <w:qFormat/>
    <w:pPr>
      <w:ind w:left="720"/>
      <w:contextualSpacing/>
    </w:pPr>
    <w:rPr>
      <w:rFonts w:ascii="Times New Roman" w:hAnsi="Times New Roman"/>
    </w:rPr>
  </w:style>
  <w:style w:type="paragraph" w:styleId="FootnoteText">
    <w:name w:val="footnote text"/>
    <w:basedOn w:val="Normal"/>
    <w:link w:val="FootnoteTextChar"/>
    <w:uiPriority w:val="99"/>
    <w:unhideWhenUsed/>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Pr>
      <w:rFonts w:ascii="Times New Roman" w:hAnsi="Times New Roman"/>
      <w:sz w:val="20"/>
      <w:szCs w:val="20"/>
      <w:lang w:val="it-IT"/>
    </w:rPr>
  </w:style>
  <w:style w:type="character" w:styleId="FootnoteReference">
    <w:name w:val="footnote reference"/>
    <w:aliases w:val="Footnote Reference Superscript,EN Footnote Reference,number,SUPERS,Odwołanie przypisu,Footnote symbol,Footnote reference number,Times 10 Point,Exposant 3 Point,note TESI,BVI fnr,Voetnootverwijzing,Footnote Reference/,ftref"/>
    <w:basedOn w:val="DefaultParagraphFont"/>
    <w:unhideWhenUsed/>
    <w:qFormat/>
    <w:rPr>
      <w:vertAlign w:val="superscript"/>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 w:val="24"/>
      <w:szCs w:val="24"/>
    </w:rPr>
  </w:style>
  <w:style w:type="paragraph" w:styleId="EndnoteText">
    <w:name w:val="endnote text"/>
    <w:basedOn w:val="Normal"/>
    <w:link w:val="EndnoteTextChar"/>
    <w:uiPriority w:val="99"/>
    <w:semiHidden/>
    <w:unhideWhenUsed/>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lang w:val="it-IT"/>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lang w:val="it-I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lang w:val="it-IT"/>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paragraph" w:styleId="BodyText">
    <w:name w:val="Body Text"/>
    <w:aliases w:val="F2 Body Text,Document,Doc,Body Text2,doc,Standard paragraph,Text,(Norm),Body Text 12,bt,gl,uvlaka 2,heading3,Body Text - Level 2,1body,BodText,body text,Body Txt,Body Text-10,Τίτλος Μελέτης,- TF,Text Char1,-,b., (Norm),- "/>
    <w:basedOn w:val="Normal"/>
    <w:link w:val="BodyTextChar"/>
    <w:uiPriority w:val="1"/>
    <w:qFormat/>
    <w:pPr>
      <w:spacing w:before="120" w:after="120" w:line="240" w:lineRule="auto"/>
    </w:pPr>
    <w:rPr>
      <w:rFonts w:ascii="Verdana" w:hAnsi="Verdana"/>
      <w:color w:val="000000" w:themeColor="text1"/>
      <w:sz w:val="20"/>
    </w:rPr>
  </w:style>
  <w:style w:type="character" w:customStyle="1" w:styleId="BodyTextChar">
    <w:name w:val="Body Text Char"/>
    <w:aliases w:val="F2 Body Text Char,Document Char,Doc Char,Body Text2 Char,doc Char,Standard paragraph Char,Text Char,(Norm) Char,Body Text 12 Char,bt Char,gl Char,uvlaka 2 Char,heading3 Char,Body Text - Level 2 Char,1body Char,BodText Char,body text Char"/>
    <w:basedOn w:val="DefaultParagraphFont"/>
    <w:link w:val="BodyText"/>
    <w:uiPriority w:val="1"/>
    <w:rPr>
      <w:rFonts w:ascii="Verdana" w:hAnsi="Verdana"/>
      <w:color w:val="000000" w:themeColor="text1"/>
      <w:sz w:val="20"/>
      <w:lang w:val="it-IT"/>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TitreobjetPagedecouverture">
    <w:name w:val="Titre objet (Page de couverture)"/>
    <w:basedOn w:val="Titreobjet"/>
    <w:next w:val="Normal"/>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PSParagraphText">
    <w:name w:val="PS_Paragraph_Text"/>
    <w:basedOn w:val="Normal"/>
    <w:link w:val="PSParagraphTextChar"/>
    <w:qFormat/>
    <w:pPr>
      <w:spacing w:after="120" w:line="240" w:lineRule="auto"/>
      <w:jc w:val="both"/>
    </w:pPr>
    <w:rPr>
      <w:rFonts w:ascii="Times New Roman" w:eastAsia="Times New Roman" w:hAnsi="Times New Roman" w:cs="Times New Roman"/>
      <w:sz w:val="20"/>
      <w:szCs w:val="20"/>
    </w:rPr>
  </w:style>
  <w:style w:type="character" w:customStyle="1" w:styleId="PSParagraphTextChar">
    <w:name w:val="PS_Paragraph_Text Char"/>
    <w:basedOn w:val="DefaultParagraphFont"/>
    <w:link w:val="PSParagraphText"/>
    <w:rPr>
      <w:rFonts w:ascii="Times New Roman" w:eastAsia="Times New Roman" w:hAnsi="Times New Roman" w:cs="Times New Roman"/>
      <w:sz w:val="20"/>
      <w:szCs w:val="20"/>
      <w:lang w:val="it-IT" w:eastAsia="it-IT"/>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lang w:val="it-IT"/>
    </w:rPr>
  </w:style>
  <w:style w:type="character" w:styleId="Emphasis">
    <w:name w:val="Emphasis"/>
    <w:basedOn w:val="DefaultParagraphFont"/>
    <w:uiPriority w:val="20"/>
    <w:qFormat/>
    <w:rPr>
      <w:i/>
      <w:iCs/>
    </w:rPr>
  </w:style>
  <w:style w:type="paragraph" w:customStyle="1" w:styleId="NormalIndent1">
    <w:name w:val="Normal Indent 1"/>
    <w:aliases w:val="NormalIndent,Body TextIndent"/>
    <w:basedOn w:val="Normal"/>
    <w:uiPriority w:val="16"/>
    <w:qFormat/>
    <w:pPr>
      <w:spacing w:before="120" w:after="120" w:line="240" w:lineRule="auto"/>
      <w:ind w:left="340"/>
    </w:pPr>
    <w:rPr>
      <w:rFonts w:ascii="Verdana" w:hAnsi="Verdana"/>
      <w:color w:val="000000" w:themeColor="text1"/>
      <w:sz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lang w:eastAsia="en-US" w:bidi="ar-SA"/>
    </w:rPr>
  </w:style>
  <w:style w:type="paragraph" w:customStyle="1" w:styleId="DateMarking">
    <w:name w:val="DateMarking"/>
    <w:basedOn w:val="Normal"/>
    <w:pPr>
      <w:spacing w:after="0"/>
      <w:ind w:left="5103"/>
    </w:pPr>
    <w:rPr>
      <w:rFonts w:ascii="Times New Roman" w:hAnsi="Times New Roman" w:cs="Times New Roman"/>
      <w:i/>
      <w:sz w:val="28"/>
      <w:lang w:eastAsia="en-US" w:bidi="ar-SA"/>
    </w:rPr>
  </w:style>
  <w:style w:type="paragraph" w:customStyle="1" w:styleId="ReleasableTo">
    <w:name w:val="ReleasableTo"/>
    <w:basedOn w:val="Normal"/>
    <w:pPr>
      <w:spacing w:after="0"/>
      <w:ind w:left="5103"/>
    </w:pPr>
    <w:rPr>
      <w:rFonts w:ascii="Times New Roman" w:hAnsi="Times New Roman" w:cs="Times New Roman"/>
      <w:i/>
      <w:sz w:val="28"/>
      <w:lang w:eastAsia="en-US" w:bidi="ar-SA"/>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table" w:styleId="TableGrid">
    <w:name w:val="Table Grid"/>
    <w:basedOn w:val="TableNormal"/>
    <w:uiPriority w:val="59"/>
    <w:pPr>
      <w:spacing w:after="0" w:line="240" w:lineRule="auto"/>
    </w:pPr>
    <w:rPr>
      <w:rFonts w:eastAsiaTheme="minorEastAsia"/>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600" w:line="240" w:lineRule="auto"/>
      <w:jc w:val="both"/>
      <w:outlineLvl w:val="0"/>
    </w:pPr>
    <w:rPr>
      <w:rFonts w:ascii="Times New Roman" w:eastAsiaTheme="majorEastAsia" w:hAnsi="Times New Roman" w:cs="Times New Roman"/>
      <w:b/>
      <w:bCs/>
      <w:color w:val="000000" w:themeColor="text1"/>
      <w:sz w:val="28"/>
      <w:szCs w:val="24"/>
    </w:rPr>
  </w:style>
  <w:style w:type="paragraph" w:styleId="Heading2">
    <w:name w:val="heading 2"/>
    <w:basedOn w:val="Normal"/>
    <w:next w:val="Normal"/>
    <w:link w:val="Heading2Char"/>
    <w:uiPriority w:val="9"/>
    <w:unhideWhenUsed/>
    <w:qFormat/>
    <w:pPr>
      <w:keepNext/>
      <w:keepLines/>
      <w:spacing w:before="240" w:after="240"/>
      <w:outlineLvl w:val="1"/>
    </w:pPr>
    <w:rPr>
      <w:rFonts w:ascii="Times New Roman" w:eastAsiaTheme="majorEastAsia" w:hAnsi="Times New Roman" w:cs="Times New Roman"/>
      <w:b/>
      <w:bCs/>
      <w:color w:val="000000" w:themeColor="text1"/>
      <w:sz w:val="26"/>
      <w:szCs w:val="26"/>
    </w:rPr>
  </w:style>
  <w:style w:type="paragraph" w:styleId="Heading3">
    <w:name w:val="heading 3"/>
    <w:basedOn w:val="Normal"/>
    <w:next w:val="Normal"/>
    <w:link w:val="Heading3Char"/>
    <w:uiPriority w:val="9"/>
    <w:unhideWhenUsed/>
    <w:qFormat/>
    <w:pPr>
      <w:keepNext/>
      <w:keepLines/>
      <w:spacing w:before="600" w:after="120"/>
      <w:ind w:left="720"/>
      <w:outlineLvl w:val="2"/>
    </w:pPr>
    <w:rPr>
      <w:rFonts w:ascii="Times New Roman" w:eastAsiaTheme="majorEastAsia" w:hAnsi="Times New Roman" w:cs="Times New Roman"/>
      <w:bCs/>
      <w:i/>
      <w:color w:val="000000" w:themeColor="text1"/>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it-IT"/>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it-IT"/>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DefaultParagraphFont"/>
    <w:link w:val="Typedudocument"/>
    <w:rPr>
      <w:rFonts w:ascii="Times New Roman" w:hAnsi="Times New Roman" w:cs="Times New Roman"/>
      <w:b/>
      <w:sz w:val="24"/>
      <w:lang w:val="it-IT"/>
    </w:rPr>
  </w:style>
  <w:style w:type="character" w:customStyle="1" w:styleId="FooterCoverPageChar">
    <w:name w:val="Footer Cover Page Char"/>
    <w:basedOn w:val="TypedudocumentChar"/>
    <w:link w:val="FooterCoverPage"/>
    <w:rPr>
      <w:rFonts w:ascii="Times New Roman" w:hAnsi="Times New Roman" w:cs="Times New Roman"/>
      <w:b w:val="0"/>
      <w:sz w:val="24"/>
      <w:lang w:val="it-IT"/>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lang w:val="it-IT"/>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000000" w:themeColor="text1"/>
      <w:sz w:val="28"/>
      <w:szCs w:val="24"/>
      <w:lang w:val="it-IT"/>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000000" w:themeColor="text1"/>
      <w:sz w:val="26"/>
      <w:szCs w:val="26"/>
      <w:lang w:val="it-IT"/>
    </w:rPr>
  </w:style>
  <w:style w:type="character" w:customStyle="1" w:styleId="Heading3Char">
    <w:name w:val="Heading 3 Char"/>
    <w:basedOn w:val="DefaultParagraphFont"/>
    <w:link w:val="Heading3"/>
    <w:uiPriority w:val="9"/>
    <w:rPr>
      <w:rFonts w:ascii="Times New Roman" w:eastAsiaTheme="majorEastAsia" w:hAnsi="Times New Roman" w:cs="Times New Roman"/>
      <w:bCs/>
      <w:i/>
      <w:color w:val="000000" w:themeColor="text1"/>
      <w:sz w:val="24"/>
      <w:lang w:val="it-IT"/>
    </w:rPr>
  </w:style>
  <w:style w:type="numbering" w:customStyle="1" w:styleId="NoList1">
    <w:name w:val="No List1"/>
    <w:next w:val="No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it-IT"/>
    </w:rPr>
  </w:style>
  <w:style w:type="paragraph" w:styleId="TOCHeading">
    <w:name w:val="TOC Heading"/>
    <w:basedOn w:val="Heading1"/>
    <w:next w:val="Normal"/>
    <w:uiPriority w:val="39"/>
    <w:unhideWhenUsed/>
    <w:qFormat/>
    <w:p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pPr>
      <w:numPr>
        <w:numId w:val="34"/>
      </w:numPr>
      <w:tabs>
        <w:tab w:val="right" w:leader="dot" w:pos="9062"/>
      </w:tabs>
      <w:spacing w:after="100"/>
    </w:pPr>
    <w:rPr>
      <w:rFonts w:ascii="Times New Roman" w:hAnsi="Times New Roman"/>
    </w:rPr>
  </w:style>
  <w:style w:type="character" w:styleId="Hyperlink">
    <w:name w:val="Hyperlink"/>
    <w:basedOn w:val="DefaultParagraphFont"/>
    <w:uiPriority w:val="99"/>
    <w:unhideWhenUsed/>
    <w:rPr>
      <w:color w:val="0000FF" w:themeColor="hyperlink"/>
      <w:u w:val="single"/>
    </w:rPr>
  </w:style>
  <w:style w:type="paragraph" w:styleId="TOC2">
    <w:name w:val="toc 2"/>
    <w:basedOn w:val="Normal"/>
    <w:next w:val="Normal"/>
    <w:autoRedefine/>
    <w:uiPriority w:val="39"/>
    <w:unhideWhenUsed/>
    <w:qFormat/>
    <w:pPr>
      <w:tabs>
        <w:tab w:val="right" w:leader="dot" w:pos="9062"/>
      </w:tabs>
      <w:spacing w:after="100"/>
      <w:ind w:left="220"/>
    </w:pPr>
    <w:rPr>
      <w:rFonts w:ascii="Times New Roman" w:eastAsiaTheme="minorEastAsia" w:hAnsi="Times New Roman"/>
    </w:rPr>
  </w:style>
  <w:style w:type="paragraph" w:styleId="TOC3">
    <w:name w:val="toc 3"/>
    <w:basedOn w:val="Normal"/>
    <w:next w:val="Normal"/>
    <w:autoRedefine/>
    <w:uiPriority w:val="39"/>
    <w:unhideWhenUsed/>
    <w:qFormat/>
    <w:pPr>
      <w:spacing w:after="100"/>
      <w:ind w:left="720"/>
    </w:pPr>
    <w:rPr>
      <w:rFonts w:ascii="Times New Roman" w:eastAsiaTheme="minorEastAsia" w:hAnsi="Times New Roman"/>
    </w:rPr>
  </w:style>
  <w:style w:type="paragraph" w:styleId="ListParagraph">
    <w:name w:val="List Paragraph"/>
    <w:basedOn w:val="Normal"/>
    <w:uiPriority w:val="34"/>
    <w:qFormat/>
    <w:pPr>
      <w:ind w:left="720"/>
      <w:contextualSpacing/>
    </w:pPr>
    <w:rPr>
      <w:rFonts w:ascii="Times New Roman" w:hAnsi="Times New Roman"/>
    </w:rPr>
  </w:style>
  <w:style w:type="paragraph" w:styleId="FootnoteText">
    <w:name w:val="footnote text"/>
    <w:basedOn w:val="Normal"/>
    <w:link w:val="FootnoteTextChar"/>
    <w:uiPriority w:val="99"/>
    <w:unhideWhenUsed/>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Pr>
      <w:rFonts w:ascii="Times New Roman" w:hAnsi="Times New Roman"/>
      <w:sz w:val="20"/>
      <w:szCs w:val="20"/>
      <w:lang w:val="it-IT"/>
    </w:rPr>
  </w:style>
  <w:style w:type="character" w:styleId="FootnoteReference">
    <w:name w:val="footnote reference"/>
    <w:aliases w:val="Footnote Reference Superscript,EN Footnote Reference,number,SUPERS,Odwołanie przypisu,Footnote symbol,Footnote reference number,Times 10 Point,Exposant 3 Point,note TESI,BVI fnr,Voetnootverwijzing,Footnote Reference/,ftref"/>
    <w:basedOn w:val="DefaultParagraphFont"/>
    <w:unhideWhenUsed/>
    <w:qFormat/>
    <w:rPr>
      <w:vertAlign w:val="superscript"/>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 w:val="24"/>
      <w:szCs w:val="24"/>
    </w:rPr>
  </w:style>
  <w:style w:type="paragraph" w:styleId="EndnoteText">
    <w:name w:val="endnote text"/>
    <w:basedOn w:val="Normal"/>
    <w:link w:val="EndnoteTextChar"/>
    <w:uiPriority w:val="99"/>
    <w:semiHidden/>
    <w:unhideWhenUsed/>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lang w:val="it-IT"/>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lang w:val="it-I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lang w:val="it-IT"/>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paragraph" w:styleId="BodyText">
    <w:name w:val="Body Text"/>
    <w:aliases w:val="F2 Body Text,Document,Doc,Body Text2,doc,Standard paragraph,Text,(Norm),Body Text 12,bt,gl,uvlaka 2,heading3,Body Text - Level 2,1body,BodText,body text,Body Txt,Body Text-10,Τίτλος Μελέτης,- TF,Text Char1,-,b., (Norm),- "/>
    <w:basedOn w:val="Normal"/>
    <w:link w:val="BodyTextChar"/>
    <w:uiPriority w:val="1"/>
    <w:qFormat/>
    <w:pPr>
      <w:spacing w:before="120" w:after="120" w:line="240" w:lineRule="auto"/>
    </w:pPr>
    <w:rPr>
      <w:rFonts w:ascii="Verdana" w:hAnsi="Verdana"/>
      <w:color w:val="000000" w:themeColor="text1"/>
      <w:sz w:val="20"/>
    </w:rPr>
  </w:style>
  <w:style w:type="character" w:customStyle="1" w:styleId="BodyTextChar">
    <w:name w:val="Body Text Char"/>
    <w:aliases w:val="F2 Body Text Char,Document Char,Doc Char,Body Text2 Char,doc Char,Standard paragraph Char,Text Char,(Norm) Char,Body Text 12 Char,bt Char,gl Char,uvlaka 2 Char,heading3 Char,Body Text - Level 2 Char,1body Char,BodText Char,body text Char"/>
    <w:basedOn w:val="DefaultParagraphFont"/>
    <w:link w:val="BodyText"/>
    <w:uiPriority w:val="1"/>
    <w:rPr>
      <w:rFonts w:ascii="Verdana" w:hAnsi="Verdana"/>
      <w:color w:val="000000" w:themeColor="text1"/>
      <w:sz w:val="20"/>
      <w:lang w:val="it-IT"/>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TitreobjetPagedecouverture">
    <w:name w:val="Titre objet (Page de couverture)"/>
    <w:basedOn w:val="Titreobjet"/>
    <w:next w:val="Normal"/>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PSParagraphText">
    <w:name w:val="PS_Paragraph_Text"/>
    <w:basedOn w:val="Normal"/>
    <w:link w:val="PSParagraphTextChar"/>
    <w:qFormat/>
    <w:pPr>
      <w:spacing w:after="120" w:line="240" w:lineRule="auto"/>
      <w:jc w:val="both"/>
    </w:pPr>
    <w:rPr>
      <w:rFonts w:ascii="Times New Roman" w:eastAsia="Times New Roman" w:hAnsi="Times New Roman" w:cs="Times New Roman"/>
      <w:sz w:val="20"/>
      <w:szCs w:val="20"/>
    </w:rPr>
  </w:style>
  <w:style w:type="character" w:customStyle="1" w:styleId="PSParagraphTextChar">
    <w:name w:val="PS_Paragraph_Text Char"/>
    <w:basedOn w:val="DefaultParagraphFont"/>
    <w:link w:val="PSParagraphText"/>
    <w:rPr>
      <w:rFonts w:ascii="Times New Roman" w:eastAsia="Times New Roman" w:hAnsi="Times New Roman" w:cs="Times New Roman"/>
      <w:sz w:val="20"/>
      <w:szCs w:val="20"/>
      <w:lang w:val="it-IT" w:eastAsia="it-IT"/>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lang w:val="it-IT"/>
    </w:rPr>
  </w:style>
  <w:style w:type="character" w:styleId="Emphasis">
    <w:name w:val="Emphasis"/>
    <w:basedOn w:val="DefaultParagraphFont"/>
    <w:uiPriority w:val="20"/>
    <w:qFormat/>
    <w:rPr>
      <w:i/>
      <w:iCs/>
    </w:rPr>
  </w:style>
  <w:style w:type="paragraph" w:customStyle="1" w:styleId="NormalIndent1">
    <w:name w:val="Normal Indent 1"/>
    <w:aliases w:val="NormalIndent,Body TextIndent"/>
    <w:basedOn w:val="Normal"/>
    <w:uiPriority w:val="16"/>
    <w:qFormat/>
    <w:pPr>
      <w:spacing w:before="120" w:after="120" w:line="240" w:lineRule="auto"/>
      <w:ind w:left="340"/>
    </w:pPr>
    <w:rPr>
      <w:rFonts w:ascii="Verdana" w:hAnsi="Verdana"/>
      <w:color w:val="000000" w:themeColor="text1"/>
      <w:sz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lang w:eastAsia="en-US" w:bidi="ar-SA"/>
    </w:rPr>
  </w:style>
  <w:style w:type="paragraph" w:customStyle="1" w:styleId="DateMarking">
    <w:name w:val="DateMarking"/>
    <w:basedOn w:val="Normal"/>
    <w:pPr>
      <w:spacing w:after="0"/>
      <w:ind w:left="5103"/>
    </w:pPr>
    <w:rPr>
      <w:rFonts w:ascii="Times New Roman" w:hAnsi="Times New Roman" w:cs="Times New Roman"/>
      <w:i/>
      <w:sz w:val="28"/>
      <w:lang w:eastAsia="en-US" w:bidi="ar-SA"/>
    </w:rPr>
  </w:style>
  <w:style w:type="paragraph" w:customStyle="1" w:styleId="ReleasableTo">
    <w:name w:val="ReleasableTo"/>
    <w:basedOn w:val="Normal"/>
    <w:pPr>
      <w:spacing w:after="0"/>
      <w:ind w:left="5103"/>
    </w:pPr>
    <w:rPr>
      <w:rFonts w:ascii="Times New Roman" w:hAnsi="Times New Roman" w:cs="Times New Roman"/>
      <w:i/>
      <w:sz w:val="28"/>
      <w:lang w:eastAsia="en-US" w:bidi="ar-SA"/>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table" w:styleId="TableGrid">
    <w:name w:val="Table Grid"/>
    <w:basedOn w:val="TableNormal"/>
    <w:uiPriority w:val="59"/>
    <w:pPr>
      <w:spacing w:after="0" w:line="240" w:lineRule="auto"/>
    </w:pPr>
    <w:rPr>
      <w:rFonts w:eastAsiaTheme="minorEastAsia"/>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4794">
      <w:bodyDiv w:val="1"/>
      <w:marLeft w:val="0"/>
      <w:marRight w:val="0"/>
      <w:marTop w:val="0"/>
      <w:marBottom w:val="0"/>
      <w:divBdr>
        <w:top w:val="none" w:sz="0" w:space="0" w:color="auto"/>
        <w:left w:val="none" w:sz="0" w:space="0" w:color="auto"/>
        <w:bottom w:val="none" w:sz="0" w:space="0" w:color="auto"/>
        <w:right w:val="none" w:sz="0" w:space="0" w:color="auto"/>
      </w:divBdr>
    </w:div>
    <w:div w:id="118382616">
      <w:bodyDiv w:val="1"/>
      <w:marLeft w:val="0"/>
      <w:marRight w:val="0"/>
      <w:marTop w:val="0"/>
      <w:marBottom w:val="0"/>
      <w:divBdr>
        <w:top w:val="none" w:sz="0" w:space="0" w:color="auto"/>
        <w:left w:val="none" w:sz="0" w:space="0" w:color="auto"/>
        <w:bottom w:val="none" w:sz="0" w:space="0" w:color="auto"/>
        <w:right w:val="none" w:sz="0" w:space="0" w:color="auto"/>
      </w:divBdr>
    </w:div>
    <w:div w:id="120998081">
      <w:bodyDiv w:val="1"/>
      <w:marLeft w:val="0"/>
      <w:marRight w:val="0"/>
      <w:marTop w:val="0"/>
      <w:marBottom w:val="0"/>
      <w:divBdr>
        <w:top w:val="none" w:sz="0" w:space="0" w:color="auto"/>
        <w:left w:val="none" w:sz="0" w:space="0" w:color="auto"/>
        <w:bottom w:val="none" w:sz="0" w:space="0" w:color="auto"/>
        <w:right w:val="none" w:sz="0" w:space="0" w:color="auto"/>
      </w:divBdr>
    </w:div>
    <w:div w:id="132334785">
      <w:bodyDiv w:val="1"/>
      <w:marLeft w:val="0"/>
      <w:marRight w:val="0"/>
      <w:marTop w:val="0"/>
      <w:marBottom w:val="0"/>
      <w:divBdr>
        <w:top w:val="none" w:sz="0" w:space="0" w:color="auto"/>
        <w:left w:val="none" w:sz="0" w:space="0" w:color="auto"/>
        <w:bottom w:val="none" w:sz="0" w:space="0" w:color="auto"/>
        <w:right w:val="none" w:sz="0" w:space="0" w:color="auto"/>
      </w:divBdr>
    </w:div>
    <w:div w:id="134683378">
      <w:bodyDiv w:val="1"/>
      <w:marLeft w:val="0"/>
      <w:marRight w:val="0"/>
      <w:marTop w:val="0"/>
      <w:marBottom w:val="0"/>
      <w:divBdr>
        <w:top w:val="none" w:sz="0" w:space="0" w:color="auto"/>
        <w:left w:val="none" w:sz="0" w:space="0" w:color="auto"/>
        <w:bottom w:val="none" w:sz="0" w:space="0" w:color="auto"/>
        <w:right w:val="none" w:sz="0" w:space="0" w:color="auto"/>
      </w:divBdr>
    </w:div>
    <w:div w:id="147670809">
      <w:bodyDiv w:val="1"/>
      <w:marLeft w:val="0"/>
      <w:marRight w:val="0"/>
      <w:marTop w:val="0"/>
      <w:marBottom w:val="0"/>
      <w:divBdr>
        <w:top w:val="none" w:sz="0" w:space="0" w:color="auto"/>
        <w:left w:val="none" w:sz="0" w:space="0" w:color="auto"/>
        <w:bottom w:val="none" w:sz="0" w:space="0" w:color="auto"/>
        <w:right w:val="none" w:sz="0" w:space="0" w:color="auto"/>
      </w:divBdr>
    </w:div>
    <w:div w:id="150408134">
      <w:bodyDiv w:val="1"/>
      <w:marLeft w:val="0"/>
      <w:marRight w:val="0"/>
      <w:marTop w:val="0"/>
      <w:marBottom w:val="0"/>
      <w:divBdr>
        <w:top w:val="none" w:sz="0" w:space="0" w:color="auto"/>
        <w:left w:val="none" w:sz="0" w:space="0" w:color="auto"/>
        <w:bottom w:val="none" w:sz="0" w:space="0" w:color="auto"/>
        <w:right w:val="none" w:sz="0" w:space="0" w:color="auto"/>
      </w:divBdr>
    </w:div>
    <w:div w:id="162353421">
      <w:bodyDiv w:val="1"/>
      <w:marLeft w:val="0"/>
      <w:marRight w:val="0"/>
      <w:marTop w:val="0"/>
      <w:marBottom w:val="0"/>
      <w:divBdr>
        <w:top w:val="none" w:sz="0" w:space="0" w:color="auto"/>
        <w:left w:val="none" w:sz="0" w:space="0" w:color="auto"/>
        <w:bottom w:val="none" w:sz="0" w:space="0" w:color="auto"/>
        <w:right w:val="none" w:sz="0" w:space="0" w:color="auto"/>
      </w:divBdr>
    </w:div>
    <w:div w:id="236062788">
      <w:bodyDiv w:val="1"/>
      <w:marLeft w:val="0"/>
      <w:marRight w:val="0"/>
      <w:marTop w:val="0"/>
      <w:marBottom w:val="0"/>
      <w:divBdr>
        <w:top w:val="none" w:sz="0" w:space="0" w:color="auto"/>
        <w:left w:val="none" w:sz="0" w:space="0" w:color="auto"/>
        <w:bottom w:val="none" w:sz="0" w:space="0" w:color="auto"/>
        <w:right w:val="none" w:sz="0" w:space="0" w:color="auto"/>
      </w:divBdr>
    </w:div>
    <w:div w:id="287668843">
      <w:bodyDiv w:val="1"/>
      <w:marLeft w:val="0"/>
      <w:marRight w:val="0"/>
      <w:marTop w:val="0"/>
      <w:marBottom w:val="0"/>
      <w:divBdr>
        <w:top w:val="none" w:sz="0" w:space="0" w:color="auto"/>
        <w:left w:val="none" w:sz="0" w:space="0" w:color="auto"/>
        <w:bottom w:val="none" w:sz="0" w:space="0" w:color="auto"/>
        <w:right w:val="none" w:sz="0" w:space="0" w:color="auto"/>
      </w:divBdr>
    </w:div>
    <w:div w:id="358050634">
      <w:bodyDiv w:val="1"/>
      <w:marLeft w:val="0"/>
      <w:marRight w:val="0"/>
      <w:marTop w:val="0"/>
      <w:marBottom w:val="0"/>
      <w:divBdr>
        <w:top w:val="none" w:sz="0" w:space="0" w:color="auto"/>
        <w:left w:val="none" w:sz="0" w:space="0" w:color="auto"/>
        <w:bottom w:val="none" w:sz="0" w:space="0" w:color="auto"/>
        <w:right w:val="none" w:sz="0" w:space="0" w:color="auto"/>
      </w:divBdr>
    </w:div>
    <w:div w:id="388891400">
      <w:bodyDiv w:val="1"/>
      <w:marLeft w:val="0"/>
      <w:marRight w:val="0"/>
      <w:marTop w:val="0"/>
      <w:marBottom w:val="0"/>
      <w:divBdr>
        <w:top w:val="none" w:sz="0" w:space="0" w:color="auto"/>
        <w:left w:val="none" w:sz="0" w:space="0" w:color="auto"/>
        <w:bottom w:val="none" w:sz="0" w:space="0" w:color="auto"/>
        <w:right w:val="none" w:sz="0" w:space="0" w:color="auto"/>
      </w:divBdr>
    </w:div>
    <w:div w:id="527111329">
      <w:bodyDiv w:val="1"/>
      <w:marLeft w:val="0"/>
      <w:marRight w:val="0"/>
      <w:marTop w:val="0"/>
      <w:marBottom w:val="0"/>
      <w:divBdr>
        <w:top w:val="none" w:sz="0" w:space="0" w:color="auto"/>
        <w:left w:val="none" w:sz="0" w:space="0" w:color="auto"/>
        <w:bottom w:val="none" w:sz="0" w:space="0" w:color="auto"/>
        <w:right w:val="none" w:sz="0" w:space="0" w:color="auto"/>
      </w:divBdr>
    </w:div>
    <w:div w:id="562565723">
      <w:bodyDiv w:val="1"/>
      <w:marLeft w:val="0"/>
      <w:marRight w:val="0"/>
      <w:marTop w:val="0"/>
      <w:marBottom w:val="0"/>
      <w:divBdr>
        <w:top w:val="none" w:sz="0" w:space="0" w:color="auto"/>
        <w:left w:val="none" w:sz="0" w:space="0" w:color="auto"/>
        <w:bottom w:val="none" w:sz="0" w:space="0" w:color="auto"/>
        <w:right w:val="none" w:sz="0" w:space="0" w:color="auto"/>
      </w:divBdr>
    </w:div>
    <w:div w:id="574239743">
      <w:bodyDiv w:val="1"/>
      <w:marLeft w:val="0"/>
      <w:marRight w:val="0"/>
      <w:marTop w:val="0"/>
      <w:marBottom w:val="0"/>
      <w:divBdr>
        <w:top w:val="none" w:sz="0" w:space="0" w:color="auto"/>
        <w:left w:val="none" w:sz="0" w:space="0" w:color="auto"/>
        <w:bottom w:val="none" w:sz="0" w:space="0" w:color="auto"/>
        <w:right w:val="none" w:sz="0" w:space="0" w:color="auto"/>
      </w:divBdr>
    </w:div>
    <w:div w:id="611592543">
      <w:bodyDiv w:val="1"/>
      <w:marLeft w:val="0"/>
      <w:marRight w:val="0"/>
      <w:marTop w:val="0"/>
      <w:marBottom w:val="0"/>
      <w:divBdr>
        <w:top w:val="none" w:sz="0" w:space="0" w:color="auto"/>
        <w:left w:val="none" w:sz="0" w:space="0" w:color="auto"/>
        <w:bottom w:val="none" w:sz="0" w:space="0" w:color="auto"/>
        <w:right w:val="none" w:sz="0" w:space="0" w:color="auto"/>
      </w:divBdr>
    </w:div>
    <w:div w:id="634455416">
      <w:bodyDiv w:val="1"/>
      <w:marLeft w:val="0"/>
      <w:marRight w:val="0"/>
      <w:marTop w:val="0"/>
      <w:marBottom w:val="0"/>
      <w:divBdr>
        <w:top w:val="none" w:sz="0" w:space="0" w:color="auto"/>
        <w:left w:val="none" w:sz="0" w:space="0" w:color="auto"/>
        <w:bottom w:val="none" w:sz="0" w:space="0" w:color="auto"/>
        <w:right w:val="none" w:sz="0" w:space="0" w:color="auto"/>
      </w:divBdr>
    </w:div>
    <w:div w:id="647898903">
      <w:bodyDiv w:val="1"/>
      <w:marLeft w:val="0"/>
      <w:marRight w:val="0"/>
      <w:marTop w:val="0"/>
      <w:marBottom w:val="0"/>
      <w:divBdr>
        <w:top w:val="none" w:sz="0" w:space="0" w:color="auto"/>
        <w:left w:val="none" w:sz="0" w:space="0" w:color="auto"/>
        <w:bottom w:val="none" w:sz="0" w:space="0" w:color="auto"/>
        <w:right w:val="none" w:sz="0" w:space="0" w:color="auto"/>
      </w:divBdr>
    </w:div>
    <w:div w:id="651567415">
      <w:bodyDiv w:val="1"/>
      <w:marLeft w:val="0"/>
      <w:marRight w:val="0"/>
      <w:marTop w:val="0"/>
      <w:marBottom w:val="0"/>
      <w:divBdr>
        <w:top w:val="none" w:sz="0" w:space="0" w:color="auto"/>
        <w:left w:val="none" w:sz="0" w:space="0" w:color="auto"/>
        <w:bottom w:val="none" w:sz="0" w:space="0" w:color="auto"/>
        <w:right w:val="none" w:sz="0" w:space="0" w:color="auto"/>
      </w:divBdr>
    </w:div>
    <w:div w:id="717902279">
      <w:bodyDiv w:val="1"/>
      <w:marLeft w:val="0"/>
      <w:marRight w:val="0"/>
      <w:marTop w:val="0"/>
      <w:marBottom w:val="0"/>
      <w:divBdr>
        <w:top w:val="none" w:sz="0" w:space="0" w:color="auto"/>
        <w:left w:val="none" w:sz="0" w:space="0" w:color="auto"/>
        <w:bottom w:val="none" w:sz="0" w:space="0" w:color="auto"/>
        <w:right w:val="none" w:sz="0" w:space="0" w:color="auto"/>
      </w:divBdr>
    </w:div>
    <w:div w:id="730688892">
      <w:bodyDiv w:val="1"/>
      <w:marLeft w:val="0"/>
      <w:marRight w:val="0"/>
      <w:marTop w:val="0"/>
      <w:marBottom w:val="0"/>
      <w:divBdr>
        <w:top w:val="none" w:sz="0" w:space="0" w:color="auto"/>
        <w:left w:val="none" w:sz="0" w:space="0" w:color="auto"/>
        <w:bottom w:val="none" w:sz="0" w:space="0" w:color="auto"/>
        <w:right w:val="none" w:sz="0" w:space="0" w:color="auto"/>
      </w:divBdr>
    </w:div>
    <w:div w:id="770392620">
      <w:bodyDiv w:val="1"/>
      <w:marLeft w:val="0"/>
      <w:marRight w:val="0"/>
      <w:marTop w:val="0"/>
      <w:marBottom w:val="0"/>
      <w:divBdr>
        <w:top w:val="none" w:sz="0" w:space="0" w:color="auto"/>
        <w:left w:val="none" w:sz="0" w:space="0" w:color="auto"/>
        <w:bottom w:val="none" w:sz="0" w:space="0" w:color="auto"/>
        <w:right w:val="none" w:sz="0" w:space="0" w:color="auto"/>
      </w:divBdr>
    </w:div>
    <w:div w:id="836725083">
      <w:bodyDiv w:val="1"/>
      <w:marLeft w:val="0"/>
      <w:marRight w:val="0"/>
      <w:marTop w:val="0"/>
      <w:marBottom w:val="0"/>
      <w:divBdr>
        <w:top w:val="none" w:sz="0" w:space="0" w:color="auto"/>
        <w:left w:val="none" w:sz="0" w:space="0" w:color="auto"/>
        <w:bottom w:val="none" w:sz="0" w:space="0" w:color="auto"/>
        <w:right w:val="none" w:sz="0" w:space="0" w:color="auto"/>
      </w:divBdr>
    </w:div>
    <w:div w:id="845940971">
      <w:bodyDiv w:val="1"/>
      <w:marLeft w:val="0"/>
      <w:marRight w:val="0"/>
      <w:marTop w:val="0"/>
      <w:marBottom w:val="0"/>
      <w:divBdr>
        <w:top w:val="none" w:sz="0" w:space="0" w:color="auto"/>
        <w:left w:val="none" w:sz="0" w:space="0" w:color="auto"/>
        <w:bottom w:val="none" w:sz="0" w:space="0" w:color="auto"/>
        <w:right w:val="none" w:sz="0" w:space="0" w:color="auto"/>
      </w:divBdr>
    </w:div>
    <w:div w:id="871914435">
      <w:bodyDiv w:val="1"/>
      <w:marLeft w:val="0"/>
      <w:marRight w:val="0"/>
      <w:marTop w:val="0"/>
      <w:marBottom w:val="0"/>
      <w:divBdr>
        <w:top w:val="none" w:sz="0" w:space="0" w:color="auto"/>
        <w:left w:val="none" w:sz="0" w:space="0" w:color="auto"/>
        <w:bottom w:val="none" w:sz="0" w:space="0" w:color="auto"/>
        <w:right w:val="none" w:sz="0" w:space="0" w:color="auto"/>
      </w:divBdr>
    </w:div>
    <w:div w:id="897478338">
      <w:bodyDiv w:val="1"/>
      <w:marLeft w:val="0"/>
      <w:marRight w:val="0"/>
      <w:marTop w:val="0"/>
      <w:marBottom w:val="0"/>
      <w:divBdr>
        <w:top w:val="none" w:sz="0" w:space="0" w:color="auto"/>
        <w:left w:val="none" w:sz="0" w:space="0" w:color="auto"/>
        <w:bottom w:val="none" w:sz="0" w:space="0" w:color="auto"/>
        <w:right w:val="none" w:sz="0" w:space="0" w:color="auto"/>
      </w:divBdr>
    </w:div>
    <w:div w:id="925531292">
      <w:bodyDiv w:val="1"/>
      <w:marLeft w:val="0"/>
      <w:marRight w:val="0"/>
      <w:marTop w:val="0"/>
      <w:marBottom w:val="0"/>
      <w:divBdr>
        <w:top w:val="none" w:sz="0" w:space="0" w:color="auto"/>
        <w:left w:val="none" w:sz="0" w:space="0" w:color="auto"/>
        <w:bottom w:val="none" w:sz="0" w:space="0" w:color="auto"/>
        <w:right w:val="none" w:sz="0" w:space="0" w:color="auto"/>
      </w:divBdr>
    </w:div>
    <w:div w:id="927081605">
      <w:bodyDiv w:val="1"/>
      <w:marLeft w:val="0"/>
      <w:marRight w:val="0"/>
      <w:marTop w:val="0"/>
      <w:marBottom w:val="0"/>
      <w:divBdr>
        <w:top w:val="none" w:sz="0" w:space="0" w:color="auto"/>
        <w:left w:val="none" w:sz="0" w:space="0" w:color="auto"/>
        <w:bottom w:val="none" w:sz="0" w:space="0" w:color="auto"/>
        <w:right w:val="none" w:sz="0" w:space="0" w:color="auto"/>
      </w:divBdr>
    </w:div>
    <w:div w:id="950866866">
      <w:bodyDiv w:val="1"/>
      <w:marLeft w:val="0"/>
      <w:marRight w:val="0"/>
      <w:marTop w:val="0"/>
      <w:marBottom w:val="0"/>
      <w:divBdr>
        <w:top w:val="none" w:sz="0" w:space="0" w:color="auto"/>
        <w:left w:val="none" w:sz="0" w:space="0" w:color="auto"/>
        <w:bottom w:val="none" w:sz="0" w:space="0" w:color="auto"/>
        <w:right w:val="none" w:sz="0" w:space="0" w:color="auto"/>
      </w:divBdr>
    </w:div>
    <w:div w:id="979462407">
      <w:bodyDiv w:val="1"/>
      <w:marLeft w:val="0"/>
      <w:marRight w:val="0"/>
      <w:marTop w:val="0"/>
      <w:marBottom w:val="0"/>
      <w:divBdr>
        <w:top w:val="none" w:sz="0" w:space="0" w:color="auto"/>
        <w:left w:val="none" w:sz="0" w:space="0" w:color="auto"/>
        <w:bottom w:val="none" w:sz="0" w:space="0" w:color="auto"/>
        <w:right w:val="none" w:sz="0" w:space="0" w:color="auto"/>
      </w:divBdr>
    </w:div>
    <w:div w:id="999308228">
      <w:bodyDiv w:val="1"/>
      <w:marLeft w:val="0"/>
      <w:marRight w:val="0"/>
      <w:marTop w:val="0"/>
      <w:marBottom w:val="0"/>
      <w:divBdr>
        <w:top w:val="none" w:sz="0" w:space="0" w:color="auto"/>
        <w:left w:val="none" w:sz="0" w:space="0" w:color="auto"/>
        <w:bottom w:val="none" w:sz="0" w:space="0" w:color="auto"/>
        <w:right w:val="none" w:sz="0" w:space="0" w:color="auto"/>
      </w:divBdr>
    </w:div>
    <w:div w:id="1001353710">
      <w:bodyDiv w:val="1"/>
      <w:marLeft w:val="0"/>
      <w:marRight w:val="0"/>
      <w:marTop w:val="0"/>
      <w:marBottom w:val="0"/>
      <w:divBdr>
        <w:top w:val="none" w:sz="0" w:space="0" w:color="auto"/>
        <w:left w:val="none" w:sz="0" w:space="0" w:color="auto"/>
        <w:bottom w:val="none" w:sz="0" w:space="0" w:color="auto"/>
        <w:right w:val="none" w:sz="0" w:space="0" w:color="auto"/>
      </w:divBdr>
    </w:div>
    <w:div w:id="1071662977">
      <w:bodyDiv w:val="1"/>
      <w:marLeft w:val="0"/>
      <w:marRight w:val="0"/>
      <w:marTop w:val="0"/>
      <w:marBottom w:val="0"/>
      <w:divBdr>
        <w:top w:val="none" w:sz="0" w:space="0" w:color="auto"/>
        <w:left w:val="none" w:sz="0" w:space="0" w:color="auto"/>
        <w:bottom w:val="none" w:sz="0" w:space="0" w:color="auto"/>
        <w:right w:val="none" w:sz="0" w:space="0" w:color="auto"/>
      </w:divBdr>
    </w:div>
    <w:div w:id="1094280798">
      <w:bodyDiv w:val="1"/>
      <w:marLeft w:val="0"/>
      <w:marRight w:val="0"/>
      <w:marTop w:val="0"/>
      <w:marBottom w:val="0"/>
      <w:divBdr>
        <w:top w:val="none" w:sz="0" w:space="0" w:color="auto"/>
        <w:left w:val="none" w:sz="0" w:space="0" w:color="auto"/>
        <w:bottom w:val="none" w:sz="0" w:space="0" w:color="auto"/>
        <w:right w:val="none" w:sz="0" w:space="0" w:color="auto"/>
      </w:divBdr>
    </w:div>
    <w:div w:id="1145002456">
      <w:bodyDiv w:val="1"/>
      <w:marLeft w:val="0"/>
      <w:marRight w:val="0"/>
      <w:marTop w:val="0"/>
      <w:marBottom w:val="0"/>
      <w:divBdr>
        <w:top w:val="none" w:sz="0" w:space="0" w:color="auto"/>
        <w:left w:val="none" w:sz="0" w:space="0" w:color="auto"/>
        <w:bottom w:val="none" w:sz="0" w:space="0" w:color="auto"/>
        <w:right w:val="none" w:sz="0" w:space="0" w:color="auto"/>
      </w:divBdr>
    </w:div>
    <w:div w:id="1154250501">
      <w:bodyDiv w:val="1"/>
      <w:marLeft w:val="0"/>
      <w:marRight w:val="0"/>
      <w:marTop w:val="0"/>
      <w:marBottom w:val="0"/>
      <w:divBdr>
        <w:top w:val="none" w:sz="0" w:space="0" w:color="auto"/>
        <w:left w:val="none" w:sz="0" w:space="0" w:color="auto"/>
        <w:bottom w:val="none" w:sz="0" w:space="0" w:color="auto"/>
        <w:right w:val="none" w:sz="0" w:space="0" w:color="auto"/>
      </w:divBdr>
    </w:div>
    <w:div w:id="1154443877">
      <w:bodyDiv w:val="1"/>
      <w:marLeft w:val="0"/>
      <w:marRight w:val="0"/>
      <w:marTop w:val="0"/>
      <w:marBottom w:val="0"/>
      <w:divBdr>
        <w:top w:val="none" w:sz="0" w:space="0" w:color="auto"/>
        <w:left w:val="none" w:sz="0" w:space="0" w:color="auto"/>
        <w:bottom w:val="none" w:sz="0" w:space="0" w:color="auto"/>
        <w:right w:val="none" w:sz="0" w:space="0" w:color="auto"/>
      </w:divBdr>
    </w:div>
    <w:div w:id="1164004477">
      <w:bodyDiv w:val="1"/>
      <w:marLeft w:val="0"/>
      <w:marRight w:val="0"/>
      <w:marTop w:val="0"/>
      <w:marBottom w:val="0"/>
      <w:divBdr>
        <w:top w:val="none" w:sz="0" w:space="0" w:color="auto"/>
        <w:left w:val="none" w:sz="0" w:space="0" w:color="auto"/>
        <w:bottom w:val="none" w:sz="0" w:space="0" w:color="auto"/>
        <w:right w:val="none" w:sz="0" w:space="0" w:color="auto"/>
      </w:divBdr>
    </w:div>
    <w:div w:id="1168130343">
      <w:bodyDiv w:val="1"/>
      <w:marLeft w:val="0"/>
      <w:marRight w:val="0"/>
      <w:marTop w:val="0"/>
      <w:marBottom w:val="0"/>
      <w:divBdr>
        <w:top w:val="none" w:sz="0" w:space="0" w:color="auto"/>
        <w:left w:val="none" w:sz="0" w:space="0" w:color="auto"/>
        <w:bottom w:val="none" w:sz="0" w:space="0" w:color="auto"/>
        <w:right w:val="none" w:sz="0" w:space="0" w:color="auto"/>
      </w:divBdr>
    </w:div>
    <w:div w:id="1176575850">
      <w:bodyDiv w:val="1"/>
      <w:marLeft w:val="0"/>
      <w:marRight w:val="0"/>
      <w:marTop w:val="0"/>
      <w:marBottom w:val="0"/>
      <w:divBdr>
        <w:top w:val="none" w:sz="0" w:space="0" w:color="auto"/>
        <w:left w:val="none" w:sz="0" w:space="0" w:color="auto"/>
        <w:bottom w:val="none" w:sz="0" w:space="0" w:color="auto"/>
        <w:right w:val="none" w:sz="0" w:space="0" w:color="auto"/>
      </w:divBdr>
    </w:div>
    <w:div w:id="1214536968">
      <w:bodyDiv w:val="1"/>
      <w:marLeft w:val="0"/>
      <w:marRight w:val="0"/>
      <w:marTop w:val="0"/>
      <w:marBottom w:val="0"/>
      <w:divBdr>
        <w:top w:val="none" w:sz="0" w:space="0" w:color="auto"/>
        <w:left w:val="none" w:sz="0" w:space="0" w:color="auto"/>
        <w:bottom w:val="none" w:sz="0" w:space="0" w:color="auto"/>
        <w:right w:val="none" w:sz="0" w:space="0" w:color="auto"/>
      </w:divBdr>
    </w:div>
    <w:div w:id="1241599514">
      <w:bodyDiv w:val="1"/>
      <w:marLeft w:val="0"/>
      <w:marRight w:val="0"/>
      <w:marTop w:val="0"/>
      <w:marBottom w:val="0"/>
      <w:divBdr>
        <w:top w:val="none" w:sz="0" w:space="0" w:color="auto"/>
        <w:left w:val="none" w:sz="0" w:space="0" w:color="auto"/>
        <w:bottom w:val="none" w:sz="0" w:space="0" w:color="auto"/>
        <w:right w:val="none" w:sz="0" w:space="0" w:color="auto"/>
      </w:divBdr>
    </w:div>
    <w:div w:id="1271158709">
      <w:bodyDiv w:val="1"/>
      <w:marLeft w:val="0"/>
      <w:marRight w:val="0"/>
      <w:marTop w:val="0"/>
      <w:marBottom w:val="0"/>
      <w:divBdr>
        <w:top w:val="none" w:sz="0" w:space="0" w:color="auto"/>
        <w:left w:val="none" w:sz="0" w:space="0" w:color="auto"/>
        <w:bottom w:val="none" w:sz="0" w:space="0" w:color="auto"/>
        <w:right w:val="none" w:sz="0" w:space="0" w:color="auto"/>
      </w:divBdr>
    </w:div>
    <w:div w:id="1336224989">
      <w:bodyDiv w:val="1"/>
      <w:marLeft w:val="0"/>
      <w:marRight w:val="0"/>
      <w:marTop w:val="0"/>
      <w:marBottom w:val="0"/>
      <w:divBdr>
        <w:top w:val="none" w:sz="0" w:space="0" w:color="auto"/>
        <w:left w:val="none" w:sz="0" w:space="0" w:color="auto"/>
        <w:bottom w:val="none" w:sz="0" w:space="0" w:color="auto"/>
        <w:right w:val="none" w:sz="0" w:space="0" w:color="auto"/>
      </w:divBdr>
    </w:div>
    <w:div w:id="1497380240">
      <w:bodyDiv w:val="1"/>
      <w:marLeft w:val="0"/>
      <w:marRight w:val="0"/>
      <w:marTop w:val="0"/>
      <w:marBottom w:val="0"/>
      <w:divBdr>
        <w:top w:val="none" w:sz="0" w:space="0" w:color="auto"/>
        <w:left w:val="none" w:sz="0" w:space="0" w:color="auto"/>
        <w:bottom w:val="none" w:sz="0" w:space="0" w:color="auto"/>
        <w:right w:val="none" w:sz="0" w:space="0" w:color="auto"/>
      </w:divBdr>
    </w:div>
    <w:div w:id="1534346214">
      <w:bodyDiv w:val="1"/>
      <w:marLeft w:val="0"/>
      <w:marRight w:val="0"/>
      <w:marTop w:val="0"/>
      <w:marBottom w:val="0"/>
      <w:divBdr>
        <w:top w:val="none" w:sz="0" w:space="0" w:color="auto"/>
        <w:left w:val="none" w:sz="0" w:space="0" w:color="auto"/>
        <w:bottom w:val="none" w:sz="0" w:space="0" w:color="auto"/>
        <w:right w:val="none" w:sz="0" w:space="0" w:color="auto"/>
      </w:divBdr>
    </w:div>
    <w:div w:id="1600022958">
      <w:bodyDiv w:val="1"/>
      <w:marLeft w:val="0"/>
      <w:marRight w:val="0"/>
      <w:marTop w:val="0"/>
      <w:marBottom w:val="0"/>
      <w:divBdr>
        <w:top w:val="none" w:sz="0" w:space="0" w:color="auto"/>
        <w:left w:val="none" w:sz="0" w:space="0" w:color="auto"/>
        <w:bottom w:val="none" w:sz="0" w:space="0" w:color="auto"/>
        <w:right w:val="none" w:sz="0" w:space="0" w:color="auto"/>
      </w:divBdr>
    </w:div>
    <w:div w:id="1611280162">
      <w:bodyDiv w:val="1"/>
      <w:marLeft w:val="0"/>
      <w:marRight w:val="0"/>
      <w:marTop w:val="0"/>
      <w:marBottom w:val="0"/>
      <w:divBdr>
        <w:top w:val="none" w:sz="0" w:space="0" w:color="auto"/>
        <w:left w:val="none" w:sz="0" w:space="0" w:color="auto"/>
        <w:bottom w:val="none" w:sz="0" w:space="0" w:color="auto"/>
        <w:right w:val="none" w:sz="0" w:space="0" w:color="auto"/>
      </w:divBdr>
    </w:div>
    <w:div w:id="1617834617">
      <w:bodyDiv w:val="1"/>
      <w:marLeft w:val="0"/>
      <w:marRight w:val="0"/>
      <w:marTop w:val="0"/>
      <w:marBottom w:val="0"/>
      <w:divBdr>
        <w:top w:val="none" w:sz="0" w:space="0" w:color="auto"/>
        <w:left w:val="none" w:sz="0" w:space="0" w:color="auto"/>
        <w:bottom w:val="none" w:sz="0" w:space="0" w:color="auto"/>
        <w:right w:val="none" w:sz="0" w:space="0" w:color="auto"/>
      </w:divBdr>
    </w:div>
    <w:div w:id="1637372163">
      <w:bodyDiv w:val="1"/>
      <w:marLeft w:val="0"/>
      <w:marRight w:val="0"/>
      <w:marTop w:val="0"/>
      <w:marBottom w:val="0"/>
      <w:divBdr>
        <w:top w:val="none" w:sz="0" w:space="0" w:color="auto"/>
        <w:left w:val="none" w:sz="0" w:space="0" w:color="auto"/>
        <w:bottom w:val="none" w:sz="0" w:space="0" w:color="auto"/>
        <w:right w:val="none" w:sz="0" w:space="0" w:color="auto"/>
      </w:divBdr>
    </w:div>
    <w:div w:id="1708947342">
      <w:bodyDiv w:val="1"/>
      <w:marLeft w:val="0"/>
      <w:marRight w:val="0"/>
      <w:marTop w:val="0"/>
      <w:marBottom w:val="0"/>
      <w:divBdr>
        <w:top w:val="none" w:sz="0" w:space="0" w:color="auto"/>
        <w:left w:val="none" w:sz="0" w:space="0" w:color="auto"/>
        <w:bottom w:val="none" w:sz="0" w:space="0" w:color="auto"/>
        <w:right w:val="none" w:sz="0" w:space="0" w:color="auto"/>
      </w:divBdr>
    </w:div>
    <w:div w:id="1757633172">
      <w:bodyDiv w:val="1"/>
      <w:marLeft w:val="0"/>
      <w:marRight w:val="0"/>
      <w:marTop w:val="0"/>
      <w:marBottom w:val="0"/>
      <w:divBdr>
        <w:top w:val="none" w:sz="0" w:space="0" w:color="auto"/>
        <w:left w:val="none" w:sz="0" w:space="0" w:color="auto"/>
        <w:bottom w:val="none" w:sz="0" w:space="0" w:color="auto"/>
        <w:right w:val="none" w:sz="0" w:space="0" w:color="auto"/>
      </w:divBdr>
    </w:div>
    <w:div w:id="1772822251">
      <w:bodyDiv w:val="1"/>
      <w:marLeft w:val="0"/>
      <w:marRight w:val="0"/>
      <w:marTop w:val="0"/>
      <w:marBottom w:val="0"/>
      <w:divBdr>
        <w:top w:val="none" w:sz="0" w:space="0" w:color="auto"/>
        <w:left w:val="none" w:sz="0" w:space="0" w:color="auto"/>
        <w:bottom w:val="none" w:sz="0" w:space="0" w:color="auto"/>
        <w:right w:val="none" w:sz="0" w:space="0" w:color="auto"/>
      </w:divBdr>
    </w:div>
    <w:div w:id="1774206424">
      <w:bodyDiv w:val="1"/>
      <w:marLeft w:val="0"/>
      <w:marRight w:val="0"/>
      <w:marTop w:val="0"/>
      <w:marBottom w:val="0"/>
      <w:divBdr>
        <w:top w:val="none" w:sz="0" w:space="0" w:color="auto"/>
        <w:left w:val="none" w:sz="0" w:space="0" w:color="auto"/>
        <w:bottom w:val="none" w:sz="0" w:space="0" w:color="auto"/>
        <w:right w:val="none" w:sz="0" w:space="0" w:color="auto"/>
      </w:divBdr>
    </w:div>
    <w:div w:id="1809395552">
      <w:bodyDiv w:val="1"/>
      <w:marLeft w:val="0"/>
      <w:marRight w:val="0"/>
      <w:marTop w:val="0"/>
      <w:marBottom w:val="0"/>
      <w:divBdr>
        <w:top w:val="none" w:sz="0" w:space="0" w:color="auto"/>
        <w:left w:val="none" w:sz="0" w:space="0" w:color="auto"/>
        <w:bottom w:val="none" w:sz="0" w:space="0" w:color="auto"/>
        <w:right w:val="none" w:sz="0" w:space="0" w:color="auto"/>
      </w:divBdr>
    </w:div>
    <w:div w:id="1831676910">
      <w:bodyDiv w:val="1"/>
      <w:marLeft w:val="0"/>
      <w:marRight w:val="0"/>
      <w:marTop w:val="0"/>
      <w:marBottom w:val="0"/>
      <w:divBdr>
        <w:top w:val="none" w:sz="0" w:space="0" w:color="auto"/>
        <w:left w:val="none" w:sz="0" w:space="0" w:color="auto"/>
        <w:bottom w:val="none" w:sz="0" w:space="0" w:color="auto"/>
        <w:right w:val="none" w:sz="0" w:space="0" w:color="auto"/>
      </w:divBdr>
    </w:div>
    <w:div w:id="1960793797">
      <w:bodyDiv w:val="1"/>
      <w:marLeft w:val="0"/>
      <w:marRight w:val="0"/>
      <w:marTop w:val="0"/>
      <w:marBottom w:val="0"/>
      <w:divBdr>
        <w:top w:val="none" w:sz="0" w:space="0" w:color="auto"/>
        <w:left w:val="none" w:sz="0" w:space="0" w:color="auto"/>
        <w:bottom w:val="none" w:sz="0" w:space="0" w:color="auto"/>
        <w:right w:val="none" w:sz="0" w:space="0" w:color="auto"/>
      </w:divBdr>
    </w:div>
    <w:div w:id="2000230588">
      <w:bodyDiv w:val="1"/>
      <w:marLeft w:val="0"/>
      <w:marRight w:val="0"/>
      <w:marTop w:val="0"/>
      <w:marBottom w:val="0"/>
      <w:divBdr>
        <w:top w:val="none" w:sz="0" w:space="0" w:color="auto"/>
        <w:left w:val="none" w:sz="0" w:space="0" w:color="auto"/>
        <w:bottom w:val="none" w:sz="0" w:space="0" w:color="auto"/>
        <w:right w:val="none" w:sz="0" w:space="0" w:color="auto"/>
      </w:divBdr>
    </w:div>
    <w:div w:id="202042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3.xml"/><Relationship Id="rId21" Type="http://schemas.openxmlformats.org/officeDocument/2006/relationships/footer" Target="footer6.xml"/><Relationship Id="rId34" Type="http://schemas.openxmlformats.org/officeDocument/2006/relationships/image" Target="media/image2.emf"/><Relationship Id="rId42" Type="http://schemas.openxmlformats.org/officeDocument/2006/relationships/footer" Target="footer14.xml"/><Relationship Id="rId47" Type="http://schemas.openxmlformats.org/officeDocument/2006/relationships/header" Target="header17.xml"/><Relationship Id="rId50" Type="http://schemas.openxmlformats.org/officeDocument/2006/relationships/header" Target="header18.xml"/><Relationship Id="rId55" Type="http://schemas.openxmlformats.org/officeDocument/2006/relationships/image" Target="media/image11.emf"/><Relationship Id="rId63" Type="http://schemas.openxmlformats.org/officeDocument/2006/relationships/header" Target="header20.xml"/><Relationship Id="rId68" Type="http://schemas.openxmlformats.org/officeDocument/2006/relationships/image" Target="media/image18.emf"/><Relationship Id="rId76" Type="http://schemas.openxmlformats.org/officeDocument/2006/relationships/image" Target="media/image20.emf"/><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image" Target="media/image5.emf"/><Relationship Id="rId40" Type="http://schemas.openxmlformats.org/officeDocument/2006/relationships/header" Target="header14.xml"/><Relationship Id="rId45" Type="http://schemas.openxmlformats.org/officeDocument/2006/relationships/image" Target="media/image7.emf"/><Relationship Id="rId53" Type="http://schemas.openxmlformats.org/officeDocument/2006/relationships/image" Target="media/image9.emf"/><Relationship Id="rId58" Type="http://schemas.openxmlformats.org/officeDocument/2006/relationships/image" Target="media/image14.emf"/><Relationship Id="rId66" Type="http://schemas.openxmlformats.org/officeDocument/2006/relationships/header" Target="header21.xml"/><Relationship Id="rId74" Type="http://schemas.openxmlformats.org/officeDocument/2006/relationships/header" Target="header24.xml"/><Relationship Id="rId79" Type="http://schemas.openxmlformats.org/officeDocument/2006/relationships/footer" Target="footer25.xml"/><Relationship Id="rId5" Type="http://schemas.openxmlformats.org/officeDocument/2006/relationships/settings" Target="settings.xml"/><Relationship Id="rId61" Type="http://schemas.openxmlformats.org/officeDocument/2006/relationships/image" Target="media/image17.emf"/><Relationship Id="rId82" Type="http://schemas.openxmlformats.org/officeDocument/2006/relationships/footer" Target="footer2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footer" Target="footer15.xml"/><Relationship Id="rId52" Type="http://schemas.openxmlformats.org/officeDocument/2006/relationships/image" Target="media/image8.emf"/><Relationship Id="rId60" Type="http://schemas.openxmlformats.org/officeDocument/2006/relationships/image" Target="media/image16.emf"/><Relationship Id="rId65" Type="http://schemas.openxmlformats.org/officeDocument/2006/relationships/footer" Target="footer20.xml"/><Relationship Id="rId73" Type="http://schemas.openxmlformats.org/officeDocument/2006/relationships/footer" Target="footer23.xml"/><Relationship Id="rId78" Type="http://schemas.openxmlformats.org/officeDocument/2006/relationships/header" Target="header26.xml"/><Relationship Id="rId81" Type="http://schemas.openxmlformats.org/officeDocument/2006/relationships/header" Target="header2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3.emf"/><Relationship Id="rId43" Type="http://schemas.openxmlformats.org/officeDocument/2006/relationships/header" Target="header15.xml"/><Relationship Id="rId48" Type="http://schemas.openxmlformats.org/officeDocument/2006/relationships/footer" Target="footer16.xml"/><Relationship Id="rId56" Type="http://schemas.openxmlformats.org/officeDocument/2006/relationships/image" Target="media/image12.emf"/><Relationship Id="rId64" Type="http://schemas.openxmlformats.org/officeDocument/2006/relationships/footer" Target="footer19.xml"/><Relationship Id="rId69" Type="http://schemas.openxmlformats.org/officeDocument/2006/relationships/image" Target="media/image19.emf"/><Relationship Id="rId77"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footer" Target="footer22.xml"/><Relationship Id="rId80" Type="http://schemas.openxmlformats.org/officeDocument/2006/relationships/footer" Target="footer2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6.emf"/><Relationship Id="rId46" Type="http://schemas.openxmlformats.org/officeDocument/2006/relationships/header" Target="header16.xml"/><Relationship Id="rId59" Type="http://schemas.openxmlformats.org/officeDocument/2006/relationships/image" Target="media/image15.emf"/><Relationship Id="rId67" Type="http://schemas.openxmlformats.org/officeDocument/2006/relationships/footer" Target="footer21.xml"/><Relationship Id="rId20" Type="http://schemas.openxmlformats.org/officeDocument/2006/relationships/header" Target="header6.xml"/><Relationship Id="rId41" Type="http://schemas.openxmlformats.org/officeDocument/2006/relationships/footer" Target="footer13.xml"/><Relationship Id="rId54" Type="http://schemas.openxmlformats.org/officeDocument/2006/relationships/image" Target="media/image10.emf"/><Relationship Id="rId62" Type="http://schemas.openxmlformats.org/officeDocument/2006/relationships/header" Target="header19.xml"/><Relationship Id="rId70" Type="http://schemas.openxmlformats.org/officeDocument/2006/relationships/header" Target="header22.xml"/><Relationship Id="rId75" Type="http://schemas.openxmlformats.org/officeDocument/2006/relationships/footer" Target="footer2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4.emf"/><Relationship Id="rId49" Type="http://schemas.openxmlformats.org/officeDocument/2006/relationships/footer" Target="footer17.xml"/><Relationship Id="rId57" Type="http://schemas.openxmlformats.org/officeDocument/2006/relationships/image" Target="media/image13.emf"/></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qid=1562591970533&amp;uri=CELEX:52018SC0192" TargetMode="External"/><Relationship Id="rId13" Type="http://schemas.openxmlformats.org/officeDocument/2006/relationships/hyperlink" Target="https://eur-lex.europa.eu/legal-content/it/TXT/?uri=CELEX%3A32018R1046" TargetMode="External"/><Relationship Id="rId3" Type="http://schemas.openxmlformats.org/officeDocument/2006/relationships/hyperlink" Target="https://ec.europa.eu/eurostat/web/products-manuals-and-guidelines/-/KS-RA-07-015" TargetMode="External"/><Relationship Id="rId7" Type="http://schemas.openxmlformats.org/officeDocument/2006/relationships/hyperlink" Target="https://ec.europa.eu/social/main.jsp?catId=326&amp;langId=it" TargetMode="External"/><Relationship Id="rId12" Type="http://schemas.openxmlformats.org/officeDocument/2006/relationships/hyperlink" Target="https://eur-lex.europa.eu/legal-content/IT/TXT/?uri=CELEX:52018PC0380" TargetMode="External"/><Relationship Id="rId2" Type="http://schemas.openxmlformats.org/officeDocument/2006/relationships/hyperlink" Target="https://eur-lex.europa.eu/legal-content/IT/TXT/?uri=CELEX:52018DC0321" TargetMode="External"/><Relationship Id="rId16" Type="http://schemas.openxmlformats.org/officeDocument/2006/relationships/hyperlink" Target="https://eur-lex.europa.eu/legal-content/EN/TXT/PDF/?uri=CELEX:52018SC0289&amp;qid=1565604058690&amp;from=IT" TargetMode="External"/><Relationship Id="rId1" Type="http://schemas.openxmlformats.org/officeDocument/2006/relationships/hyperlink" Target="https://eur-lex.europa.eu/legal-content/IT/TXT/?uri=CELEX:52018DC0321" TargetMode="External"/><Relationship Id="rId6" Type="http://schemas.openxmlformats.org/officeDocument/2006/relationships/hyperlink" Target="https://ec.europa.eu/social/main.jsp?catId=326&amp;langId=it" TargetMode="External"/><Relationship Id="rId11" Type="http://schemas.openxmlformats.org/officeDocument/2006/relationships/hyperlink" Target="https://eur-lex.europa.eu/legal-content/IT/TXT/PDF/?uri=CELEX:52018DC0297&amp;from=IT" TargetMode="External"/><Relationship Id="rId5" Type="http://schemas.openxmlformats.org/officeDocument/2006/relationships/hyperlink" Target="https://publications.europa.eu/it/publication-detail/-/publication/8c4ba2de-ce2f-11e5-a4b5-01aa75ed71a1" TargetMode="External"/><Relationship Id="rId15" Type="http://schemas.openxmlformats.org/officeDocument/2006/relationships/hyperlink" Target="https://eur-lex.europa.eu/legal-content/EN/TXT/PDF/?uri=CELEX:52018SC0289&amp;qid=1565604058690&amp;from=IT" TargetMode="External"/><Relationship Id="rId10" Type="http://schemas.openxmlformats.org/officeDocument/2006/relationships/hyperlink" Target="https://publications.europa.eu/it/publication-detail/-/publication/57273012-b7cb-11e8-99ee-01aa75ed71a1" TargetMode="External"/><Relationship Id="rId4" Type="http://schemas.openxmlformats.org/officeDocument/2006/relationships/hyperlink" Target="https://publications.europa.eu/it/publication-detail/-/publication/8c4ba2de-ce2f-11e5-a4b5-01aa75ed71a1" TargetMode="External"/><Relationship Id="rId9" Type="http://schemas.openxmlformats.org/officeDocument/2006/relationships/hyperlink" Target="https://eur-lex.europa.eu/legal-content/EN/TXT/?qid=1562591970533&amp;uri=CELEX:52018SC0192" TargetMode="External"/><Relationship Id="rId14" Type="http://schemas.openxmlformats.org/officeDocument/2006/relationships/hyperlink" Target="https://eur-lex.europa.eu/legal-content/it/TXT/?uri=CELEX%3A32018R10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8FA2D-F31A-40A4-A050-3059BD275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8098</Words>
  <Characters>44865</Characters>
  <Application>Microsoft Office Word</Application>
  <DocSecurity>0</DocSecurity>
  <Lines>723</Lines>
  <Paragraphs>255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2019-08-29T09:07:00Z</dcterms:created>
  <dcterms:modified xsi:type="dcterms:W3CDTF">2019-09-09T12:28:00Z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 Build 20190717</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CP-006</vt:lpwstr>
  </property>
</Properties>
</file>