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131E309-941A-447F-9326-70BF61EFC8B4" style="width:450.75pt;height:379.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Calibri"/>
          <w:noProof/>
        </w:rPr>
      </w:pPr>
      <w:r>
        <w:rPr>
          <w:noProof/>
        </w:rPr>
        <w:t xml:space="preserve">Tämä ehdotus koskee päätöstä elohopeaa koskevan Minamatan yleissopimuksen sopimuspuolten konferenssin kolmannessa kokouksessa unionin puolesta otettavasta kannasta kyseisen yleissopimuksen 11 artiklan 2 kohdassa tarkoitetun elohopeajätteen raja-arvot vahvistavan päätöksen aiottua hyväksymistä varten. </w:t>
      </w:r>
    </w:p>
    <w:p>
      <w:pPr>
        <w:pStyle w:val="ManualHeading1"/>
        <w:rPr>
          <w:rFonts w:eastAsia="Arial Unicode MS"/>
          <w:noProof/>
        </w:rPr>
      </w:pPr>
      <w:r>
        <w:t>2.</w:t>
      </w:r>
      <w:r>
        <w:tab/>
      </w:r>
      <w:r>
        <w:rPr>
          <w:noProof/>
        </w:rPr>
        <w:t>Ehdotuksen tausta</w:t>
      </w:r>
    </w:p>
    <w:p>
      <w:pPr>
        <w:pStyle w:val="ManualHeading2"/>
        <w:rPr>
          <w:noProof/>
        </w:rPr>
      </w:pPr>
      <w:r>
        <w:t>2.1.</w:t>
      </w:r>
      <w:r>
        <w:tab/>
      </w:r>
      <w:r>
        <w:rPr>
          <w:noProof/>
        </w:rPr>
        <w:t>Elohopeaa koskeva Minamatan yleissopimus</w:t>
      </w:r>
    </w:p>
    <w:p>
      <w:pPr>
        <w:rPr>
          <w:noProof/>
        </w:rPr>
      </w:pPr>
      <w:r>
        <w:rPr>
          <w:noProof/>
        </w:rPr>
        <w:t xml:space="preserve">Elohopeaa koskeva Minamatan yleissopimus, jäljempänä ’sopimus’, on pääasiallinen kansainvälinen lainsäädäntökehys, jonka tavoitteena on ihmisten terveyden ja ympäristön suojeleminen ihmisen toiminnasta johtuvilta elohopean ja elohopeayhdisteiden päästöiltä ilmaan, veteen ja maaperään. Yleissopimus kattaa elohopean koko elinkaaren elohopean louhinnasta sen loppusijoitukseen. </w:t>
      </w:r>
    </w:p>
    <w:p>
      <w:pPr>
        <w:rPr>
          <w:rFonts w:eastAsia="Arial Unicode MS"/>
          <w:noProof/>
        </w:rPr>
      </w:pPr>
      <w:r>
        <w:rPr>
          <w:noProof/>
        </w:rPr>
        <w:t xml:space="preserve">Sopimuksen 11 artiklan 2 kohdassa määrätään, että kyseisessä sopimuksessa ”elohopeajätteellä” tarkoitetaan aineita tai esineitä, a) jotka koostuvat elohopeasta tai elohopeayhdisteistä tai b) jotka sisältävät elohopeaa tai elohopeayhdisteitä tai c) jotka ovat saastuneet elohopeasta tai elohopeayhdisteistä, joiden määrä ylittää osapuolten konferenssin määrittämät asiaankuuluvat raja-arvot, ja jotka loppusijoitetaan tai aiotaan loppusijoittaa tai jotka on velvollisuus loppusijoittaa kansallisen lainsäädännön säännösten tai yleissopimuksen määräysten mukaisesti.  Kyseisessä määräyksessä lisätään, että ”elohopeajätteen” määritelmään ei kuulu kaivosjäte (pintakerros, sivukivi ja mineraalijäte) uuden elohopean tuotantoa lukuun ottamatta, kun se sisältää elohopeaa tai elohopeayhdisteitä osapuolten konferenssin määrittämät raja-arvot alittavina määrinä. </w:t>
      </w:r>
    </w:p>
    <w:p>
      <w:pPr>
        <w:rPr>
          <w:rFonts w:eastAsia="Arial Unicode MS"/>
          <w:noProof/>
        </w:rPr>
      </w:pPr>
      <w:r>
        <w:rPr>
          <w:noProof/>
        </w:rPr>
        <w:t xml:space="preserve">Sopimuksen 11 artiklan 3 kohdassa täsmennetään, että sen 11 artiklan 2 kohdan mukaan elohopeajätteeksi luokiteltava jäte on käsiteltävä ympäristön kannalta kestävällä tavalla.   </w:t>
      </w:r>
    </w:p>
    <w:p>
      <w:pPr>
        <w:rPr>
          <w:rFonts w:eastAsia="Arial Unicode MS"/>
          <w:noProof/>
        </w:rPr>
      </w:pPr>
      <w:r>
        <w:rPr>
          <w:noProof/>
        </w:rPr>
        <w:t>Sopimus tuli voimaan 16. elokuuta 2017.</w:t>
      </w:r>
    </w:p>
    <w:p>
      <w:pPr>
        <w:rPr>
          <w:rFonts w:eastAsia="Arial Unicode MS"/>
          <w:noProof/>
        </w:rPr>
      </w:pPr>
      <w:r>
        <w:rPr>
          <w:noProof/>
        </w:rPr>
        <w:t>Euroopan unioni sekä useimmat jäsenvaltiot ovat sopimuksen</w:t>
      </w:r>
      <w:r>
        <w:rPr>
          <w:rStyle w:val="FootnoteReference"/>
          <w:noProof/>
          <w:szCs w:val="20"/>
        </w:rPr>
        <w:footnoteReference w:id="2"/>
      </w:r>
      <w:r>
        <w:rPr>
          <w:noProof/>
        </w:rPr>
        <w:t xml:space="preserve"> sopimuspuolia</w:t>
      </w:r>
      <w:r>
        <w:rPr>
          <w:rStyle w:val="FootnoteReference"/>
          <w:noProof/>
          <w:szCs w:val="20"/>
        </w:rPr>
        <w:footnoteReference w:id="3"/>
      </w:r>
      <w:r>
        <w:rPr>
          <w:noProof/>
        </w:rPr>
        <w:t>.</w:t>
      </w:r>
    </w:p>
    <w:p>
      <w:pPr>
        <w:pStyle w:val="ManualHeading2"/>
        <w:rPr>
          <w:noProof/>
        </w:rPr>
      </w:pPr>
      <w:r>
        <w:t>2.2.</w:t>
      </w:r>
      <w:r>
        <w:tab/>
      </w:r>
      <w:r>
        <w:rPr>
          <w:noProof/>
        </w:rPr>
        <w:t xml:space="preserve">Sopimuspuolten konferenssi  </w:t>
      </w:r>
    </w:p>
    <w:p>
      <w:pPr>
        <w:rPr>
          <w:rFonts w:eastAsia="Arial Unicode MS"/>
          <w:noProof/>
        </w:rPr>
      </w:pPr>
      <w:r>
        <w:rPr>
          <w:noProof/>
        </w:rPr>
        <w:t>Sopimuspuolten konferenssi huolehtii sille sopimuksessa määrättyjen tehtävien suorittamisesta ja harkitsee ja toteuttaa tätä varten muun muassa sopimuksen tavoitteiden saavuttamiseen tarvittavia lisätoimia, kuten hyväksyy merkityksellisiä suuntaviivoja.</w:t>
      </w:r>
    </w:p>
    <w:p>
      <w:pPr>
        <w:pStyle w:val="Default"/>
        <w:spacing w:before="120" w:after="120"/>
        <w:jc w:val="both"/>
        <w:rPr>
          <w:noProof/>
        </w:rPr>
      </w:pPr>
      <w:r>
        <w:rPr>
          <w:noProof/>
        </w:rPr>
        <w:t xml:space="preserve">Sopimuspuolten konferenssin ensimmäisessä kokouksessaan (24.–29. syyskuuta 2017) hyväksymän työjärjestystä koskevan päätöksen MC-1/1 ja sopimuksen 28 artiklan mukaisesti kullakin sopimuspuolella on yksi ääni. Unionilla on kuitenkin alueellisena taloudellisen yhdentymisen järjestönä sen omaan toimivaltaan kuuluvissa asioissa oikeus käyttää äänimäärää, joka vastaa sen tämän sopimuksen sopimuspuolina olevien jäsenvaltioiden </w:t>
      </w:r>
      <w:r>
        <w:rPr>
          <w:noProof/>
        </w:rPr>
        <w:lastRenderedPageBreak/>
        <w:t xml:space="preserve">lukumäärää. Unioni ei saa käyttää äänioikeuttaan, jos joku sen jäsenvaltioista käyttää omaa äänioikeuttaan, ja päinvastoin. </w:t>
      </w:r>
    </w:p>
    <w:p>
      <w:pPr>
        <w:pStyle w:val="ManualHeading2"/>
        <w:rPr>
          <w:noProof/>
        </w:rPr>
      </w:pPr>
      <w:r>
        <w:t>2.3.</w:t>
      </w:r>
      <w:r>
        <w:tab/>
      </w:r>
      <w:r>
        <w:rPr>
          <w:noProof/>
        </w:rPr>
        <w:t xml:space="preserve">Suunniteltu sopimuspuolten konferenssin säädös </w:t>
      </w:r>
    </w:p>
    <w:p>
      <w:pPr>
        <w:spacing w:before="0" w:after="0"/>
        <w:rPr>
          <w:rFonts w:eastAsia="Arial Unicode MS"/>
          <w:noProof/>
        </w:rPr>
      </w:pPr>
      <w:r>
        <w:rPr>
          <w:noProof/>
        </w:rPr>
        <w:t>Sopimuspuolten konferenssi hyväksyi toisessa kokouksessaan (19.–23. marraskuuta 2018) päätöksen MC-2/2</w:t>
      </w:r>
      <w:r>
        <w:rPr>
          <w:rStyle w:val="FootnoteReference"/>
          <w:noProof/>
        </w:rPr>
        <w:footnoteReference w:id="4"/>
      </w:r>
      <w:r>
        <w:rPr>
          <w:noProof/>
        </w:rPr>
        <w:t xml:space="preserve">, jolla perustettiin teknisten asiantuntijoiden ryhmä jatkamaan keskusteluja elohopeajätteen raja-arvoista kokousten välisenä aikana sopimuspuolten konferenssin kolmatta kokousta varten. Edellä mainitun ryhmän toimeksiannossa kehotettiin erityisesti kehittämään lähestymistapoja ja menetelmiä elohopeajätteen sekä asianomaisen kaivostoiminnan jätteen raja-arvojen vahvistamista varten. </w:t>
      </w:r>
    </w:p>
    <w:p>
      <w:pPr>
        <w:spacing w:before="0" w:after="0"/>
        <w:rPr>
          <w:rFonts w:eastAsia="Arial Unicode MS"/>
          <w:noProof/>
        </w:rPr>
      </w:pPr>
    </w:p>
    <w:p>
      <w:pPr>
        <w:spacing w:before="0" w:after="0"/>
        <w:rPr>
          <w:rFonts w:eastAsia="Arial Unicode MS"/>
          <w:noProof/>
        </w:rPr>
      </w:pPr>
      <w:r>
        <w:rPr>
          <w:noProof/>
        </w:rPr>
        <w:t xml:space="preserve">Sopimuspuolten konferenssin on tarkoitus hyväksyä kolmannessa kokouksessaan asiantuntijatyön tulosten perusteella tätä asiaa koskeva päätös, jäljempänä ’suunniteltu säädös’. </w:t>
      </w:r>
    </w:p>
    <w:p>
      <w:pPr>
        <w:spacing w:before="0" w:after="0"/>
        <w:rPr>
          <w:rFonts w:eastAsia="Arial Unicode MS"/>
          <w:noProof/>
        </w:rPr>
      </w:pPr>
    </w:p>
    <w:p>
      <w:pPr>
        <w:spacing w:before="0" w:after="0"/>
        <w:rPr>
          <w:rFonts w:eastAsia="Arial Unicode MS"/>
          <w:noProof/>
        </w:rPr>
      </w:pPr>
      <w:r>
        <w:rPr>
          <w:noProof/>
        </w:rPr>
        <w:t xml:space="preserve">Suunnitellussa säädöksessä vahvistetaan raja-arvot, joiden perusteella voidaan yksilöidä ne jätteet, a) jotka koostuvat elohopeasta tai elohopeayhdisteistä tai b) jotka sisältävät elohopeaa tai elohopeayhdisteitä tai c) jotka ovat saastuneet elohopeasta tai elohopeayhdisteistä, joihin tullaan soveltamaan sopimuksen 11 artiklaa. Suunnitellussa säädöksessä määritellään, missä määrin jätteitä koskevia sopimuksen määräyksiä, ja erityisesti sen 11 artiklan 3 kohdan määräyksiä, sovelletaan velvollisuuteen käsitellä asianomainen elohopeajäte ympäristön kannalta kestävällä tavalla. </w:t>
      </w:r>
    </w:p>
    <w:p>
      <w:pPr>
        <w:pStyle w:val="ManualHeading1"/>
        <w:rPr>
          <w:rFonts w:eastAsia="Arial Unicode MS"/>
          <w:noProof/>
        </w:rPr>
      </w:pPr>
      <w:r>
        <w:t>3.</w:t>
      </w:r>
      <w:r>
        <w:tab/>
      </w:r>
      <w:r>
        <w:rPr>
          <w:noProof/>
        </w:rPr>
        <w:t>Unionin puolesta otettava kanta</w:t>
      </w:r>
    </w:p>
    <w:p>
      <w:pPr>
        <w:spacing w:before="0" w:after="0"/>
        <w:rPr>
          <w:rFonts w:eastAsia="Calibri"/>
          <w:noProof/>
        </w:rPr>
      </w:pPr>
      <w:r>
        <w:rPr>
          <w:noProof/>
        </w:rPr>
        <w:t xml:space="preserve">Ehdotettu unionin puolesta otettava kanta on tukea EU:n säännöstön mukaisen päätöksen hyväksymistä sopimuspuolten konferenssin kolmannessa kokouksessa. </w:t>
      </w:r>
    </w:p>
    <w:p>
      <w:pPr>
        <w:pStyle w:val="Default"/>
        <w:rPr>
          <w:noProof/>
        </w:rPr>
      </w:pPr>
    </w:p>
    <w:p>
      <w:pPr>
        <w:pStyle w:val="Default"/>
        <w:jc w:val="both"/>
        <w:rPr>
          <w:noProof/>
        </w:rPr>
      </w:pPr>
      <w:r>
        <w:rPr>
          <w:noProof/>
        </w:rPr>
        <w:t>Elohopeajätettä säännellään EU:n tasolla etenkin elohopeasta ja asetuksen (EY) N:o 1102/2008 kumoamisesta 17 päivänä toukokuuta 2017 annetulla Euroopan parlamentin ja neuvoston asetuksella (EU) 2017/852</w:t>
      </w:r>
      <w:r>
        <w:rPr>
          <w:rStyle w:val="FootnoteReference"/>
          <w:noProof/>
          <w:szCs w:val="20"/>
        </w:rPr>
        <w:footnoteReference w:id="5"/>
      </w:r>
      <w:r>
        <w:rPr>
          <w:noProof/>
        </w:rPr>
        <w:t>, jätteistä 19 päivänä marraskuuta 2008 annetulla Euroopan parlamentin ja neuvoston direktiivillä 2008/98/EY</w:t>
      </w:r>
      <w:r>
        <w:rPr>
          <w:rStyle w:val="FootnoteReference"/>
          <w:noProof/>
          <w:szCs w:val="20"/>
        </w:rPr>
        <w:footnoteReference w:id="6"/>
      </w:r>
      <w:r>
        <w:rPr>
          <w:noProof/>
        </w:rPr>
        <w:t>, kaivannaisteollisuuden jätehuollosta ja direktiivin 2004/35/EY muuttamisesta 15 päivänä maaliskuuta 2006 annetulla Euroopan parlamentin ja neuvoston direktiivillä 2006/21/EY</w:t>
      </w:r>
      <w:r>
        <w:rPr>
          <w:rStyle w:val="FootnoteReference"/>
          <w:noProof/>
          <w:szCs w:val="20"/>
        </w:rPr>
        <w:footnoteReference w:id="7"/>
      </w:r>
      <w:r>
        <w:rPr>
          <w:noProof/>
        </w:rPr>
        <w:t xml:space="preserve"> ja jätteistä annetun neuvoston direktiivin 75/442/ETY 1 artiklan a alakohdan mukaisen jäteluettelon laatimisesta tehdyn komission päätöksen 94/3/EY ja vaarallisista jätteistä annetun neuvoston direktiivin 91/689/ETY 1 artiklan 4 kohdan mukaisen vaarallisten jätteiden luettelon laatimisesta tehdyn neuvoston päätöksen 94/904/EY korvaamisesta 3 päivänä toukokuuta 2000 tehdyllä komission päätöksellä 2000/532/EY</w:t>
      </w:r>
      <w:r>
        <w:rPr>
          <w:rStyle w:val="FootnoteReference"/>
          <w:noProof/>
          <w:szCs w:val="20"/>
        </w:rPr>
        <w:footnoteReference w:id="8"/>
      </w:r>
      <w:r>
        <w:rPr>
          <w:noProof/>
        </w:rPr>
        <w:t xml:space="preserve">.   </w:t>
      </w:r>
    </w:p>
    <w:p>
      <w:pPr>
        <w:pStyle w:val="Default"/>
        <w:jc w:val="both"/>
        <w:rPr>
          <w:noProof/>
        </w:rPr>
      </w:pPr>
    </w:p>
    <w:p>
      <w:pPr>
        <w:pStyle w:val="Default"/>
        <w:jc w:val="both"/>
        <w:rPr>
          <w:noProof/>
        </w:rPr>
      </w:pPr>
      <w:r>
        <w:rPr>
          <w:noProof/>
        </w:rPr>
        <w:t xml:space="preserve">EU:n jätelainsäädäntö perustuu edellä mainitun direktiivin 2008/98/EY 13 ja 17 artiklassa vahvistettuihin keskeisiin velvoitteisiin, joiden mukaan jäsenvaltioiden on toteutettava </w:t>
      </w:r>
      <w:r>
        <w:rPr>
          <w:noProof/>
        </w:rPr>
        <w:lastRenderedPageBreak/>
        <w:t xml:space="preserve">tarvittavat toimenpiteet sen varmistamiseksi, että jätehuolto tapahtuu vaarantamatta ihmisten terveyttä ja vahingoittamatta ympäristöä. Kyseisillä säännöksillä pannaan täytäntöön sopimuksen 11 artiklan 3 kohdassa vahvistettu velvoite toimia ympäristön kannalta kestävällä tavalla.    </w:t>
      </w:r>
    </w:p>
    <w:p>
      <w:pPr>
        <w:pStyle w:val="Default"/>
        <w:rPr>
          <w:noProof/>
        </w:rPr>
      </w:pPr>
    </w:p>
    <w:p>
      <w:pPr>
        <w:pStyle w:val="Default"/>
        <w:jc w:val="both"/>
        <w:rPr>
          <w:noProof/>
        </w:rPr>
      </w:pPr>
      <w:r>
        <w:rPr>
          <w:noProof/>
        </w:rPr>
        <w:t>EU:lla on ollut keskeinen rooli sopimuksen ja sen elohopeajätettä koskevien määräysten kehittämisessä ja EU:n asiantuntijoiden panos säädöksen laatimisessa on ollut merkittävä, mutta samalla jätettä koskeva EU:n säännöstö ulottuu sopimuksen 11 artiklaa pidemmälle, sillä kaikkea kyseisessä määräyksessä tarkoitettua elohopeajätettä säännellään EU:n tasolla ja sitä on käsiteltävä ympäristön kannalta kestävällä tavalla riippumatta sen elohopea- tai elohopeayhdistepitoisuudesta.</w:t>
      </w:r>
    </w:p>
    <w:p>
      <w:pPr>
        <w:pStyle w:val="Default"/>
        <w:rPr>
          <w:noProof/>
        </w:rPr>
      </w:pPr>
    </w:p>
    <w:p>
      <w:pPr>
        <w:spacing w:before="0" w:after="0"/>
        <w:rPr>
          <w:noProof/>
          <w:szCs w:val="24"/>
        </w:rPr>
      </w:pPr>
      <w:r>
        <w:rPr>
          <w:noProof/>
        </w:rPr>
        <w:t xml:space="preserve">Edellä esitetyn perusteella EU voi siis tukea EU:n säännösten mukaisen suunnitellun säädöksen hyväksymistä. </w:t>
      </w:r>
    </w:p>
    <w:p>
      <w:pPr>
        <w:spacing w:before="0" w:after="0"/>
        <w:rPr>
          <w:noProof/>
          <w:szCs w:val="24"/>
        </w:rPr>
      </w:pPr>
    </w:p>
    <w:p>
      <w:pPr>
        <w:spacing w:before="0" w:after="0"/>
        <w:rPr>
          <w:rFonts w:eastAsia="Calibri"/>
          <w:i/>
          <w:noProof/>
        </w:rPr>
      </w:pPr>
      <w:r>
        <w:rPr>
          <w:noProof/>
        </w:rPr>
        <w:t>Näin ollen EU voi sopimuksen sopimuspuolten konferenssin kolmannessa kokouksessa tukea ainoastaan sellaisen päätöksen hyväksymistä, joka on EU:n säännöstön mukainen.</w:t>
      </w:r>
      <w:r>
        <w:rPr>
          <w:i/>
          <w:noProof/>
        </w:rPr>
        <w:t xml:space="preserve">  </w:t>
      </w:r>
    </w:p>
    <w:p>
      <w:pPr>
        <w:rPr>
          <w:rFonts w:eastAsia="Calibri"/>
          <w:noProof/>
        </w:rPr>
      </w:pPr>
      <w:r>
        <w:rPr>
          <w:noProof/>
        </w:rPr>
        <w:t>Unionin kanta on tarpeen, sillä kun suunniteltu säädös on hyväksytty, sopimuspuolten on pantava se täytäntöön.</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kattaa myös säädökset, joilla on oikeusvaikutuksia kyseiseen elimeen sovellettavan kansainvälisen oikeuden nojalla. Se kattaa myös välineet, joilla ei ole sitovaa vaikutusta kansainvälisen oikeuden nojalla, mutta jotka ”</w:t>
      </w:r>
      <w:r>
        <w:rPr>
          <w:i/>
          <w:noProof/>
        </w:rPr>
        <w:t>voivat vaikuttaa ratkaisevasti sen säännöstön sisältöön, jonka unionin lainsäätäjä antaa</w:t>
      </w:r>
      <w:r>
        <w:rPr>
          <w:noProof/>
        </w:rPr>
        <w:t>”</w:t>
      </w:r>
      <w:r>
        <w:rPr>
          <w:rStyle w:val="FootnoteReference"/>
          <w:noProof/>
          <w:szCs w:val="20"/>
        </w:rPr>
        <w:footnoteReference w:id="9"/>
      </w:r>
      <w:r>
        <w:rPr>
          <w:noProof/>
        </w:rPr>
        <w:t>.</w:t>
      </w:r>
    </w:p>
    <w:p>
      <w:pPr>
        <w:pStyle w:val="ManualHeading3"/>
        <w:rPr>
          <w:noProof/>
        </w:rPr>
      </w:pPr>
      <w:r>
        <w:t>4.1.2.</w:t>
      </w:r>
      <w:r>
        <w:tab/>
      </w:r>
      <w:r>
        <w:rPr>
          <w:noProof/>
        </w:rPr>
        <w:t>Soveltaminen käsiteltävänä olevassa asiassa</w:t>
      </w:r>
    </w:p>
    <w:p>
      <w:pPr>
        <w:rPr>
          <w:noProof/>
        </w:rPr>
      </w:pPr>
      <w:r>
        <w:rPr>
          <w:noProof/>
        </w:rPr>
        <w:t>Sopimuspuolten konferenssi on elohopeaa koskevalla Minamatan yleissopimuksella perustettu elin.</w:t>
      </w:r>
    </w:p>
    <w:p>
      <w:pPr>
        <w:rPr>
          <w:rFonts w:eastAsia="Calibri"/>
          <w:noProof/>
        </w:rPr>
      </w:pPr>
      <w:r>
        <w:rPr>
          <w:noProof/>
        </w:rPr>
        <w:t>Suunniteltu säädös, joka sopimuspuolten konferenssin on määrä hyväksyä, on säädös, jolla on oikeusvaikutuksia. Suunnitellulla säädöksellä on oikeusvaikutuksia, koska sopimuspuolten on toteutettava toimenpiteitä sen varmistamiseksi, että sopimus pannaan täytäntöön ja sitä noudatetaan.</w:t>
      </w:r>
    </w:p>
    <w:p>
      <w:pPr>
        <w:rPr>
          <w:noProof/>
        </w:rPr>
      </w:pPr>
      <w:r>
        <w:rPr>
          <w:noProof/>
        </w:rPr>
        <w:t>Suunnitellulla säädöksellä ei täydennetä tai muuteta sopimuksen institutionaalisia rakenteita.</w:t>
      </w:r>
    </w:p>
    <w:p>
      <w:pPr>
        <w:rPr>
          <w:noProof/>
        </w:rPr>
      </w:pPr>
      <w:r>
        <w:rPr>
          <w:noProof/>
        </w:rPr>
        <w:lastRenderedPageBreak/>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hyväksyttävän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käsiteltävänä olevassa asiassa</w:t>
      </w:r>
    </w:p>
    <w:p>
      <w:pPr>
        <w:rPr>
          <w:noProof/>
        </w:rPr>
      </w:pPr>
      <w:r>
        <w:rPr>
          <w:noProof/>
        </w:rPr>
        <w:t>Suunnitellun säädöksen pääasiallinen tavoite ja sisältö liittyvät ympäristöön.</w:t>
      </w:r>
    </w:p>
    <w:p>
      <w:pPr>
        <w:rPr>
          <w:i/>
          <w:noProof/>
        </w:rPr>
      </w:pPr>
      <w:r>
        <w:rPr>
          <w:noProof/>
        </w:rPr>
        <w:t>Sen vuoksi ehdotetun päätöksen aineellinen oikeusperusta on SEUT-sopimuksen 192 artiklan 1 kohta.</w:t>
      </w:r>
    </w:p>
    <w:p>
      <w:pPr>
        <w:pStyle w:val="ManualHeading2"/>
        <w:rPr>
          <w:noProof/>
        </w:rPr>
      </w:pPr>
      <w:r>
        <w:t>4.3.</w:t>
      </w:r>
      <w:r>
        <w:tab/>
      </w:r>
      <w:r>
        <w:rPr>
          <w:noProof/>
        </w:rPr>
        <w:t>Päätelmät</w:t>
      </w:r>
    </w:p>
    <w:p>
      <w:pPr>
        <w:rPr>
          <w:noProof/>
        </w:rPr>
      </w:pPr>
      <w:r>
        <w:rPr>
          <w:noProof/>
        </w:rPr>
        <w:t>Ehdotetun päätöksen oikeusperustana tulisi olla SEUT-sopimuksen 192 artiklan 1 kohta yhdessä SEUT-sopimuksen 218 artiklan 9 kohdan kanssa.</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2019/0193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elohopeaa koskevan Minamatan yleissopimuksen sopimuspuolten konferenssin kolmannessa kokouksessa Euroopan unionin puolesta otettavasta kannasta kyseisen yleissopimuksen 11 artiklan 2 kohdassa tarkoitetun elohopeajätteen raja-arvot vahvistavan päätöksen hyväksymistä varten</w:t>
      </w:r>
    </w:p>
    <w:p>
      <w:pPr>
        <w:pStyle w:val="Institutionquiagit"/>
        <w:rPr>
          <w:b/>
          <w:noProof/>
        </w:rPr>
      </w:pPr>
      <w:r>
        <w:rPr>
          <w:b/>
          <w:noProof/>
        </w:rPr>
        <w:t>EUROOPAN UNIONIN NEUVOSTO, joka</w:t>
      </w:r>
    </w:p>
    <w:p>
      <w:pPr>
        <w:rPr>
          <w:noProof/>
        </w:rPr>
      </w:pPr>
      <w:r>
        <w:rPr>
          <w:noProof/>
        </w:rPr>
        <w:t>ottaa huomioon Euroopan unionin toiminnasta tehdyn sopimuksen ja erityisesti sen 192 artiklan 1 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Unioni hyväksyi elohopeaa koskevan Minamatan yleissopimuksen</w:t>
      </w:r>
      <w:r>
        <w:rPr>
          <w:rStyle w:val="FootnoteReference"/>
          <w:noProof/>
          <w:szCs w:val="20"/>
        </w:rPr>
        <w:footnoteReference w:id="10"/>
      </w:r>
      <w:r>
        <w:rPr>
          <w:noProof/>
        </w:rPr>
        <w:t>, jäljempänä ’sopimus’, neuvoston päätöksellä (EU) 2017/939</w:t>
      </w:r>
      <w:r>
        <w:rPr>
          <w:rStyle w:val="FootnoteReference"/>
          <w:noProof/>
          <w:szCs w:val="20"/>
        </w:rPr>
        <w:footnoteReference w:id="11"/>
      </w:r>
      <w:r>
        <w:rPr>
          <w:noProof/>
        </w:rPr>
        <w:t xml:space="preserve">, ja se tuli voimaan 16 päivänä elokuuta 2017. </w:t>
      </w:r>
    </w:p>
    <w:p>
      <w:pPr>
        <w:pStyle w:val="ManualConsidrant"/>
        <w:rPr>
          <w:noProof/>
        </w:rPr>
      </w:pPr>
      <w:r>
        <w:t>(2)</w:t>
      </w:r>
      <w:r>
        <w:tab/>
      </w:r>
      <w:r>
        <w:rPr>
          <w:noProof/>
        </w:rPr>
        <w:t xml:space="preserve">Sopimuspuolten konferenssin ensimmäisessä kokouksessaan hyväksymän työjärjestystä koskevan päätöksen MC-1/1 mukaisesti sopimuspuolten olisi pyrittävä kaikin tavoin siihen, että kaikista tärkeistä asioista sovitaan yksimielisesti. </w:t>
      </w:r>
    </w:p>
    <w:p>
      <w:pPr>
        <w:pStyle w:val="ManualConsidrant"/>
        <w:rPr>
          <w:noProof/>
        </w:rPr>
      </w:pPr>
      <w:r>
        <w:t>(3)</w:t>
      </w:r>
      <w:r>
        <w:tab/>
      </w:r>
      <w:r>
        <w:rPr>
          <w:noProof/>
        </w:rPr>
        <w:t xml:space="preserve">Sopimuspuolten konferenssin odotetaan hyväksyvän 25–29 päivänä marraskuuta 2019 pidettävässä kolmannessa kokouksessaan sopimuksen 11 artiklan 2 kohdassa tarkoitetun elohopeajätteen raja-arvoja koskevan päätöksen, jäljempänä ’ehdotettu päätös’, joka määrittelisi sopimuksen 11 artiklan soveltamisalan jätteiden osalta; näin ollen sopimuksen 11 artiklan 2 kohdan soveltamisalaan kuuluva elohopeajäte olisi käsiteltävä ympäristön kannalta kestävällä tavalla sopimuksen 11 artiklan 3 kohdan nojalla.  </w:t>
      </w:r>
    </w:p>
    <w:p>
      <w:pPr>
        <w:pStyle w:val="ManualConsidrant"/>
        <w:rPr>
          <w:noProof/>
        </w:rPr>
      </w:pPr>
      <w:r>
        <w:t>(4)</w:t>
      </w:r>
      <w:r>
        <w:tab/>
      </w:r>
      <w:r>
        <w:rPr>
          <w:noProof/>
        </w:rPr>
        <w:t xml:space="preserve">On aiheellista vahvistaa sopimuspuolten konferenssissa unionin puolesta otettava kanta, koska ehdotetulla päätöksellä tulee hyväksyttynä olemaan oikeusvaikutuksia, sillä sopimuspuolten on toteutettava toimenpiteitä sen täytäntöön panemiseksi kansallisella ja/tai alueellisella tasolla. </w:t>
      </w:r>
    </w:p>
    <w:p>
      <w:pPr>
        <w:pStyle w:val="ManualConsidrant"/>
        <w:rPr>
          <w:noProof/>
        </w:rPr>
      </w:pPr>
      <w:r>
        <w:t>(5)</w:t>
      </w:r>
      <w:r>
        <w:tab/>
      </w:r>
      <w:r>
        <w:rPr>
          <w:noProof/>
        </w:rPr>
        <w:t>Unioni on osallistunut merkittävällä tavalla sopimuksen jätemääräysten kehittämiseen ja kokousten välisen ajan asiantuntijatyöhön, joka käynnistettiin sopimuspuolten konferenssin toisessa kokouksessaan hyväksymällä päätöksellä MC-2/2</w:t>
      </w:r>
      <w:r>
        <w:rPr>
          <w:rStyle w:val="FootnoteReference"/>
          <w:noProof/>
        </w:rPr>
        <w:footnoteReference w:id="12"/>
      </w:r>
      <w:r>
        <w:rPr>
          <w:noProof/>
        </w:rPr>
        <w:t xml:space="preserve"> ja joka on johtanut ehdotettuun päätökseen; unionin säännöstössä edellytetään jo nyt, että kaikki </w:t>
      </w:r>
      <w:r>
        <w:rPr>
          <w:noProof/>
        </w:rPr>
        <w:lastRenderedPageBreak/>
        <w:t xml:space="preserve">sopimuksen 11 artiklan 2 kohdassa tarkoitettu elohopeajäte käsitellään vaarantamatta ihmisten terveyttä ja vahingoittamatta ympäristöä jätteen elohopeapitoisuudesta riippumatta. </w:t>
      </w:r>
    </w:p>
    <w:p>
      <w:pPr>
        <w:pStyle w:val="ManualConsidrant"/>
        <w:rPr>
          <w:noProof/>
        </w:rPr>
      </w:pPr>
      <w:r>
        <w:t>(6)</w:t>
      </w:r>
      <w:r>
        <w:tab/>
      </w:r>
      <w:r>
        <w:rPr>
          <w:noProof/>
        </w:rPr>
        <w:t xml:space="preserve">Unionin olisi tuettava ainoastaan sellaisen päätöksen hyväksymistä sopimuksen osapuolten konferenssissa, joka on unionin säännöstön mukainen, </w:t>
      </w:r>
    </w:p>
    <w:p>
      <w:pPr>
        <w:pStyle w:val="Formuledadoption"/>
        <w:rPr>
          <w:noProof/>
        </w:rPr>
      </w:pPr>
      <w:r>
        <w:rPr>
          <w:noProof/>
        </w:rPr>
        <w:t>ON HYVÄKSYNYT TÄMÄN PÄÄTÖKSEN:</w:t>
      </w:r>
    </w:p>
    <w:p>
      <w:pPr>
        <w:pStyle w:val="Titrearticle"/>
        <w:rPr>
          <w:noProof/>
        </w:rPr>
      </w:pPr>
      <w:r>
        <w:rPr>
          <w:noProof/>
        </w:rPr>
        <w:t>1 artikla</w:t>
      </w:r>
    </w:p>
    <w:p>
      <w:pPr>
        <w:rPr>
          <w:rFonts w:eastAsia="Calibri"/>
          <w:strike/>
          <w:noProof/>
          <w:color w:val="000000"/>
        </w:rPr>
      </w:pPr>
      <w:r>
        <w:rPr>
          <w:noProof/>
        </w:rPr>
        <w:t xml:space="preserve">Sopimuspuolten konferenssin kolmannessa kokouksessa unionin puolesta otettava kanta on tukea unionin säännöstön mukaisen elohopeajätteen raja-arvoja koskevan päätöksen hyväksymistä. </w:t>
      </w:r>
      <w:r>
        <w:rPr>
          <w:strike/>
          <w:noProof/>
        </w:rPr>
        <w:t xml:space="preserve"> </w:t>
      </w:r>
    </w:p>
    <w:p>
      <w:pPr>
        <w:pStyle w:val="Titrearticle"/>
        <w:rPr>
          <w:noProof/>
        </w:rPr>
      </w:pPr>
      <w:r>
        <w:rPr>
          <w:noProof/>
        </w:rPr>
        <w:t>2 artikla</w:t>
      </w:r>
    </w:p>
    <w:p>
      <w:pPr>
        <w:rPr>
          <w:noProof/>
        </w:rPr>
      </w:pPr>
      <w:r>
        <w:rPr>
          <w:noProof/>
        </w:rPr>
        <w:t>Tämä päätös on osoitettu komissiolle.</w:t>
      </w:r>
    </w:p>
    <w:p>
      <w:pPr>
        <w:rPr>
          <w:noProof/>
        </w:rPr>
      </w:pPr>
    </w:p>
    <w:p>
      <w:pPr>
        <w:pStyle w:val="Fait"/>
        <w:rPr>
          <w:noProof/>
        </w:rPr>
      </w:pPr>
      <w:r>
        <w:t>Tehty Brysselissä</w:t>
      </w:r>
    </w:p>
    <w:p>
      <w:pPr>
        <w:pStyle w:val="Institutionquisigne"/>
        <w:rPr>
          <w:noProof/>
        </w:rPr>
      </w:pPr>
      <w:r>
        <w:rPr>
          <w:noProof/>
        </w:rPr>
        <w:tab/>
      </w:r>
      <w:r>
        <w:rPr>
          <w:noProof/>
        </w:rPr>
        <w:tab/>
        <w:t>Neuvoston puolesta</w:t>
      </w:r>
    </w:p>
    <w:p>
      <w:pPr>
        <w:pStyle w:val="Personnequisigne"/>
        <w:keepNext/>
        <w:rPr>
          <w:noProof/>
        </w:rPr>
      </w:pPr>
      <w:r>
        <w:rPr>
          <w:noProof/>
        </w:rPr>
        <w:tab/>
        <w:t>Puheenjohtaja</w:t>
      </w:r>
    </w:p>
    <w:p>
      <w:pPr>
        <w:pStyle w:val="Institutionquisigne"/>
        <w:rPr>
          <w:noProof/>
        </w:rPr>
      </w:pPr>
    </w:p>
    <w:p>
      <w:pPr>
        <w:pStyle w:val="Institution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ind w:left="426" w:hanging="426"/>
      </w:pPr>
      <w:r>
        <w:rPr>
          <w:rStyle w:val="FootnoteReference"/>
        </w:rPr>
        <w:footnoteRef/>
      </w:r>
      <w:r>
        <w:tab/>
        <w:t xml:space="preserve">Neuvoston päätös (EU) 2017/939, annettu 11 päivänä toukokuuta 2017, elohopeaa koskevan Minamatan yleissopimuksen tekemisestä Euroopan unionin puolesta (EUVL L 142, 2.6.2017, s. 4). </w:t>
      </w:r>
    </w:p>
  </w:footnote>
  <w:footnote w:id="3">
    <w:p>
      <w:pPr>
        <w:pStyle w:val="FootnoteText"/>
        <w:ind w:left="426" w:hanging="426"/>
      </w:pPr>
      <w:r>
        <w:rPr>
          <w:rStyle w:val="FootnoteReference"/>
        </w:rPr>
        <w:footnoteRef/>
      </w:r>
      <w:r>
        <w:tab/>
        <w:t>20. kesäkuuta 2019 23 jäsenvaltiota oli ratifioinut elohopeaa koskevan Minamatan yleissopimuksen: Itävalta, Belgia, Bulgaria, Kroatia, Tšekki, Tanska, Viro, Suomi, Ranska, Saksa, Unkari, Irlanti, Latvia, Liettua, Luxemburg, Malta, Alankomaat, Portugali, Romania, Slovakia, Slovenia, Ruotsi ja Yhdistynyt kuningaskunta.</w:t>
      </w:r>
    </w:p>
  </w:footnote>
  <w:footnote w:id="4">
    <w:p>
      <w:pPr>
        <w:pStyle w:val="FootnoteText"/>
        <w:ind w:left="426" w:hanging="426"/>
        <w:rPr>
          <w:lang w:val="en-US"/>
        </w:rPr>
      </w:pPr>
      <w:r>
        <w:rPr>
          <w:rStyle w:val="FootnoteReference"/>
        </w:rPr>
        <w:footnoteRef/>
      </w:r>
      <w:r>
        <w:rPr>
          <w:lang w:val="en-US"/>
        </w:rPr>
        <w:tab/>
        <w:t xml:space="preserve">Päätös MC-2/2, </w:t>
      </w:r>
      <w:r>
        <w:rPr>
          <w:i/>
          <w:lang w:val="en-US"/>
        </w:rPr>
        <w:t>Mercury waste thresholds,</w:t>
      </w:r>
      <w:r>
        <w:rPr>
          <w:lang w:val="en-US"/>
        </w:rPr>
        <w:t xml:space="preserve"> Report of the Conference of the Parties to the Minamata Convention on Mercury on the work of its second meeting, UNEP/MC/COP2/19, 6.12.2018, saatavilla osoitteessa </w:t>
      </w:r>
      <w:hyperlink r:id="rId1" w:history="1">
        <w:r>
          <w:rPr>
            <w:rStyle w:val="Hyperlink"/>
            <w:lang w:val="en-US"/>
          </w:rPr>
          <w:t>http://www.mercuryconvention.org/Meetings/COP2/tabid/6355/language/en-US/Default.aspx</w:t>
        </w:r>
      </w:hyperlink>
    </w:p>
  </w:footnote>
  <w:footnote w:id="5">
    <w:p>
      <w:pPr>
        <w:pStyle w:val="FootnoteText"/>
        <w:ind w:left="426" w:hanging="426"/>
        <w:rPr>
          <w:lang w:val="fr-BE"/>
        </w:rPr>
      </w:pPr>
      <w:r>
        <w:rPr>
          <w:rStyle w:val="FootnoteReference"/>
        </w:rPr>
        <w:footnoteRef/>
      </w:r>
      <w:r>
        <w:rPr>
          <w:lang w:val="fr-BE"/>
        </w:rPr>
        <w:tab/>
        <w:t xml:space="preserve">EUVL L 137, 24.5.2017, s. 1. </w:t>
      </w:r>
    </w:p>
  </w:footnote>
  <w:footnote w:id="6">
    <w:p>
      <w:pPr>
        <w:pStyle w:val="Default"/>
        <w:ind w:left="426" w:hanging="426"/>
        <w:rPr>
          <w:sz w:val="20"/>
          <w:szCs w:val="20"/>
          <w:lang w:val="fr-BE"/>
        </w:rPr>
      </w:pPr>
      <w:r>
        <w:rPr>
          <w:rStyle w:val="FootnoteReference"/>
        </w:rPr>
        <w:footnoteRef/>
      </w:r>
      <w:r>
        <w:rPr>
          <w:sz w:val="20"/>
          <w:szCs w:val="20"/>
          <w:lang w:val="fr-BE"/>
        </w:rPr>
        <w:tab/>
        <w:t>EUVL L 312, 22.11.2008, s. 3.</w:t>
      </w:r>
    </w:p>
  </w:footnote>
  <w:footnote w:id="7">
    <w:p>
      <w:pPr>
        <w:pStyle w:val="FootnoteText"/>
        <w:ind w:left="426" w:hanging="426"/>
        <w:rPr>
          <w:lang w:val="fr-BE"/>
        </w:rPr>
      </w:pPr>
      <w:r>
        <w:rPr>
          <w:rStyle w:val="FootnoteReference"/>
        </w:rPr>
        <w:footnoteRef/>
      </w:r>
      <w:r>
        <w:rPr>
          <w:lang w:val="fr-BE"/>
        </w:rPr>
        <w:tab/>
        <w:t>EUVL L 102, 11.4.2006, s. 15.</w:t>
      </w:r>
    </w:p>
  </w:footnote>
  <w:footnote w:id="8">
    <w:p>
      <w:pPr>
        <w:pStyle w:val="FootnoteText"/>
        <w:ind w:left="426" w:hanging="426"/>
        <w:rPr>
          <w:lang w:val="fr-BE"/>
        </w:rPr>
      </w:pPr>
      <w:r>
        <w:rPr>
          <w:rStyle w:val="FootnoteReference"/>
        </w:rPr>
        <w:footnoteRef/>
      </w:r>
      <w:r>
        <w:rPr>
          <w:lang w:val="fr-BE"/>
        </w:rPr>
        <w:tab/>
        <w:t>EYVL L 226, 6.9.2000, s. 3.</w:t>
      </w:r>
    </w:p>
  </w:footnote>
  <w:footnote w:id="9">
    <w:p>
      <w:pPr>
        <w:pStyle w:val="FootnoteText"/>
        <w:ind w:left="426" w:hanging="426"/>
      </w:pPr>
      <w:r>
        <w:rPr>
          <w:rStyle w:val="FootnoteReference"/>
        </w:rPr>
        <w:footnoteRef/>
      </w:r>
      <w:r>
        <w:tab/>
        <w:t xml:space="preserve">Unionin tuomioistuimen tuomio, 7. lokakuuta 2014, Saksa v. neuvosto, C-399/12, ECLI:EU:C:2014:2258, 61–64 kohta. </w:t>
      </w:r>
    </w:p>
  </w:footnote>
  <w:footnote w:id="10">
    <w:p>
      <w:pPr>
        <w:pStyle w:val="FootnoteText"/>
      </w:pPr>
      <w:r>
        <w:rPr>
          <w:rStyle w:val="FootnoteReference"/>
        </w:rPr>
        <w:footnoteRef/>
      </w:r>
      <w:r>
        <w:tab/>
        <w:t xml:space="preserve">Elohopeaa koskevan Minamatan yleissopimuksen virallinen versio on saatavilla osoitteessa: </w:t>
      </w:r>
      <w:hyperlink r:id="rId2" w:history="1">
        <w:r>
          <w:rPr>
            <w:rStyle w:val="Hyperlink"/>
          </w:rPr>
          <w:t>https://treaties.un.org/doc/Treaties/2013/10/20131010%2011-16%20AM/CTC-XXVII-17.pdf</w:t>
        </w:r>
      </w:hyperlink>
    </w:p>
  </w:footnote>
  <w:footnote w:id="11">
    <w:p>
      <w:pPr>
        <w:pStyle w:val="Default"/>
        <w:ind w:left="720" w:hanging="720"/>
        <w:jc w:val="both"/>
        <w:rPr>
          <w:sz w:val="20"/>
          <w:szCs w:val="20"/>
        </w:rPr>
      </w:pPr>
      <w:r>
        <w:rPr>
          <w:rStyle w:val="FootnoteReference"/>
        </w:rPr>
        <w:footnoteRef/>
      </w:r>
      <w:r>
        <w:tab/>
      </w:r>
      <w:r>
        <w:rPr>
          <w:sz w:val="20"/>
          <w:szCs w:val="20"/>
        </w:rPr>
        <w:t xml:space="preserve">Neuvoston päätös (EU) 2017/939, annettu 11 päivänä toukokuuta 2017, elohopeaa koskevan Minamatan yleissopimuksen tekemisestä Euroopan unionin puolesta (EUVL L 142, 2.6.2017, s. 4). </w:t>
      </w:r>
    </w:p>
  </w:footnote>
  <w:footnote w:id="12">
    <w:p>
      <w:pPr>
        <w:pStyle w:val="Default"/>
        <w:ind w:left="720" w:hanging="720"/>
        <w:jc w:val="both"/>
        <w:rPr>
          <w:sz w:val="20"/>
          <w:szCs w:val="20"/>
        </w:rPr>
      </w:pPr>
      <w:r>
        <w:rPr>
          <w:rStyle w:val="FootnoteReference"/>
        </w:rPr>
        <w:footnoteRef/>
      </w:r>
      <w:r>
        <w:tab/>
      </w:r>
      <w:r>
        <w:rPr>
          <w:sz w:val="20"/>
          <w:szCs w:val="20"/>
        </w:rPr>
        <w:t xml:space="preserve">Päätös MC-2/2, </w:t>
      </w:r>
      <w:r>
        <w:rPr>
          <w:i/>
          <w:sz w:val="20"/>
          <w:szCs w:val="20"/>
        </w:rPr>
        <w:t>Mercury waste thresholds,</w:t>
      </w:r>
      <w:r>
        <w:rPr>
          <w:sz w:val="20"/>
          <w:szCs w:val="20"/>
        </w:rPr>
        <w:t xml:space="preserve"> Report of the Conference of the Parties to the Minamata Convention on Mercury on the work of its second meeting, UNEP/MC/COP2/19, 6.12.2018. </w:t>
      </w:r>
      <w:r>
        <w:rPr>
          <w:sz w:val="20"/>
          <w:szCs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019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6 15:54: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11"/>
    <w:docVar w:name="DQCStatus" w:val="Green"/>
    <w:docVar w:name="DQCVersion" w:val="3"/>
    <w:docVar w:name="DQCWithWarnings" w:val="0"/>
    <w:docVar w:name="LW_CORRIGENDUM" w:val="&lt;UNUSED&gt;"/>
    <w:docVar w:name="LW_COVERPAGE_EXISTS" w:val="True"/>
    <w:docVar w:name="LW_COVERPAGE_GUID" w:val="E131E309-941A-447F-9326-70BF61EFC8B4"/>
    <w:docVar w:name="LW_COVERPAGE_TYPE" w:val="1"/>
    <w:docVar w:name="LW_CROSSREFERENCE" w:val="&lt;UNUSED&gt;"/>
    <w:docVar w:name="LW_DocType" w:val="COM"/>
    <w:docVar w:name="LW_EMISSION" w:val="16.9.2019"/>
    <w:docVar w:name="LW_EMISSION_ISODATE" w:val="2019-09-16"/>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93"/>
    <w:docVar w:name="LW_REF.II.NEW.CP_YEAR" w:val="2019"/>
    <w:docVar w:name="LW_REF.INST.NEW" w:val="COM"/>
    <w:docVar w:name="LW_REF.INST.NEW_ADOPTED" w:val="final"/>
    <w:docVar w:name="LW_REF.INST.NEW_TEXT" w:val="(2019) 4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Ehdotus"/>
    <w:docVar w:name="LW_SUPERTITRE" w:val="&lt;UNUSED&gt;"/>
    <w:docVar w:name="LW_TITRE.OBJ.CP" w:val="elohopeaa koskevan Minamatan yleissopimuksen sopimuspuolten konferenssin kolmannessa kokouksessa Euroopan unionin puolesta otettavasta kannasta kyseisen yleissopimuksen 11 artiklan 2 kohdassa tarkoitetun elohopeajätteen raja-arvot vahvistavan päätöksen hyväksymistä vart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608923673">
      <w:bodyDiv w:val="1"/>
      <w:marLeft w:val="0"/>
      <w:marRight w:val="0"/>
      <w:marTop w:val="0"/>
      <w:marBottom w:val="0"/>
      <w:divBdr>
        <w:top w:val="none" w:sz="0" w:space="0" w:color="auto"/>
        <w:left w:val="none" w:sz="0" w:space="0" w:color="auto"/>
        <w:bottom w:val="none" w:sz="0" w:space="0" w:color="auto"/>
        <w:right w:val="none" w:sz="0" w:space="0" w:color="auto"/>
      </w:divBdr>
    </w:div>
    <w:div w:id="1816604373">
      <w:bodyDiv w:val="1"/>
      <w:marLeft w:val="0"/>
      <w:marRight w:val="0"/>
      <w:marTop w:val="0"/>
      <w:marBottom w:val="0"/>
      <w:divBdr>
        <w:top w:val="none" w:sz="0" w:space="0" w:color="auto"/>
        <w:left w:val="none" w:sz="0" w:space="0" w:color="auto"/>
        <w:bottom w:val="none" w:sz="0" w:space="0" w:color="auto"/>
        <w:right w:val="none" w:sz="0" w:space="0" w:color="auto"/>
      </w:divBdr>
      <w:divsChild>
        <w:div w:id="1498112190">
          <w:marLeft w:val="0"/>
          <w:marRight w:val="0"/>
          <w:marTop w:val="225"/>
          <w:marBottom w:val="0"/>
          <w:divBdr>
            <w:top w:val="none" w:sz="0" w:space="0" w:color="auto"/>
            <w:left w:val="none" w:sz="0" w:space="0" w:color="auto"/>
            <w:bottom w:val="none" w:sz="0" w:space="0" w:color="auto"/>
            <w:right w:val="none" w:sz="0" w:space="0" w:color="auto"/>
          </w:divBdr>
          <w:divsChild>
            <w:div w:id="149635215">
              <w:marLeft w:val="0"/>
              <w:marRight w:val="0"/>
              <w:marTop w:val="285"/>
              <w:marBottom w:val="0"/>
              <w:divBdr>
                <w:top w:val="none" w:sz="0" w:space="0" w:color="auto"/>
                <w:left w:val="none" w:sz="0" w:space="0" w:color="auto"/>
                <w:bottom w:val="none" w:sz="0" w:space="0" w:color="auto"/>
                <w:right w:val="none" w:sz="0" w:space="0" w:color="auto"/>
              </w:divBdr>
              <w:divsChild>
                <w:div w:id="579216327">
                  <w:marLeft w:val="0"/>
                  <w:marRight w:val="0"/>
                  <w:marTop w:val="0"/>
                  <w:marBottom w:val="0"/>
                  <w:divBdr>
                    <w:top w:val="none" w:sz="0" w:space="0" w:color="auto"/>
                    <w:left w:val="none" w:sz="0" w:space="0" w:color="auto"/>
                    <w:bottom w:val="none" w:sz="0" w:space="0" w:color="auto"/>
                    <w:right w:val="none" w:sz="0" w:space="0" w:color="auto"/>
                  </w:divBdr>
                  <w:divsChild>
                    <w:div w:id="734621851">
                      <w:marLeft w:val="0"/>
                      <w:marRight w:val="0"/>
                      <w:marTop w:val="0"/>
                      <w:marBottom w:val="0"/>
                      <w:divBdr>
                        <w:top w:val="none" w:sz="0" w:space="0" w:color="auto"/>
                        <w:left w:val="none" w:sz="0" w:space="0" w:color="auto"/>
                        <w:bottom w:val="none" w:sz="0" w:space="0" w:color="auto"/>
                        <w:right w:val="none" w:sz="0" w:space="0" w:color="auto"/>
                      </w:divBdr>
                      <w:divsChild>
                        <w:div w:id="116781816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none" w:sz="0" w:space="0" w:color="auto"/>
                                <w:bottom w:val="none" w:sz="0" w:space="0" w:color="auto"/>
                                <w:right w:val="none" w:sz="0" w:space="0" w:color="auto"/>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doc/Treaties/2013/10/20131010%2011-16%20AM/CTC-XXVII-17.pdf" TargetMode="External"/><Relationship Id="rId1" Type="http://schemas.openxmlformats.org/officeDocument/2006/relationships/hyperlink" Target="http://www.mercuryconvention.org/Meetings/COP2/tabid/6355/language/en-U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036F947C-6365-416D-9DEC-D685F7C8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1293</Words>
  <Characters>10556</Characters>
  <Application>Microsoft Office Word</Application>
  <DocSecurity>0</DocSecurity>
  <Lines>188</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2019-08-19T11:11:00Z</dcterms:created>
  <dcterms:modified xsi:type="dcterms:W3CDTF">2019-09-06T13:54:00Z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