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339FB811-B4DC-43EC-A3F7-E1B152676C5B" style="width:450.75pt;height:366pt">
            <v:imagedata r:id="rId9" o:title=""/>
          </v:shape>
        </w:pict>
      </w:r>
    </w:p>
    <w:p>
      <w:pPr>
        <w:rPr>
          <w:noProof/>
        </w:rPr>
        <w:sectPr>
          <w:footerReference w:type="default" r:id="rId10"/>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MOTIVERING</w:t>
      </w:r>
    </w:p>
    <w:p>
      <w:pPr>
        <w:pStyle w:val="ManualHeading1"/>
        <w:rPr>
          <w:rFonts w:eastAsia="Arial Unicode MS"/>
          <w:noProof/>
        </w:rPr>
      </w:pPr>
      <w:r>
        <w:t>1.</w:t>
      </w:r>
      <w:r>
        <w:tab/>
      </w:r>
      <w:r>
        <w:rPr>
          <w:noProof/>
        </w:rPr>
        <w:t>Fråga som behandlas i förslaget</w:t>
      </w:r>
    </w:p>
    <w:p>
      <w:pPr>
        <w:rPr>
          <w:rFonts w:eastAsia="Arial Unicode MS"/>
          <w:noProof/>
        </w:rPr>
      </w:pPr>
      <w:r>
        <w:rPr>
          <w:noProof/>
        </w:rPr>
        <w:t>Detta förslag avser ett beslut om fastställande av den ståndpunkt som ska intas på unionens vägnar i kommittén för ursprungsregler, som inrättats genom avtalet om ursprungsregler (WTO-Gatt 1994), som bifogas den slutakt som undertecknades i Marrakech den 15 april 1994, avseende det planerade antagandet av ett meddelande om förbättring av insynen i fråga om icke preferentiella ursprungsregler.</w:t>
      </w:r>
    </w:p>
    <w:p>
      <w:pPr>
        <w:pStyle w:val="ManualHeading1"/>
        <w:rPr>
          <w:noProof/>
        </w:rPr>
      </w:pPr>
      <w:r>
        <w:t>2.</w:t>
      </w:r>
      <w:r>
        <w:tab/>
      </w:r>
      <w:r>
        <w:rPr>
          <w:noProof/>
        </w:rPr>
        <w:t>Bakgrund till förslaget</w:t>
      </w:r>
    </w:p>
    <w:p>
      <w:pPr>
        <w:pStyle w:val="ManualHeading2"/>
        <w:rPr>
          <w:noProof/>
        </w:rPr>
      </w:pPr>
      <w:r>
        <w:t>2.1.</w:t>
      </w:r>
      <w:r>
        <w:tab/>
      </w:r>
      <w:r>
        <w:rPr>
          <w:noProof/>
        </w:rPr>
        <w:t>Avtalet om ursprungsregler</w:t>
      </w:r>
    </w:p>
    <w:p>
      <w:pPr>
        <w:rPr>
          <w:rFonts w:eastAsia="Arial Unicode MS"/>
          <w:noProof/>
        </w:rPr>
      </w:pPr>
      <w:r>
        <w:rPr>
          <w:noProof/>
        </w:rPr>
        <w:t xml:space="preserve">Avtalet om ursprungsregler (WTO-Gatt 1994), som bifogas den slutakt som undertecknades i Marrakech den 15 april 1994 (nedan kallat </w:t>
      </w:r>
      <w:r>
        <w:rPr>
          <w:i/>
          <w:iCs/>
          <w:noProof/>
        </w:rPr>
        <w:t>avtalet</w:t>
      </w:r>
      <w:r>
        <w:rPr>
          <w:noProof/>
        </w:rPr>
        <w:t>), syftar till att säkerställa att icke preferentiella ursprungsregler inte i sig skapar onödiga handelshinder och syftar till att på internationell nivå harmonisera ursprungsregler andra än de som berör beviljande av tullförmåner. Fram till dess att harmoniseringsprogrammet har avslutats ska avtalsslutande parter säkerställa följande: Att deras ursprungsregler är öppna för insyn. Att reglerna inte skapar restriktiva, snedvridande eller störande effekter på internationell handel. Att de kan tillämpas på ett konsekvent, enhetligt, opartiskt och skäligt sätt och att de är grundade på en positiv standard. Avtalet trädde i kraft den 1 januari 1995.</w:t>
      </w:r>
    </w:p>
    <w:p>
      <w:pPr>
        <w:rPr>
          <w:rFonts w:eastAsia="Arial Unicode MS"/>
          <w:noProof/>
        </w:rPr>
      </w:pPr>
      <w:r>
        <w:rPr>
          <w:noProof/>
        </w:rPr>
        <w:t>Europeiska unionen är part i avtalet</w:t>
      </w:r>
      <w:r>
        <w:rPr>
          <w:rStyle w:val="FootnoteReference"/>
          <w:noProof/>
        </w:rPr>
        <w:footnoteReference w:id="1"/>
      </w:r>
      <w:r>
        <w:rPr>
          <w:noProof/>
        </w:rPr>
        <w:t>. Samtliga medlemsstater är också parter i avtalet.</w:t>
      </w:r>
    </w:p>
    <w:p>
      <w:pPr>
        <w:pStyle w:val="ManualHeading2"/>
        <w:rPr>
          <w:noProof/>
        </w:rPr>
      </w:pPr>
      <w:r>
        <w:t>2.2.</w:t>
      </w:r>
      <w:r>
        <w:tab/>
      </w:r>
      <w:r>
        <w:rPr>
          <w:noProof/>
        </w:rPr>
        <w:t>Kommittén för ursprungsregler</w:t>
      </w:r>
    </w:p>
    <w:p>
      <w:pPr>
        <w:rPr>
          <w:rFonts w:eastAsia="Arial Unicode MS"/>
          <w:noProof/>
        </w:rPr>
      </w:pPr>
      <w:r>
        <w:rPr>
          <w:noProof/>
        </w:rPr>
        <w:t xml:space="preserve">Kommittén för ursprungsregler inrättades inom ramen för Världshandelsorganisationen (nedan kallad </w:t>
      </w:r>
      <w:r>
        <w:rPr>
          <w:i/>
          <w:iCs/>
          <w:noProof/>
        </w:rPr>
        <w:t>WTO</w:t>
      </w:r>
      <w:r>
        <w:rPr>
          <w:noProof/>
        </w:rPr>
        <w:t>) och är öppen för WTO-medlemmar. Kommittén ska mötas minst en gång om året och ska granska genomförandet och funktionen av avtalet om ursprungsregler. Kommitténs arbete inriktas främst på en harmonisering av icke preferentiella ursprungsregler. Förhandlingarna har inte slutförts och WTO-medlemmarna tillämpar för närvarande nationella icke preferentiella ursprungsregler. Nyligen har ett visst arbete med preferentiella ursprungsregler inletts, särskilt med dem som används inom ramen för handelsförmåner för de minst utvecklade länderna. Beslut i kommittén fattas normalt sett i samförstånd.</w:t>
      </w:r>
    </w:p>
    <w:p>
      <w:pPr>
        <w:pStyle w:val="ManualHeading2"/>
        <w:rPr>
          <w:noProof/>
        </w:rPr>
      </w:pPr>
      <w:r>
        <w:t>2.3.</w:t>
      </w:r>
      <w:r>
        <w:tab/>
      </w:r>
      <w:r>
        <w:rPr>
          <w:noProof/>
        </w:rPr>
        <w:t>Kommittén för ursprungsreglers planerade akt</w:t>
      </w:r>
    </w:p>
    <w:p>
      <w:pPr>
        <w:rPr>
          <w:rFonts w:eastAsia="Arial Unicode MS"/>
          <w:noProof/>
        </w:rPr>
      </w:pPr>
      <w:r>
        <w:rPr>
          <w:noProof/>
        </w:rPr>
        <w:t xml:space="preserve">Den </w:t>
      </w:r>
      <w:r>
        <w:t>[datum]</w:t>
      </w:r>
      <w:r>
        <w:rPr>
          <w:noProof/>
        </w:rPr>
        <w:t xml:space="preserve"> ska kommittén för ursprungsregler under sitt årliga möte anta ett meddelande</w:t>
      </w:r>
      <w:r>
        <w:rPr>
          <w:rStyle w:val="FootnoteReference"/>
          <w:noProof/>
        </w:rPr>
        <w:footnoteReference w:id="2"/>
      </w:r>
      <w:r>
        <w:rPr>
          <w:noProof/>
        </w:rPr>
        <w:t xml:space="preserve"> om ”förbättring av insynen i fråga om icke preferentiella ursprungsregler” (nedan kallad </w:t>
      </w:r>
      <w:r>
        <w:rPr>
          <w:i/>
          <w:iCs/>
          <w:noProof/>
        </w:rPr>
        <w:t>den planerade akten</w:t>
      </w:r>
      <w:r>
        <w:rPr>
          <w:noProof/>
        </w:rPr>
        <w:t>).</w:t>
      </w:r>
    </w:p>
    <w:p>
      <w:pPr>
        <w:rPr>
          <w:rFonts w:eastAsia="Arial Unicode MS"/>
          <w:noProof/>
        </w:rPr>
      </w:pPr>
      <w:r>
        <w:rPr>
          <w:noProof/>
        </w:rPr>
        <w:t xml:space="preserve">Syftet med den planerade akten är att förbättra insynen i lagar och andra författningar samt praxis i fråga om ursprungsregler och att komplettera anmälningsskyldigheterna i artikel 5 i avtalet om ursprungsregler. </w:t>
      </w:r>
    </w:p>
    <w:p>
      <w:pPr>
        <w:rPr>
          <w:rFonts w:eastAsia="Arial Unicode MS"/>
          <w:noProof/>
        </w:rPr>
      </w:pPr>
      <w:r>
        <w:rPr>
          <w:noProof/>
        </w:rPr>
        <w:t xml:space="preserve">Varken avtalet om upprättande av Världshandelsorganisationen eller avtalet om ursprungsregler tar upp den rättsliga statusen för akter som antagits av WTO-kommittéerna. Hur bindande den planerade akten är ska avgöras med utgångspunkt i den text som används i </w:t>
      </w:r>
      <w:r>
        <w:rPr>
          <w:noProof/>
        </w:rPr>
        <w:lastRenderedPageBreak/>
        <w:t xml:space="preserve">akten. Med hänsyn till ordalydelsen i meddelandet om förbättring av insynen i fråga om icke preferentiella ursprungsregler kommer den planerade akten att bli bindande för parterna. </w:t>
      </w:r>
    </w:p>
    <w:p>
      <w:pPr>
        <w:pStyle w:val="ManualHeading1"/>
        <w:rPr>
          <w:rFonts w:eastAsia="Arial Unicode MS"/>
          <w:noProof/>
        </w:rPr>
      </w:pPr>
      <w:r>
        <w:t>3.</w:t>
      </w:r>
      <w:r>
        <w:tab/>
      </w:r>
      <w:r>
        <w:rPr>
          <w:noProof/>
        </w:rPr>
        <w:t>Den ståndpunkt som ska intas på unionens vägnar</w:t>
      </w:r>
    </w:p>
    <w:p>
      <w:pPr>
        <w:rPr>
          <w:noProof/>
        </w:rPr>
      </w:pPr>
      <w:r>
        <w:rPr>
          <w:noProof/>
        </w:rPr>
        <w:t xml:space="preserve">Icke preferentiella ursprungsregler är de regler som gäller i avsaknad av handelsförmåner, dvs. när handeln bedrivs enligt principen om mest gynnad nation. Dessutom kan vissa handelspolitiska åtgärder, som kvoter, antidumpning eller ursprungsmärkning kräva ett fastställande av ursprung på grundval av tillämpningen av icke preferentiella ursprungsregler. </w:t>
      </w:r>
    </w:p>
    <w:p>
      <w:pPr>
        <w:rPr>
          <w:noProof/>
        </w:rPr>
      </w:pPr>
      <w:r>
        <w:rPr>
          <w:noProof/>
        </w:rPr>
        <w:t>I enlighet med artikel 5 i avtalet om ursprungsregler skulle varje WTO-medlem inom en angiven tidsfrist efter att WTO-avtalet trädde i kraft tillställa sekretariatet sina ursprungsregler, rättsliga beslut och administrativa regler med allmän tillämpning avseende icke preferentiella ursprungsregler som var giltiga vid det datumet. EU anmälde den begärda informationen till WTO:s sekretariat.</w:t>
      </w:r>
    </w:p>
    <w:p>
      <w:pPr>
        <w:rPr>
          <w:noProof/>
        </w:rPr>
      </w:pPr>
      <w:r>
        <w:rPr>
          <w:noProof/>
        </w:rPr>
        <w:t>I avtalet om ursprungsregler kommer WTO-medlemmarna överens om att förhandla om harmoniserade icke preferentiella ursprungsregler. Dessa förhandlingar har dock  inte slutförts och WTO-medlemmarna tillämpar för närvarande nationella icke preferentiella ursprungsregler. Detta innebär att olika icke preferentiella ursprungsregler tillämpas på import och/eller export beroende på de berörda WTO-medlemmarna. Dessutom tillämpar inte alla WTO-medlemmar särskild lagstiftning rörande ursprungsregler. I unionen hämtas dessa regler från artiklarna 59–61 i Europaparlamentets och rådets förordning (EU) nr 952/2013 av den 9 oktober 2013 om fastställande av en tullkodex för unionen</w:t>
      </w:r>
      <w:r>
        <w:rPr>
          <w:rStyle w:val="FootnoteReference"/>
          <w:noProof/>
        </w:rPr>
        <w:footnoteReference w:id="3"/>
      </w:r>
      <w:r>
        <w:rPr>
          <w:noProof/>
        </w:rPr>
        <w:t xml:space="preserve">. </w:t>
      </w:r>
    </w:p>
    <w:p>
      <w:pPr>
        <w:rPr>
          <w:noProof/>
        </w:rPr>
      </w:pPr>
      <w:r>
        <w:rPr>
          <w:noProof/>
        </w:rPr>
        <w:t>För att undvika att onödiga handelshinder skapas på grund av den stora variation och mångfald av icke preferentiella ursprungsregler som ska tillämpas inrättades en mindre arbetsgrupp, utvald bland delegaterna från kommittén för ursprungsregler, för att undersöka på vilka sätt man kunde förbättra insynen i fråga om icke preferentiella ursprungsregler. EU deltog i denna lilla arbetsgrupp och bidrog på ett konstruktivt vis till den planerade akten. Diskussionerna fortsatte vid mötena i kommittén för ursprungsregler i mars och maj 2019. Samordningen med medlemsstaterna säkerställdes genom medlemsstaternas delegationer i WTO och genom sektionen för varors ursprung i tullexpertgruppen.</w:t>
      </w:r>
    </w:p>
    <w:p>
      <w:pPr>
        <w:rPr>
          <w:noProof/>
        </w:rPr>
      </w:pPr>
      <w:r>
        <w:rPr>
          <w:noProof/>
        </w:rPr>
        <w:t xml:space="preserve">Eftersom otvetydiga och förutsägbara ursprungsregler förenklar det internationella handelsflödet, är syftet med den planerade akten att förbättra insynen i lagar och andra författningar samt praxis i fråga om ursprungsregler och att komplettera anmälningsskyldigheterna i artikel 5 i avtalet om ursprungsregler. </w:t>
      </w:r>
    </w:p>
    <w:p>
      <w:pPr>
        <w:rPr>
          <w:noProof/>
        </w:rPr>
      </w:pPr>
      <w:r>
        <w:rPr>
          <w:noProof/>
        </w:rPr>
        <w:t>I den planerade akten föreskrivs att varje WTO-medlem är skyldig att anmäla icke preferentiella ursprungsregler som används för tillämpning av mest gynnad nations-behandling enligt artiklarna I, II, III, XI och XIII i Gatt 1994. I den föreskrivs också en frivillig anmälan av icke preferentiella ursprungsregler som används för alla syften som omfattas av artikel 1.2 i avtalet om ursprungsregler (antidumpnings-och utjämningstullar enligt artikel VI i Gatt 1994, skyddsåtgärder enligt artikel XIX i Gatt 1994, krav beträffande ursprungsmärkning enligt artikel IX i Gatt 1994, kvantitativ restriktion eller tullkvoter samt ursprungsregler som används i samband med statlig upphandling och för handelsstatistik). Dessutom innehåller den planerade akten en anmälningsskyldighet för WTO-medlemmar om möjliga intyg om icke preferentiellt ursprung, vilka är obligatoriska när import- eller exporttransaktioner utförs. Anmälningar ska göras genom formulär som bifogas till den planerade akten.</w:t>
      </w:r>
    </w:p>
    <w:p>
      <w:pPr>
        <w:rPr>
          <w:noProof/>
        </w:rPr>
      </w:pPr>
      <w:r>
        <w:rPr>
          <w:noProof/>
        </w:rPr>
        <w:lastRenderedPageBreak/>
        <w:t>I den planerade akten införs anmälningsskyldigheter utöver de som anges i artikel 5 i avtalet om ursprungsregler.</w:t>
      </w:r>
    </w:p>
    <w:p>
      <w:pPr>
        <w:rPr>
          <w:noProof/>
        </w:rPr>
      </w:pPr>
      <w:r>
        <w:rPr>
          <w:noProof/>
        </w:rPr>
        <w:t xml:space="preserve">Detta innebär att det behövs en ståndpunkt som ska intas på unionens vägnar i Kommittén för ursprungsregler. </w:t>
      </w:r>
    </w:p>
    <w:p>
      <w:pPr>
        <w:pStyle w:val="ManualHeading1"/>
        <w:rPr>
          <w:noProof/>
        </w:rPr>
      </w:pPr>
      <w:r>
        <w:t>4.</w:t>
      </w:r>
      <w:r>
        <w:tab/>
      </w:r>
      <w:r>
        <w:rPr>
          <w:noProof/>
        </w:rPr>
        <w:t>Rättslig grund</w:t>
      </w:r>
    </w:p>
    <w:p>
      <w:pPr>
        <w:pStyle w:val="ManualHeading2"/>
        <w:rPr>
          <w:noProof/>
        </w:rPr>
      </w:pPr>
      <w:r>
        <w:t>4.1.</w:t>
      </w:r>
      <w:r>
        <w:tab/>
      </w:r>
      <w:r>
        <w:rPr>
          <w:noProof/>
        </w:rPr>
        <w:t>Förfarandemässig rättslig grund</w:t>
      </w:r>
    </w:p>
    <w:p>
      <w:pPr>
        <w:pStyle w:val="ManualHeading3"/>
        <w:rPr>
          <w:noProof/>
        </w:rPr>
      </w:pPr>
      <w:r>
        <w:t>4.1.1.</w:t>
      </w:r>
      <w:r>
        <w:tab/>
      </w:r>
      <w:r>
        <w:rPr>
          <w:noProof/>
        </w:rPr>
        <w:t>Principer</w:t>
      </w:r>
    </w:p>
    <w:p>
      <w:pPr>
        <w:rPr>
          <w:noProof/>
        </w:rPr>
      </w:pPr>
      <w:r>
        <w:rPr>
          <w:noProof/>
        </w:rPr>
        <w:t xml:space="preserve">I artikel 218.9 i fördraget om Europeiska unionens funktionssätt (nedan kallat </w:t>
      </w:r>
      <w:r>
        <w:rPr>
          <w:i/>
          <w:iCs/>
          <w:noProof/>
        </w:rPr>
        <w:t>EUF-fördraget</w:t>
      </w:r>
      <w:r>
        <w:rPr>
          <w:noProof/>
        </w:rPr>
        <w:t>) föreskrivs att beslut ska antas ”om fastställande av vilka ståndpunkter som på unionens vägnar ska intas i ett organ som inrättas genom ett avtal, om detta organ ska anta akter med rättslig verkan, med undantag av sådana akter som kompletterar eller ändrar avtalets institutionella ram.”</w:t>
      </w:r>
    </w:p>
    <w:p>
      <w:pPr>
        <w:rPr>
          <w:noProof/>
        </w:rPr>
      </w:pPr>
      <w:r>
        <w:rPr>
          <w:noProof/>
        </w:rPr>
        <w:t>Begreppet ”akter med rättslig verkan” omfattar akter som har rättslig verkan med stöd av de regler i internationell rätt som tillämpas på organet i fråga. Det omfattar även instrument som inte har bindande verkan enligt internationell rätt, men som är ”ägnade att på ett avgörande sätt påverka innehållet i de bestämmelser som antas av unionslagstiftaren”</w:t>
      </w:r>
      <w:r>
        <w:rPr>
          <w:rStyle w:val="FootnoteReference"/>
          <w:noProof/>
        </w:rPr>
        <w:footnoteReference w:id="4"/>
      </w:r>
      <w:r>
        <w:rPr>
          <w:noProof/>
        </w:rPr>
        <w:t>.</w:t>
      </w:r>
    </w:p>
    <w:p>
      <w:pPr>
        <w:pStyle w:val="ManualHeading3"/>
        <w:rPr>
          <w:noProof/>
        </w:rPr>
      </w:pPr>
      <w:r>
        <w:t>4.1.2.</w:t>
      </w:r>
      <w:r>
        <w:tab/>
      </w:r>
      <w:r>
        <w:rPr>
          <w:noProof/>
        </w:rPr>
        <w:t>Tillämpning i det aktuella fallet</w:t>
      </w:r>
    </w:p>
    <w:p>
      <w:pPr>
        <w:rPr>
          <w:noProof/>
        </w:rPr>
      </w:pPr>
      <w:r>
        <w:rPr>
          <w:noProof/>
        </w:rPr>
        <w:t>Kommittén för ursprungsregler är ett organ som inrättats genom ett avtal, nämligen avtalet om ursprungsregler (WTO-Gatt 1994).</w:t>
      </w:r>
    </w:p>
    <w:p>
      <w:r>
        <w:rPr>
          <w:noProof/>
        </w:rPr>
        <w:t>Den akt som kommittén för ursprungsregler ska anta utgör en akt med rättslig verkan. Varken avtalet om upprättande av Världshandelsorganisationen eller avtalet om ursprungsregler tar upp den rättsliga statusen för akter som antagits av kommittén för ursprungsregler. Hur bindande den planerade akten är ska därför avgöras med utgångspunkt i den text som används i akten. Med hänsyn till ordalydelsen i meddelandet om förbättring av insynen i fråga om icke preferentiella ursprungsregler kommer den planerade akten anses ha rättslig verkan.</w:t>
      </w:r>
      <w:r>
        <w:t xml:space="preserve"> </w:t>
      </w:r>
    </w:p>
    <w:p>
      <w:pPr>
        <w:rPr>
          <w:noProof/>
        </w:rPr>
      </w:pPr>
      <w:r>
        <w:rPr>
          <w:noProof/>
        </w:rPr>
        <w:t>Den planerade akten varken kompletterar eller ändrar avtalets institutionella ram.</w:t>
      </w:r>
    </w:p>
    <w:p>
      <w:pPr>
        <w:rPr>
          <w:noProof/>
        </w:rPr>
      </w:pPr>
      <w:r>
        <w:rPr>
          <w:noProof/>
        </w:rPr>
        <w:t>Den förfarandemässiga rättsliga grunden för det föreslagna beslutet är därför artikel 218.9 i EUF-fördraget.</w:t>
      </w:r>
    </w:p>
    <w:p>
      <w:pPr>
        <w:pStyle w:val="ManualHeading2"/>
        <w:rPr>
          <w:noProof/>
        </w:rPr>
      </w:pPr>
      <w:r>
        <w:t>4.2.</w:t>
      </w:r>
      <w:r>
        <w:tab/>
      </w:r>
      <w:r>
        <w:rPr>
          <w:noProof/>
        </w:rPr>
        <w:t>Materiell rättslig grund</w:t>
      </w:r>
    </w:p>
    <w:p>
      <w:pPr>
        <w:pStyle w:val="ManualHeading3"/>
        <w:rPr>
          <w:noProof/>
        </w:rPr>
      </w:pPr>
      <w:r>
        <w:t>4.2.1.</w:t>
      </w:r>
      <w:r>
        <w:tab/>
      </w:r>
      <w:r>
        <w:rPr>
          <w:noProof/>
        </w:rPr>
        <w:t>Principer</w:t>
      </w:r>
    </w:p>
    <w:p>
      <w:pPr>
        <w:rPr>
          <w:noProof/>
        </w:rPr>
      </w:pPr>
      <w:r>
        <w:rPr>
          <w:noProof/>
        </w:rPr>
        <w:t>Den materiella rättsliga grunden för ett beslut enligt artikel 218.9 i EUF-fördraget är främst beroende av syftet med och innehållet i den planerade akt avseende vilken en ståndpunkt intas på unionens vägnar. Om den planerade akten har två syften eller två beståndsdelar av vilka det ena syftet eller den ena beståndsdelen kan identifieras som det eller den huvudsakliga, medan det eller den andra endast är av underordnad betydelse, måste det beslut som antas enligt artikel 218.9 i EUF-fördraget ha en enda materiell rättslig grund, nämligen den som krävs med hänsyn till det huvudsakliga eller avgörande syftet eller den huvudsakliga eller avgörande beståndsdelen.</w:t>
      </w:r>
    </w:p>
    <w:p>
      <w:pPr>
        <w:pStyle w:val="ManualHeading3"/>
        <w:rPr>
          <w:noProof/>
        </w:rPr>
      </w:pPr>
      <w:r>
        <w:lastRenderedPageBreak/>
        <w:t>4.2.2.</w:t>
      </w:r>
      <w:r>
        <w:tab/>
      </w:r>
      <w:r>
        <w:rPr>
          <w:noProof/>
        </w:rPr>
        <w:t>Tillämpning i det aktuella fallet</w:t>
      </w:r>
    </w:p>
    <w:p>
      <w:r>
        <w:rPr>
          <w:noProof/>
        </w:rPr>
        <w:t>Det huvudsakliga syftet med och innehållet i den planerade akten rör den gemensamma handelspolitiken.</w:t>
      </w:r>
    </w:p>
    <w:p>
      <w:pPr>
        <w:rPr>
          <w:i/>
          <w:noProof/>
        </w:rPr>
      </w:pPr>
      <w:r>
        <w:rPr>
          <w:noProof/>
        </w:rPr>
        <w:t>Den materiella rättsliga grunden för förslaget till beslut är därför artikel 207 i EUF-fördraget.</w:t>
      </w:r>
    </w:p>
    <w:p>
      <w:pPr>
        <w:pStyle w:val="ManualHeading2"/>
        <w:rPr>
          <w:noProof/>
        </w:rPr>
      </w:pPr>
      <w:r>
        <w:t>4.3.</w:t>
      </w:r>
      <w:r>
        <w:tab/>
      </w:r>
      <w:r>
        <w:rPr>
          <w:noProof/>
        </w:rPr>
        <w:t>Slutsats</w:t>
      </w:r>
    </w:p>
    <w:p>
      <w:pPr>
        <w:rPr>
          <w:noProof/>
        </w:rPr>
      </w:pPr>
      <w:r>
        <w:rPr>
          <w:noProof/>
        </w:rPr>
        <w:t>Den rättsliga grunden för förslaget till beslut bör vara artikel 207 jämförd med artikel 218.9 i EUF-fördraget.</w:t>
      </w:r>
    </w:p>
    <w:p>
      <w:pPr>
        <w:pStyle w:val="ManualHeading1"/>
        <w:rPr>
          <w:noProof/>
        </w:rPr>
      </w:pPr>
      <w:r>
        <w:t>5.</w:t>
      </w:r>
      <w:r>
        <w:tab/>
      </w:r>
      <w:r>
        <w:rPr>
          <w:noProof/>
        </w:rPr>
        <w:t>Offentliggörande av den planerade akten</w:t>
      </w:r>
    </w:p>
    <w:p>
      <w:pPr>
        <w:rPr>
          <w:noProof/>
        </w:rPr>
      </w:pPr>
      <w:r>
        <w:rPr>
          <w:noProof/>
        </w:rPr>
        <w:t>Ej tillämpligt.</w:t>
      </w:r>
    </w:p>
    <w:p>
      <w:pPr>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2019/0200 (NLE)</w:t>
      </w:r>
    </w:p>
    <w:p>
      <w:pPr>
        <w:pStyle w:val="Statut"/>
        <w:rPr>
          <w:noProof/>
        </w:rPr>
      </w:pPr>
      <w:r>
        <w:rPr>
          <w:noProof/>
        </w:rPr>
        <w:t>Förslag till</w:t>
      </w:r>
    </w:p>
    <w:p>
      <w:pPr>
        <w:pStyle w:val="Typedudocument"/>
        <w:rPr>
          <w:noProof/>
        </w:rPr>
      </w:pPr>
      <w:r>
        <w:rPr>
          <w:noProof/>
        </w:rPr>
        <w:t>RÅDETS BESLUT</w:t>
      </w:r>
    </w:p>
    <w:p>
      <w:pPr>
        <w:pStyle w:val="Titreobjet"/>
        <w:rPr>
          <w:noProof/>
        </w:rPr>
      </w:pPr>
      <w:r>
        <w:rPr>
          <w:noProof/>
        </w:rPr>
        <w:t>om den ståndpunkt som ska intas på unionens vägnar i kommittén för ursprungsregler, som inrättats genom avtalet om ursprungsregler (WTO-Gatt 1994), som bifogas den slutakt som undertecknades i Marrakech den 15 april 1994</w:t>
      </w:r>
    </w:p>
    <w:p>
      <w:pPr>
        <w:pStyle w:val="Institutionquiagit"/>
        <w:rPr>
          <w:b/>
          <w:noProof/>
        </w:rPr>
      </w:pPr>
      <w:r>
        <w:rPr>
          <w:b/>
          <w:noProof/>
        </w:rPr>
        <w:t>EUROPEISKA UNIONENS RÅD HAR ANTAGIT DETTA BESLUT</w:t>
      </w:r>
    </w:p>
    <w:p>
      <w:pPr>
        <w:rPr>
          <w:noProof/>
        </w:rPr>
      </w:pPr>
      <w:r>
        <w:rPr>
          <w:noProof/>
        </w:rPr>
        <w:t>med beaktande av fördraget om Europeiska unionens funktionssätt, särskilt artikel 207.3 och artikel 207.4 första stycket jämförda med artikel 218.9,</w:t>
      </w:r>
    </w:p>
    <w:p>
      <w:pPr>
        <w:rPr>
          <w:noProof/>
        </w:rPr>
      </w:pPr>
      <w:r>
        <w:rPr>
          <w:noProof/>
        </w:rPr>
        <w:t>med beaktande av Europeiska kommissionens förslag, och</w:t>
      </w:r>
    </w:p>
    <w:p>
      <w:pPr>
        <w:rPr>
          <w:noProof/>
        </w:rPr>
      </w:pPr>
      <w:r>
        <w:rPr>
          <w:noProof/>
        </w:rPr>
        <w:t>av följande skäl:</w:t>
      </w:r>
    </w:p>
    <w:p>
      <w:pPr>
        <w:pStyle w:val="ManualConsidrant"/>
        <w:rPr>
          <w:noProof/>
        </w:rPr>
      </w:pPr>
      <w:r>
        <w:t>(1)</w:t>
      </w:r>
      <w:r>
        <w:tab/>
      </w:r>
      <w:r>
        <w:rPr>
          <w:noProof/>
        </w:rPr>
        <w:t xml:space="preserve">Avtalet om ursprungsregler (WTO-Gatt 1994), som bifogas den slutakt som undertecknades i Marrakech den 15 april 1994 (nedan kallat </w:t>
      </w:r>
      <w:r>
        <w:rPr>
          <w:i/>
          <w:iCs/>
          <w:noProof/>
        </w:rPr>
        <w:t>avtalet</w:t>
      </w:r>
      <w:r>
        <w:rPr>
          <w:noProof/>
        </w:rPr>
        <w:t>) ingicks av unionen genom rådets beslut 94/800/EG</w:t>
      </w:r>
      <w:r>
        <w:rPr>
          <w:rStyle w:val="FootnoteReference"/>
          <w:noProof/>
        </w:rPr>
        <w:footnoteReference w:id="5"/>
      </w:r>
      <w:r>
        <w:rPr>
          <w:noProof/>
        </w:rPr>
        <w:t xml:space="preserve"> och trädde i kraft den 1 januari 1995. </w:t>
      </w:r>
    </w:p>
    <w:p>
      <w:pPr>
        <w:pStyle w:val="ManualConsidrant"/>
        <w:rPr>
          <w:noProof/>
        </w:rPr>
      </w:pPr>
      <w:r>
        <w:t>(2)</w:t>
      </w:r>
      <w:r>
        <w:tab/>
      </w:r>
      <w:r>
        <w:rPr>
          <w:noProof/>
        </w:rPr>
        <w:t xml:space="preserve">Genom artikel 4 i avtalet inrättas kommittén för ursprungsregler. </w:t>
      </w:r>
    </w:p>
    <w:p>
      <w:pPr>
        <w:pStyle w:val="ManualConsidrant"/>
        <w:rPr>
          <w:noProof/>
        </w:rPr>
      </w:pPr>
      <w:r>
        <w:t>(3)</w:t>
      </w:r>
      <w:r>
        <w:tab/>
      </w:r>
      <w:r>
        <w:rPr>
          <w:noProof/>
        </w:rPr>
        <w:t xml:space="preserve">Kommittén för ursprungsregler ska under sitt </w:t>
      </w:r>
      <w:r>
        <w:t xml:space="preserve"> </w:t>
      </w:r>
      <w:r>
        <w:rPr>
          <w:noProof/>
        </w:rPr>
        <w:t xml:space="preserve"> möte den </w:t>
      </w:r>
      <w:r>
        <w:t>[date]</w:t>
      </w:r>
      <w:r>
        <w:rPr>
          <w:noProof/>
        </w:rPr>
        <w:t xml:space="preserve"> anta ett meddelande om ”förbättring av insynen i fråga om icke preferentiella ursprungsregler”.</w:t>
      </w:r>
    </w:p>
    <w:p>
      <w:pPr>
        <w:pStyle w:val="ManualConsidrant"/>
        <w:rPr>
          <w:noProof/>
        </w:rPr>
      </w:pPr>
      <w:r>
        <w:t>(4)</w:t>
      </w:r>
      <w:r>
        <w:tab/>
      </w:r>
      <w:r>
        <w:rPr>
          <w:noProof/>
        </w:rPr>
        <w:t>Det är lämpligt att fastställa den ståndpunkt som ska intas på unionens vägnar i kommittén för ursprungsregler, eftersom meddelandet kommer att vara bindande för unionen.</w:t>
      </w:r>
    </w:p>
    <w:p>
      <w:pPr>
        <w:pStyle w:val="ManualConsidrant"/>
        <w:rPr>
          <w:noProof/>
        </w:rPr>
      </w:pPr>
      <w:r>
        <w:t>(5)</w:t>
      </w:r>
      <w:r>
        <w:tab/>
      </w:r>
      <w:r>
        <w:rPr>
          <w:noProof/>
        </w:rPr>
        <w:t xml:space="preserve">Den ståndpunkt som ska intas på unionens vägnar syftar till att förbättra insynen i lagar och andra författningar samt praxis i fråga om icke preferentiella ursprungsregler, genom regler för WTO-medlemmar om obligatorisk eller frivillig anmälan av icke preferentiella ursprungsregler med hjälp av standardiserade formulär. Detta kommer att leda till tydligare och mer förutsägbara ursprungsregler och underlätta flödet av internationell handel. </w:t>
      </w:r>
    </w:p>
    <w:p>
      <w:pPr>
        <w:pStyle w:val="Formuledadoption"/>
        <w:rPr>
          <w:noProof/>
        </w:rPr>
      </w:pPr>
      <w:r>
        <w:rPr>
          <w:noProof/>
        </w:rPr>
        <w:t>HÄRIGENOM FÖRESKRIVS FÖLJANDE.</w:t>
      </w:r>
    </w:p>
    <w:p>
      <w:pPr>
        <w:pStyle w:val="Titrearticle"/>
        <w:rPr>
          <w:noProof/>
        </w:rPr>
      </w:pPr>
      <w:r>
        <w:rPr>
          <w:noProof/>
        </w:rPr>
        <w:t>Artikel 1</w:t>
      </w:r>
    </w:p>
    <w:p>
      <w:pPr>
        <w:rPr>
          <w:noProof/>
        </w:rPr>
      </w:pPr>
      <w:r>
        <w:rPr>
          <w:noProof/>
        </w:rPr>
        <w:t>Den ståndpunkt som ska intas på unionens vägnar vid kommittén för ursprungsreglers   session/möte ska grundas på det utkast till akt av kommittén för ursprungsregler som åtföljer detta beslut.</w:t>
      </w:r>
    </w:p>
    <w:p>
      <w:pPr>
        <w:rPr>
          <w:i/>
          <w:noProof/>
        </w:rPr>
      </w:pPr>
      <w:r>
        <w:rPr>
          <w:noProof/>
        </w:rPr>
        <w:t>Unionens företrädare får komma överens om mindre redaktionella ändringar av utkastet till akt mot bakgrund av utvecklingen vid kommande möten i kommittén för ursprungsregler, i samråd med medlemsstaterna, eller vid samordningsmöten på plats, utan något nytt beslut av rådet.</w:t>
      </w:r>
    </w:p>
    <w:p>
      <w:pPr>
        <w:pStyle w:val="Titrearticle"/>
        <w:rPr>
          <w:noProof/>
        </w:rPr>
      </w:pPr>
      <w:r>
        <w:rPr>
          <w:noProof/>
        </w:rPr>
        <w:lastRenderedPageBreak/>
        <w:t>Artikel 2</w:t>
      </w:r>
    </w:p>
    <w:p>
      <w:pPr>
        <w:rPr>
          <w:noProof/>
        </w:rPr>
      </w:pPr>
      <w:r>
        <w:rPr>
          <w:noProof/>
        </w:rPr>
        <w:t>Detta beslut riktar sig till kommissionen.</w:t>
      </w:r>
    </w:p>
    <w:p>
      <w:pPr>
        <w:pStyle w:val="Fait"/>
        <w:rPr>
          <w:noProof/>
        </w:rPr>
      </w:pPr>
      <w:r>
        <w:t>Utfärdat i Bryssel den</w:t>
      </w:r>
    </w:p>
    <w:p>
      <w:pPr>
        <w:pStyle w:val="Institutionquisigne"/>
        <w:rPr>
          <w:noProof/>
        </w:rPr>
      </w:pPr>
      <w:r>
        <w:rPr>
          <w:noProof/>
        </w:rPr>
        <w:tab/>
        <w:t>På rådets vägnar</w:t>
      </w:r>
    </w:p>
    <w:p>
      <w:pPr>
        <w:pStyle w:val="Personnequisigne"/>
        <w:rPr>
          <w:noProof/>
        </w:rPr>
      </w:pPr>
      <w:r>
        <w:rPr>
          <w:noProof/>
        </w:rPr>
        <w:tab/>
        <w:t>Ordförande</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SV</w:t>
    </w:r>
    <w:r>
      <w:rPr>
        <w:rFonts w:ascii="Arial" w:hAnsi="Arial" w:cs="Arial"/>
        <w:b/>
        <w:sz w:val="48"/>
      </w:rPr>
      <w:tab/>
    </w:r>
    <w:r>
      <w:rPr>
        <w:rFonts w:ascii="Arial" w:hAnsi="Arial" w:cs="Arial"/>
        <w:b/>
        <w:sz w:val="48"/>
      </w:rPr>
      <w:tab/>
    </w:r>
    <w:r>
      <w:tab/>
    </w:r>
    <w:r>
      <w:rPr>
        <w:rFonts w:ascii="Arial" w:hAnsi="Arial" w:cs="Arial"/>
        <w:b/>
        <w:sz w:val="48"/>
      </w:rPr>
      <w:t>SV</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SV</w:t>
    </w:r>
    <w:r>
      <w:rPr>
        <w:rFonts w:ascii="Arial" w:hAnsi="Arial" w:cs="Arial"/>
        <w:b/>
        <w:sz w:val="48"/>
      </w:rPr>
      <w:tab/>
    </w:r>
    <w:r>
      <w:fldChar w:fldCharType="begin"/>
    </w:r>
    <w:r>
      <w:instrText xml:space="preserve"> PAGE  \* MERGEFORMAT </w:instrText>
    </w:r>
    <w:r>
      <w:fldChar w:fldCharType="separate"/>
    </w:r>
    <w:r>
      <w:rPr>
        <w:noProof/>
      </w:rPr>
      <w:t>6</w:t>
    </w:r>
    <w:r>
      <w:fldChar w:fldCharType="end"/>
    </w:r>
    <w:r>
      <w:tab/>
    </w:r>
    <w:r>
      <w:tab/>
    </w:r>
    <w:r>
      <w:rPr>
        <w:rFonts w:ascii="Arial" w:hAnsi="Arial" w:cs="Arial"/>
        <w:b/>
        <w:sz w:val="48"/>
      </w:rPr>
      <w:t>SV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Rådets beslut 94/800/EG av den 22 december 1994 om ingående, på Europeiska gemenskapens vägnar - vad beträffar frågor som omfattas av dess behörighet - av de avtal som är resultatet av de multilaterala förhandlingarna i Uruguayrundan (1986–1994) (EGT L 336, 23.12.1994, s. 1).</w:t>
      </w:r>
    </w:p>
  </w:footnote>
  <w:footnote w:id="2">
    <w:p>
      <w:pPr>
        <w:pStyle w:val="FootnoteText"/>
      </w:pPr>
      <w:r>
        <w:rPr>
          <w:rStyle w:val="FootnoteReference"/>
        </w:rPr>
        <w:footnoteRef/>
      </w:r>
      <w:r>
        <w:tab/>
        <w:t>Meddelande från Australien, Brasilien, Kanada, Hongkong, Japan, Republiken Korea, Nya Zeeland, Norge, Filippinerna, Ryska federationen, Singapore, Schweiz, Det särskilda tullområdet för Taiwan, Penghu, Kinmen och Matsu, och Förenta staterna.</w:t>
      </w:r>
    </w:p>
  </w:footnote>
  <w:footnote w:id="3">
    <w:p>
      <w:pPr>
        <w:pStyle w:val="FootnoteText"/>
      </w:pPr>
      <w:r>
        <w:rPr>
          <w:rStyle w:val="FootnoteReference"/>
        </w:rPr>
        <w:footnoteRef/>
      </w:r>
      <w:r>
        <w:tab/>
        <w:t>EUT L 269, 10.10.2013, s. 1.</w:t>
      </w:r>
    </w:p>
  </w:footnote>
  <w:footnote w:id="4">
    <w:p>
      <w:pPr>
        <w:pStyle w:val="FootnoteText"/>
      </w:pPr>
      <w:r>
        <w:rPr>
          <w:rStyle w:val="FootnoteReference"/>
        </w:rPr>
        <w:footnoteRef/>
      </w:r>
      <w:r>
        <w:tab/>
        <w:t xml:space="preserve">Domstolens dom av den 7 oktober 2014, Tyskland/rådet, C-399/12, ECLI:EU:C:2014:2258, punkterna 61–64. </w:t>
      </w:r>
    </w:p>
  </w:footnote>
  <w:footnote w:id="5">
    <w:p>
      <w:pPr>
        <w:pStyle w:val="FootnoteText"/>
      </w:pPr>
      <w:r>
        <w:rPr>
          <w:rStyle w:val="FootnoteReference"/>
        </w:rPr>
        <w:footnoteRef/>
      </w:r>
      <w:r>
        <w:tab/>
        <w:t>Rådets beslut 94/800/EG av den 22 december 1994 om ingående, på Europeiska gemenskapens vägnar – vad beträffar frågor som omfattas av dess behörighet – av de avtal som är resultatet av de multilaterala förhandlingarna i Uruguayrundan (1986–1994) (EGT L 336, 23.12.1994, s. 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1834F768"/>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2D2A1850"/>
    <w:lvl w:ilvl="0">
      <w:start w:val="1"/>
      <w:numFmt w:val="decimal"/>
      <w:pStyle w:val="ListNumber3"/>
      <w:lvlText w:val="%1."/>
      <w:lvlJc w:val="left"/>
      <w:pPr>
        <w:tabs>
          <w:tab w:val="num" w:pos="926"/>
        </w:tabs>
        <w:ind w:left="926" w:hanging="360"/>
      </w:pPr>
    </w:lvl>
  </w:abstractNum>
  <w:abstractNum w:abstractNumId="2">
    <w:nsid w:val="FFFFFF7F"/>
    <w:multiLevelType w:val="singleLevel"/>
    <w:tmpl w:val="3D0A3A56"/>
    <w:lvl w:ilvl="0">
      <w:start w:val="1"/>
      <w:numFmt w:val="decimal"/>
      <w:pStyle w:val="ListNumber2"/>
      <w:lvlText w:val="%1."/>
      <w:lvlJc w:val="left"/>
      <w:pPr>
        <w:tabs>
          <w:tab w:val="num" w:pos="643"/>
        </w:tabs>
        <w:ind w:left="643" w:hanging="360"/>
      </w:pPr>
    </w:lvl>
  </w:abstractNum>
  <w:abstractNum w:abstractNumId="3">
    <w:nsid w:val="FFFFFF81"/>
    <w:multiLevelType w:val="singleLevel"/>
    <w:tmpl w:val="5D341480"/>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7C567EE6"/>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C932195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42D8A6E6"/>
    <w:lvl w:ilvl="0">
      <w:start w:val="1"/>
      <w:numFmt w:val="decimal"/>
      <w:pStyle w:val="ListNumber"/>
      <w:lvlText w:val="%1."/>
      <w:lvlJc w:val="left"/>
      <w:pPr>
        <w:tabs>
          <w:tab w:val="num" w:pos="360"/>
        </w:tabs>
        <w:ind w:left="360" w:hanging="360"/>
      </w:pPr>
    </w:lvl>
  </w:abstractNum>
  <w:abstractNum w:abstractNumId="7">
    <w:nsid w:val="FFFFFF89"/>
    <w:multiLevelType w:val="singleLevel"/>
    <w:tmpl w:val="7BC22246"/>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1"/>
    </w:lvlOverride>
  </w:num>
  <w:num w:numId="7">
    <w:abstractNumId w:val="6"/>
  </w:num>
  <w:num w:numId="8">
    <w:abstractNumId w:val="2"/>
  </w:num>
  <w:num w:numId="9">
    <w:abstractNumId w:val="1"/>
  </w:num>
  <w:num w:numId="10">
    <w:abstractNumId w:val="0"/>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revisionView w:markup="0"/>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9-19 10:40:49"/>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3"/>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339FB811-B4DC-43EC-A3F7-E1B152676C5B"/>
    <w:docVar w:name="LW_COVERPAGE_TYPE" w:val="1"/>
    <w:docVar w:name="LW_CROSSREFERENCE" w:val="&lt;UNUSED&gt;"/>
    <w:docVar w:name="LW_DocType" w:val="COM"/>
    <w:docVar w:name="LW_EMISSION" w:val="20.9.2019"/>
    <w:docVar w:name="LW_EMISSION_ISODATE" w:val="2019-09-20"/>
    <w:docVar w:name="LW_EMISSION_LOCATION" w:val="BRX"/>
    <w:docVar w:name="LW_EMISSION_PREFIX" w:val="Bryssel den "/>
    <w:docVar w:name="LW_EMISSION_SUFFIX" w:val=" "/>
    <w:docVar w:name="LW_ID_DOCMODEL" w:val="SJ-043"/>
    <w:docVar w:name="LW_ID_DOCSIGNATURE" w:val="SJ-019"/>
    <w:docVar w:name="LW_ID_DOCSTRUCTURE" w:val="COM/PL/ORG"/>
    <w:docVar w:name="LW_ID_DOCTYPE" w:val="SJ-043"/>
    <w:docVar w:name="LW_ID_EXP.MOTIFS.NEW" w:val="EM_PL2_"/>
    <w:docVar w:name="LW_ID_STATUT" w:val="SJ-019"/>
    <w:docVar w:name="LW_INTERETEEE.CP" w:val="&lt;UNUSED&gt;"/>
    <w:docVar w:name="LW_LANGUE" w:val="SV"/>
    <w:docVar w:name="LW_LEVEL_OF_SENSITIVITY" w:val="Standard treatment"/>
    <w:docVar w:name="LW_NOM.INST" w:val="EUROPEISKA KOMMISSIONEN"/>
    <w:docVar w:name="LW_NOM.INST_JOINTDOC" w:val="&lt;EMPTY&gt;"/>
    <w:docVar w:name="LW_PART_NBR" w:val="1"/>
    <w:docVar w:name="LW_PART_NBR_TOTAL" w:val="1"/>
    <w:docVar w:name="LW_REF.II.NEW.CP" w:val="NLE"/>
    <w:docVar w:name="LW_REF.II.NEW.CP_NUMBER" w:val="0200"/>
    <w:docVar w:name="LW_REF.II.NEW.CP_YEAR" w:val="2019"/>
    <w:docVar w:name="LW_REF.INST.NEW" w:val="COM"/>
    <w:docVar w:name="LW_REF.INST.NEW_ADOPTED" w:val="final"/>
    <w:docVar w:name="LW_REF.INST.NEW_TEXT" w:val="(2019) 424"/>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Förslag till"/>
    <w:docVar w:name="LW_SUPERTITRE" w:val="&lt;UNUSED&gt;"/>
    <w:docVar w:name="LW_TITRE.OBJ.CP" w:val="om den ståndpunkt som ska intas på unionens vägnar i kommittén för ursprungsregler, som inrättats genom avtalet om ursprungsregler (WTO-Gatt 1994), som bifogas den slutakt som undertecknades i Marrakech den 15 april 1994"/>
    <w:docVar w:name="LW_TYPE.DOC.CP" w:val="RÅDETS BESLUT"/>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sv-SE"/>
    </w:rPr>
  </w:style>
  <w:style w:type="paragraph" w:styleId="Heading1">
    <w:name w:val="heading 1"/>
    <w:basedOn w:val="Normal"/>
    <w:next w:val="Text1"/>
    <w:link w:val="Heading1Char"/>
    <w:uiPriority w:val="9"/>
    <w:qFormat/>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sv-SE"/>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v-S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v-SE"/>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sv-S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sv-S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1"/>
      </w:numPr>
    </w:pPr>
  </w:style>
  <w:style w:type="paragraph" w:customStyle="1" w:styleId="Tiret1">
    <w:name w:val="Tiret 1"/>
    <w:basedOn w:val="Point1"/>
    <w:pPr>
      <w:numPr>
        <w:numId w:val="12"/>
      </w:numPr>
    </w:pPr>
  </w:style>
  <w:style w:type="paragraph" w:customStyle="1" w:styleId="Tiret2">
    <w:name w:val="Tiret 2"/>
    <w:basedOn w:val="Point2"/>
    <w:pPr>
      <w:numPr>
        <w:numId w:val="13"/>
      </w:numPr>
    </w:pPr>
  </w:style>
  <w:style w:type="paragraph" w:customStyle="1" w:styleId="Tiret3">
    <w:name w:val="Tiret 3"/>
    <w:basedOn w:val="Point3"/>
    <w:pPr>
      <w:numPr>
        <w:numId w:val="14"/>
      </w:numPr>
    </w:pPr>
  </w:style>
  <w:style w:type="paragraph" w:customStyle="1" w:styleId="Tiret4">
    <w:name w:val="Tiret 4"/>
    <w:basedOn w:val="Point4"/>
    <w:pPr>
      <w:numPr>
        <w:numId w:val="1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6"/>
      </w:numPr>
    </w:pPr>
  </w:style>
  <w:style w:type="paragraph" w:customStyle="1" w:styleId="NumPar2">
    <w:name w:val="NumPar 2"/>
    <w:basedOn w:val="Normal"/>
    <w:next w:val="Text1"/>
    <w:pPr>
      <w:numPr>
        <w:ilvl w:val="1"/>
        <w:numId w:val="16"/>
      </w:numPr>
    </w:pPr>
  </w:style>
  <w:style w:type="paragraph" w:customStyle="1" w:styleId="NumPar3">
    <w:name w:val="NumPar 3"/>
    <w:basedOn w:val="Normal"/>
    <w:next w:val="Text1"/>
    <w:pPr>
      <w:numPr>
        <w:ilvl w:val="2"/>
        <w:numId w:val="16"/>
      </w:numPr>
    </w:pPr>
  </w:style>
  <w:style w:type="paragraph" w:customStyle="1" w:styleId="NumPar4">
    <w:name w:val="NumPar 4"/>
    <w:basedOn w:val="Normal"/>
    <w:next w:val="Text1"/>
    <w:pPr>
      <w:numPr>
        <w:ilvl w:val="3"/>
        <w:numId w:val="1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8"/>
      </w:numPr>
    </w:pPr>
  </w:style>
  <w:style w:type="paragraph" w:customStyle="1" w:styleId="Point1number">
    <w:name w:val="Point 1 (number)"/>
    <w:basedOn w:val="Normal"/>
    <w:pPr>
      <w:numPr>
        <w:ilvl w:val="2"/>
        <w:numId w:val="18"/>
      </w:numPr>
    </w:pPr>
  </w:style>
  <w:style w:type="paragraph" w:customStyle="1" w:styleId="Point2number">
    <w:name w:val="Point 2 (number)"/>
    <w:basedOn w:val="Normal"/>
    <w:pPr>
      <w:numPr>
        <w:ilvl w:val="4"/>
        <w:numId w:val="18"/>
      </w:numPr>
    </w:pPr>
  </w:style>
  <w:style w:type="paragraph" w:customStyle="1" w:styleId="Point3number">
    <w:name w:val="Point 3 (number)"/>
    <w:basedOn w:val="Normal"/>
    <w:pPr>
      <w:numPr>
        <w:ilvl w:val="6"/>
        <w:numId w:val="18"/>
      </w:numPr>
    </w:pPr>
  </w:style>
  <w:style w:type="paragraph" w:customStyle="1" w:styleId="Point0letter">
    <w:name w:val="Point 0 (letter)"/>
    <w:basedOn w:val="Normal"/>
    <w:pPr>
      <w:numPr>
        <w:ilvl w:val="1"/>
        <w:numId w:val="18"/>
      </w:numPr>
    </w:pPr>
  </w:style>
  <w:style w:type="paragraph" w:customStyle="1" w:styleId="Point1letter">
    <w:name w:val="Point 1 (letter)"/>
    <w:basedOn w:val="Normal"/>
    <w:pPr>
      <w:numPr>
        <w:ilvl w:val="3"/>
        <w:numId w:val="18"/>
      </w:numPr>
    </w:pPr>
  </w:style>
  <w:style w:type="paragraph" w:customStyle="1" w:styleId="Point2letter">
    <w:name w:val="Point 2 (letter)"/>
    <w:basedOn w:val="Normal"/>
    <w:pPr>
      <w:numPr>
        <w:ilvl w:val="5"/>
        <w:numId w:val="18"/>
      </w:numPr>
    </w:pPr>
  </w:style>
  <w:style w:type="paragraph" w:customStyle="1" w:styleId="Point3letter">
    <w:name w:val="Point 3 (letter)"/>
    <w:basedOn w:val="Normal"/>
    <w:pPr>
      <w:numPr>
        <w:ilvl w:val="7"/>
        <w:numId w:val="18"/>
      </w:numPr>
    </w:pPr>
  </w:style>
  <w:style w:type="paragraph" w:customStyle="1" w:styleId="Point4letter">
    <w:name w:val="Point 4 (letter)"/>
    <w:basedOn w:val="Normal"/>
    <w:pPr>
      <w:numPr>
        <w:ilvl w:val="8"/>
        <w:numId w:val="18"/>
      </w:numPr>
    </w:pPr>
  </w:style>
  <w:style w:type="paragraph" w:customStyle="1" w:styleId="Bullet0">
    <w:name w:val="Bullet 0"/>
    <w:basedOn w:val="Normal"/>
    <w:pPr>
      <w:numPr>
        <w:numId w:val="19"/>
      </w:numPr>
    </w:pPr>
  </w:style>
  <w:style w:type="paragraph" w:customStyle="1" w:styleId="Bullet1">
    <w:name w:val="Bullet 1"/>
    <w:basedOn w:val="Normal"/>
    <w:pPr>
      <w:numPr>
        <w:numId w:val="20"/>
      </w:numPr>
    </w:pPr>
  </w:style>
  <w:style w:type="paragraph" w:customStyle="1" w:styleId="Bullet2">
    <w:name w:val="Bullet 2"/>
    <w:basedOn w:val="Normal"/>
    <w:pPr>
      <w:numPr>
        <w:numId w:val="21"/>
      </w:numPr>
    </w:pPr>
  </w:style>
  <w:style w:type="paragraph" w:customStyle="1" w:styleId="Bullet3">
    <w:name w:val="Bullet 3"/>
    <w:basedOn w:val="Normal"/>
    <w:pPr>
      <w:numPr>
        <w:numId w:val="22"/>
      </w:numPr>
    </w:pPr>
  </w:style>
  <w:style w:type="paragraph" w:customStyle="1" w:styleId="Bullet4">
    <w:name w:val="Bullet 4"/>
    <w:basedOn w:val="Normal"/>
    <w:pPr>
      <w:numPr>
        <w:numId w:val="2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sv-SE"/>
    </w:rPr>
  </w:style>
  <w:style w:type="paragraph" w:styleId="Heading1">
    <w:name w:val="heading 1"/>
    <w:basedOn w:val="Normal"/>
    <w:next w:val="Text1"/>
    <w:link w:val="Heading1Char"/>
    <w:uiPriority w:val="9"/>
    <w:qFormat/>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sv-SE"/>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v-S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v-SE"/>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sv-S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sv-S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1"/>
      </w:numPr>
    </w:pPr>
  </w:style>
  <w:style w:type="paragraph" w:customStyle="1" w:styleId="Tiret1">
    <w:name w:val="Tiret 1"/>
    <w:basedOn w:val="Point1"/>
    <w:pPr>
      <w:numPr>
        <w:numId w:val="12"/>
      </w:numPr>
    </w:pPr>
  </w:style>
  <w:style w:type="paragraph" w:customStyle="1" w:styleId="Tiret2">
    <w:name w:val="Tiret 2"/>
    <w:basedOn w:val="Point2"/>
    <w:pPr>
      <w:numPr>
        <w:numId w:val="13"/>
      </w:numPr>
    </w:pPr>
  </w:style>
  <w:style w:type="paragraph" w:customStyle="1" w:styleId="Tiret3">
    <w:name w:val="Tiret 3"/>
    <w:basedOn w:val="Point3"/>
    <w:pPr>
      <w:numPr>
        <w:numId w:val="14"/>
      </w:numPr>
    </w:pPr>
  </w:style>
  <w:style w:type="paragraph" w:customStyle="1" w:styleId="Tiret4">
    <w:name w:val="Tiret 4"/>
    <w:basedOn w:val="Point4"/>
    <w:pPr>
      <w:numPr>
        <w:numId w:val="1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6"/>
      </w:numPr>
    </w:pPr>
  </w:style>
  <w:style w:type="paragraph" w:customStyle="1" w:styleId="NumPar2">
    <w:name w:val="NumPar 2"/>
    <w:basedOn w:val="Normal"/>
    <w:next w:val="Text1"/>
    <w:pPr>
      <w:numPr>
        <w:ilvl w:val="1"/>
        <w:numId w:val="16"/>
      </w:numPr>
    </w:pPr>
  </w:style>
  <w:style w:type="paragraph" w:customStyle="1" w:styleId="NumPar3">
    <w:name w:val="NumPar 3"/>
    <w:basedOn w:val="Normal"/>
    <w:next w:val="Text1"/>
    <w:pPr>
      <w:numPr>
        <w:ilvl w:val="2"/>
        <w:numId w:val="16"/>
      </w:numPr>
    </w:pPr>
  </w:style>
  <w:style w:type="paragraph" w:customStyle="1" w:styleId="NumPar4">
    <w:name w:val="NumPar 4"/>
    <w:basedOn w:val="Normal"/>
    <w:next w:val="Text1"/>
    <w:pPr>
      <w:numPr>
        <w:ilvl w:val="3"/>
        <w:numId w:val="1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8"/>
      </w:numPr>
    </w:pPr>
  </w:style>
  <w:style w:type="paragraph" w:customStyle="1" w:styleId="Point1number">
    <w:name w:val="Point 1 (number)"/>
    <w:basedOn w:val="Normal"/>
    <w:pPr>
      <w:numPr>
        <w:ilvl w:val="2"/>
        <w:numId w:val="18"/>
      </w:numPr>
    </w:pPr>
  </w:style>
  <w:style w:type="paragraph" w:customStyle="1" w:styleId="Point2number">
    <w:name w:val="Point 2 (number)"/>
    <w:basedOn w:val="Normal"/>
    <w:pPr>
      <w:numPr>
        <w:ilvl w:val="4"/>
        <w:numId w:val="18"/>
      </w:numPr>
    </w:pPr>
  </w:style>
  <w:style w:type="paragraph" w:customStyle="1" w:styleId="Point3number">
    <w:name w:val="Point 3 (number)"/>
    <w:basedOn w:val="Normal"/>
    <w:pPr>
      <w:numPr>
        <w:ilvl w:val="6"/>
        <w:numId w:val="18"/>
      </w:numPr>
    </w:pPr>
  </w:style>
  <w:style w:type="paragraph" w:customStyle="1" w:styleId="Point0letter">
    <w:name w:val="Point 0 (letter)"/>
    <w:basedOn w:val="Normal"/>
    <w:pPr>
      <w:numPr>
        <w:ilvl w:val="1"/>
        <w:numId w:val="18"/>
      </w:numPr>
    </w:pPr>
  </w:style>
  <w:style w:type="paragraph" w:customStyle="1" w:styleId="Point1letter">
    <w:name w:val="Point 1 (letter)"/>
    <w:basedOn w:val="Normal"/>
    <w:pPr>
      <w:numPr>
        <w:ilvl w:val="3"/>
        <w:numId w:val="18"/>
      </w:numPr>
    </w:pPr>
  </w:style>
  <w:style w:type="paragraph" w:customStyle="1" w:styleId="Point2letter">
    <w:name w:val="Point 2 (letter)"/>
    <w:basedOn w:val="Normal"/>
    <w:pPr>
      <w:numPr>
        <w:ilvl w:val="5"/>
        <w:numId w:val="18"/>
      </w:numPr>
    </w:pPr>
  </w:style>
  <w:style w:type="paragraph" w:customStyle="1" w:styleId="Point3letter">
    <w:name w:val="Point 3 (letter)"/>
    <w:basedOn w:val="Normal"/>
    <w:pPr>
      <w:numPr>
        <w:ilvl w:val="7"/>
        <w:numId w:val="18"/>
      </w:numPr>
    </w:pPr>
  </w:style>
  <w:style w:type="paragraph" w:customStyle="1" w:styleId="Point4letter">
    <w:name w:val="Point 4 (letter)"/>
    <w:basedOn w:val="Normal"/>
    <w:pPr>
      <w:numPr>
        <w:ilvl w:val="8"/>
        <w:numId w:val="18"/>
      </w:numPr>
    </w:pPr>
  </w:style>
  <w:style w:type="paragraph" w:customStyle="1" w:styleId="Bullet0">
    <w:name w:val="Bullet 0"/>
    <w:basedOn w:val="Normal"/>
    <w:pPr>
      <w:numPr>
        <w:numId w:val="19"/>
      </w:numPr>
    </w:pPr>
  </w:style>
  <w:style w:type="paragraph" w:customStyle="1" w:styleId="Bullet1">
    <w:name w:val="Bullet 1"/>
    <w:basedOn w:val="Normal"/>
    <w:pPr>
      <w:numPr>
        <w:numId w:val="20"/>
      </w:numPr>
    </w:pPr>
  </w:style>
  <w:style w:type="paragraph" w:customStyle="1" w:styleId="Bullet2">
    <w:name w:val="Bullet 2"/>
    <w:basedOn w:val="Normal"/>
    <w:pPr>
      <w:numPr>
        <w:numId w:val="21"/>
      </w:numPr>
    </w:pPr>
  </w:style>
  <w:style w:type="paragraph" w:customStyle="1" w:styleId="Bullet3">
    <w:name w:val="Bullet 3"/>
    <w:basedOn w:val="Normal"/>
    <w:pPr>
      <w:numPr>
        <w:numId w:val="22"/>
      </w:numPr>
    </w:pPr>
  </w:style>
  <w:style w:type="paragraph" w:customStyle="1" w:styleId="Bullet4">
    <w:name w:val="Bullet 4"/>
    <w:basedOn w:val="Normal"/>
    <w:pPr>
      <w:numPr>
        <w:numId w:val="2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2B58BD73-55AF-4826-8B7B-C27058657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7</Pages>
  <Words>1654</Words>
  <Characters>10160</Characters>
  <Application>Microsoft Office Word</Application>
  <DocSecurity>0</DocSecurity>
  <Lines>175</Lines>
  <Paragraphs>74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19</cp:revision>
  <cp:lastPrinted>2019-04-17T07:54:00Z</cp:lastPrinted>
  <dcterms:created xsi:type="dcterms:W3CDTF">2019-09-13T15:40:00Z</dcterms:created>
  <dcterms:modified xsi:type="dcterms:W3CDTF">2019-09-19T08:40:00Z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7.0, Build 20190717</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SJ-043</vt:lpwstr>
  </property>
  <property fmtid="{D5CDD505-2E9C-101B-9397-08002B2CF9AE}" pid="10" name="DQCStatus">
    <vt:lpwstr>Green (DQC version 03)</vt:lpwstr>
  </property>
</Properties>
</file>