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439C30A0-4D80-497E-9DC2-AFC4C2B12D6A" style="width:450.4pt;height:307.25pt">
            <v:imagedata r:id="rId12" o:title=""/>
          </v:shape>
        </w:pict>
      </w:r>
    </w:p>
    <w:bookmarkEnd w:id="0"/>
    <w:p>
      <w:pPr>
        <w:rPr>
          <w:rFonts w:ascii="Times New Roman" w:hAnsi="Times New Roman" w:cs="Times New Roman"/>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before="120" w:after="480" w:line="240" w:lineRule="auto"/>
        <w:jc w:val="center"/>
        <w:rPr>
          <w:rFonts w:ascii="Times New Roman" w:eastAsia="Times New Roman" w:hAnsi="Times New Roman" w:cs="Times New Roman"/>
          <w:b/>
          <w:noProof/>
          <w:sz w:val="28"/>
          <w:szCs w:val="28"/>
        </w:rPr>
      </w:pPr>
      <w:bookmarkStart w:id="1" w:name="_GoBack"/>
      <w:bookmarkEnd w:id="1"/>
      <w:r>
        <w:rPr>
          <w:rFonts w:ascii="Times New Roman" w:hAnsi="Times New Roman"/>
          <w:b/>
          <w:noProof/>
          <w:sz w:val="28"/>
        </w:rPr>
        <w:lastRenderedPageBreak/>
        <w:t>Sisukord</w:t>
      </w:r>
    </w:p>
    <w:p>
      <w:pPr>
        <w:pStyle w:val="TOC1"/>
        <w:tabs>
          <w:tab w:val="left" w:pos="440"/>
          <w:tab w:val="right" w:leader="dot" w:pos="9062"/>
        </w:tabs>
        <w:rPr>
          <w:rFonts w:eastAsiaTheme="minorEastAsia"/>
          <w:noProof/>
          <w:lang w:val="en-GB" w:eastAsia="en-GB" w:bidi="ar-SA"/>
        </w:rPr>
      </w:pPr>
      <w:r>
        <w:rPr>
          <w:rFonts w:ascii="Times New Roman" w:eastAsia="Times New Roman" w:hAnsi="Times New Roman" w:cs="Times New Roman"/>
          <w:b/>
          <w:bCs/>
          <w:caps/>
          <w:noProof/>
          <w:color w:val="000000"/>
          <w:sz w:val="20"/>
          <w:szCs w:val="20"/>
        </w:rPr>
        <w:fldChar w:fldCharType="begin"/>
      </w:r>
      <w:r>
        <w:rPr>
          <w:rFonts w:ascii="Times New Roman" w:eastAsia="Times New Roman" w:hAnsi="Times New Roman" w:cs="Times New Roman"/>
          <w:b/>
          <w:bCs/>
          <w:caps/>
          <w:noProof/>
          <w:color w:val="000000"/>
          <w:sz w:val="20"/>
          <w:szCs w:val="20"/>
        </w:rPr>
        <w:instrText xml:space="preserve"> TOC \o "1-3" \h \z \u </w:instrText>
      </w:r>
      <w:r>
        <w:rPr>
          <w:rFonts w:ascii="Times New Roman" w:eastAsia="Times New Roman" w:hAnsi="Times New Roman" w:cs="Times New Roman"/>
          <w:b/>
          <w:bCs/>
          <w:caps/>
          <w:noProof/>
          <w:color w:val="000000"/>
          <w:sz w:val="20"/>
          <w:szCs w:val="20"/>
        </w:rPr>
        <w:fldChar w:fldCharType="separate"/>
      </w:r>
      <w:hyperlink w:anchor="_Toc17971603" w:history="1">
        <w:r>
          <w:rPr>
            <w:rStyle w:val="Hyperlink"/>
            <w:noProof/>
          </w:rPr>
          <w:t>1.</w:t>
        </w:r>
        <w:r>
          <w:rPr>
            <w:rFonts w:eastAsiaTheme="minorEastAsia"/>
            <w:noProof/>
            <w:lang w:val="en-GB" w:eastAsia="en-GB" w:bidi="ar-SA"/>
          </w:rPr>
          <w:tab/>
        </w:r>
        <w:r>
          <w:rPr>
            <w:rStyle w:val="Hyperlink"/>
            <w:noProof/>
          </w:rPr>
          <w:t>Sissejuhatus</w:t>
        </w:r>
        <w:r>
          <w:rPr>
            <w:noProof/>
            <w:webHidden/>
          </w:rPr>
          <w:tab/>
        </w:r>
        <w:r>
          <w:rPr>
            <w:noProof/>
            <w:webHidden/>
          </w:rPr>
          <w:fldChar w:fldCharType="begin"/>
        </w:r>
        <w:r>
          <w:rPr>
            <w:noProof/>
            <w:webHidden/>
          </w:rPr>
          <w:instrText xml:space="preserve"> PAGEREF _Toc17971603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440"/>
          <w:tab w:val="right" w:leader="dot" w:pos="9062"/>
        </w:tabs>
        <w:rPr>
          <w:rFonts w:eastAsiaTheme="minorEastAsia"/>
          <w:noProof/>
          <w:lang w:val="en-GB" w:eastAsia="en-GB" w:bidi="ar-SA"/>
        </w:rPr>
      </w:pPr>
      <w:hyperlink w:anchor="_Toc17971604" w:history="1">
        <w:r>
          <w:rPr>
            <w:rStyle w:val="Hyperlink"/>
            <w:noProof/>
          </w:rPr>
          <w:t>2.</w:t>
        </w:r>
        <w:r>
          <w:rPr>
            <w:rFonts w:eastAsiaTheme="minorEastAsia"/>
            <w:noProof/>
            <w:lang w:val="en-GB" w:eastAsia="en-GB" w:bidi="ar-SA"/>
          </w:rPr>
          <w:tab/>
        </w:r>
        <w:r>
          <w:rPr>
            <w:rStyle w:val="Hyperlink"/>
            <w:noProof/>
          </w:rPr>
          <w:t>Taustteave</w:t>
        </w:r>
        <w:r>
          <w:rPr>
            <w:noProof/>
            <w:webHidden/>
          </w:rPr>
          <w:tab/>
        </w:r>
        <w:r>
          <w:rPr>
            <w:noProof/>
            <w:webHidden/>
          </w:rPr>
          <w:fldChar w:fldCharType="begin"/>
        </w:r>
        <w:r>
          <w:rPr>
            <w:noProof/>
            <w:webHidden/>
          </w:rPr>
          <w:instrText xml:space="preserve"> PAGEREF _Toc17971604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440"/>
          <w:tab w:val="right" w:leader="dot" w:pos="9062"/>
        </w:tabs>
        <w:rPr>
          <w:rFonts w:eastAsiaTheme="minorEastAsia"/>
          <w:noProof/>
          <w:lang w:val="en-GB" w:eastAsia="en-GB" w:bidi="ar-SA"/>
        </w:rPr>
      </w:pPr>
      <w:hyperlink w:anchor="_Toc17971605" w:history="1">
        <w:r>
          <w:rPr>
            <w:rStyle w:val="Hyperlink"/>
            <w:noProof/>
          </w:rPr>
          <w:t>3.</w:t>
        </w:r>
        <w:r>
          <w:rPr>
            <w:rFonts w:eastAsiaTheme="minorEastAsia"/>
            <w:noProof/>
            <w:lang w:val="en-GB" w:eastAsia="en-GB" w:bidi="ar-SA"/>
          </w:rPr>
          <w:tab/>
        </w:r>
        <w:r>
          <w:rPr>
            <w:rStyle w:val="Hyperlink"/>
            <w:noProof/>
          </w:rPr>
          <w:t>Ühtne arusaam koostalitlusvõimest</w:t>
        </w:r>
        <w:r>
          <w:rPr>
            <w:noProof/>
            <w:webHidden/>
          </w:rPr>
          <w:tab/>
        </w:r>
        <w:r>
          <w:rPr>
            <w:noProof/>
            <w:webHidden/>
          </w:rPr>
          <w:fldChar w:fldCharType="begin"/>
        </w:r>
        <w:r>
          <w:rPr>
            <w:noProof/>
            <w:webHidden/>
          </w:rPr>
          <w:instrText xml:space="preserve"> PAGEREF _Toc17971605 \h </w:instrText>
        </w:r>
        <w:r>
          <w:rPr>
            <w:noProof/>
            <w:webHidden/>
          </w:rPr>
        </w:r>
        <w:r>
          <w:rPr>
            <w:noProof/>
            <w:webHidden/>
          </w:rPr>
          <w:fldChar w:fldCharType="separate"/>
        </w:r>
        <w:r>
          <w:rPr>
            <w:noProof/>
            <w:webHidden/>
          </w:rPr>
          <w:t>3</w:t>
        </w:r>
        <w:r>
          <w:rPr>
            <w:noProof/>
            <w:webHidden/>
          </w:rPr>
          <w:fldChar w:fldCharType="end"/>
        </w:r>
      </w:hyperlink>
    </w:p>
    <w:p>
      <w:pPr>
        <w:pStyle w:val="TOC1"/>
        <w:tabs>
          <w:tab w:val="left" w:pos="440"/>
          <w:tab w:val="right" w:leader="dot" w:pos="9062"/>
        </w:tabs>
        <w:rPr>
          <w:rFonts w:eastAsiaTheme="minorEastAsia"/>
          <w:noProof/>
          <w:lang w:val="en-GB" w:eastAsia="en-GB" w:bidi="ar-SA"/>
        </w:rPr>
      </w:pPr>
      <w:hyperlink w:anchor="_Toc17971606" w:history="1">
        <w:r>
          <w:rPr>
            <w:rStyle w:val="Hyperlink"/>
            <w:noProof/>
          </w:rPr>
          <w:t>4.</w:t>
        </w:r>
        <w:r>
          <w:rPr>
            <w:rFonts w:eastAsiaTheme="minorEastAsia"/>
            <w:noProof/>
            <w:lang w:val="en-GB" w:eastAsia="en-GB" w:bidi="ar-SA"/>
          </w:rPr>
          <w:tab/>
        </w:r>
        <w:r>
          <w:rPr>
            <w:rStyle w:val="Hyperlink"/>
            <w:noProof/>
          </w:rPr>
          <w:t>Metoodika</w:t>
        </w:r>
        <w:r>
          <w:rPr>
            <w:noProof/>
            <w:webHidden/>
          </w:rPr>
          <w:tab/>
        </w:r>
        <w:r>
          <w:rPr>
            <w:noProof/>
            <w:webHidden/>
          </w:rPr>
          <w:fldChar w:fldCharType="begin"/>
        </w:r>
        <w:r>
          <w:rPr>
            <w:noProof/>
            <w:webHidden/>
          </w:rPr>
          <w:instrText xml:space="preserve"> PAGEREF _Toc17971606 \h </w:instrText>
        </w:r>
        <w:r>
          <w:rPr>
            <w:noProof/>
            <w:webHidden/>
          </w:rPr>
        </w:r>
        <w:r>
          <w:rPr>
            <w:noProof/>
            <w:webHidden/>
          </w:rPr>
          <w:fldChar w:fldCharType="separate"/>
        </w:r>
        <w:r>
          <w:rPr>
            <w:noProof/>
            <w:webHidden/>
          </w:rPr>
          <w:t>4</w:t>
        </w:r>
        <w:r>
          <w:rPr>
            <w:noProof/>
            <w:webHidden/>
          </w:rPr>
          <w:fldChar w:fldCharType="end"/>
        </w:r>
      </w:hyperlink>
    </w:p>
    <w:p>
      <w:pPr>
        <w:pStyle w:val="TOC1"/>
        <w:tabs>
          <w:tab w:val="left" w:pos="440"/>
          <w:tab w:val="right" w:leader="dot" w:pos="9062"/>
        </w:tabs>
        <w:rPr>
          <w:rFonts w:eastAsiaTheme="minorEastAsia"/>
          <w:noProof/>
          <w:lang w:val="en-GB" w:eastAsia="en-GB" w:bidi="ar-SA"/>
        </w:rPr>
      </w:pPr>
      <w:hyperlink w:anchor="_Toc17971607" w:history="1">
        <w:r>
          <w:rPr>
            <w:rStyle w:val="Hyperlink"/>
            <w:noProof/>
          </w:rPr>
          <w:t>5.</w:t>
        </w:r>
        <w:r>
          <w:rPr>
            <w:rFonts w:eastAsiaTheme="minorEastAsia"/>
            <w:noProof/>
            <w:lang w:val="en-GB" w:eastAsia="en-GB" w:bidi="ar-SA"/>
          </w:rPr>
          <w:tab/>
        </w:r>
        <w:r>
          <w:rPr>
            <w:rStyle w:val="Hyperlink"/>
            <w:noProof/>
          </w:rPr>
          <w:t>Hindamise teemad ja küsimused</w:t>
        </w:r>
        <w:r>
          <w:rPr>
            <w:noProof/>
            <w:webHidden/>
          </w:rPr>
          <w:tab/>
        </w:r>
        <w:r>
          <w:rPr>
            <w:noProof/>
            <w:webHidden/>
          </w:rPr>
          <w:fldChar w:fldCharType="begin"/>
        </w:r>
        <w:r>
          <w:rPr>
            <w:noProof/>
            <w:webHidden/>
          </w:rPr>
          <w:instrText xml:space="preserve"> PAGEREF _Toc17971607 \h </w:instrText>
        </w:r>
        <w:r>
          <w:rPr>
            <w:noProof/>
            <w:webHidden/>
          </w:rPr>
        </w:r>
        <w:r>
          <w:rPr>
            <w:noProof/>
            <w:webHidden/>
          </w:rPr>
          <w:fldChar w:fldCharType="separate"/>
        </w:r>
        <w:r>
          <w:rPr>
            <w:noProof/>
            <w:webHidden/>
          </w:rPr>
          <w:t>5</w:t>
        </w:r>
        <w:r>
          <w:rPr>
            <w:noProof/>
            <w:webHidden/>
          </w:rPr>
          <w:fldChar w:fldCharType="end"/>
        </w:r>
      </w:hyperlink>
    </w:p>
    <w:p>
      <w:pPr>
        <w:pStyle w:val="TOC1"/>
        <w:tabs>
          <w:tab w:val="left" w:pos="440"/>
          <w:tab w:val="right" w:leader="dot" w:pos="9062"/>
        </w:tabs>
        <w:rPr>
          <w:rFonts w:eastAsiaTheme="minorEastAsia"/>
          <w:noProof/>
          <w:lang w:val="en-GB" w:eastAsia="en-GB" w:bidi="ar-SA"/>
        </w:rPr>
      </w:pPr>
      <w:hyperlink w:anchor="_Toc17971608" w:history="1">
        <w:r>
          <w:rPr>
            <w:rStyle w:val="Hyperlink"/>
            <w:noProof/>
          </w:rPr>
          <w:t>6.</w:t>
        </w:r>
        <w:r>
          <w:rPr>
            <w:rFonts w:eastAsiaTheme="minorEastAsia"/>
            <w:noProof/>
            <w:lang w:val="en-GB" w:eastAsia="en-GB" w:bidi="ar-SA"/>
          </w:rPr>
          <w:tab/>
        </w:r>
        <w:r>
          <w:rPr>
            <w:rStyle w:val="Hyperlink"/>
            <w:noProof/>
          </w:rPr>
          <w:t>Tähelepanekud</w:t>
        </w:r>
        <w:r>
          <w:rPr>
            <w:noProof/>
            <w:webHidden/>
          </w:rPr>
          <w:tab/>
        </w:r>
        <w:r>
          <w:rPr>
            <w:noProof/>
            <w:webHidden/>
          </w:rPr>
          <w:fldChar w:fldCharType="begin"/>
        </w:r>
        <w:r>
          <w:rPr>
            <w:noProof/>
            <w:webHidden/>
          </w:rPr>
          <w:instrText xml:space="preserve"> PAGEREF _Toc17971608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062"/>
        </w:tabs>
        <w:rPr>
          <w:rFonts w:eastAsiaTheme="minorEastAsia"/>
          <w:noProof/>
          <w:lang w:val="en-GB" w:eastAsia="en-GB" w:bidi="ar-SA"/>
        </w:rPr>
      </w:pPr>
      <w:hyperlink w:anchor="_Toc17971609" w:history="1">
        <w:r>
          <w:rPr>
            <w:rStyle w:val="Hyperlink"/>
            <w:noProof/>
          </w:rPr>
          <w:t>6.1.</w:t>
        </w:r>
        <w:r>
          <w:rPr>
            <w:rFonts w:eastAsiaTheme="minorEastAsia"/>
            <w:noProof/>
            <w:lang w:val="en-GB" w:eastAsia="en-GB" w:bidi="ar-SA"/>
          </w:rPr>
          <w:tab/>
        </w:r>
        <w:r>
          <w:rPr>
            <w:rStyle w:val="Hyperlink"/>
            <w:noProof/>
          </w:rPr>
          <w:t>Asjakohasus</w:t>
        </w:r>
        <w:r>
          <w:rPr>
            <w:noProof/>
            <w:webHidden/>
          </w:rPr>
          <w:tab/>
        </w:r>
        <w:r>
          <w:rPr>
            <w:noProof/>
            <w:webHidden/>
          </w:rPr>
          <w:fldChar w:fldCharType="begin"/>
        </w:r>
        <w:r>
          <w:rPr>
            <w:noProof/>
            <w:webHidden/>
          </w:rPr>
          <w:instrText xml:space="preserve"> PAGEREF _Toc17971609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062"/>
        </w:tabs>
        <w:rPr>
          <w:rFonts w:eastAsiaTheme="minorEastAsia"/>
          <w:noProof/>
          <w:lang w:val="en-GB" w:eastAsia="en-GB" w:bidi="ar-SA"/>
        </w:rPr>
      </w:pPr>
      <w:hyperlink w:anchor="_Toc17971610" w:history="1">
        <w:r>
          <w:rPr>
            <w:rStyle w:val="Hyperlink"/>
            <w:noProof/>
          </w:rPr>
          <w:t>6.2.</w:t>
        </w:r>
        <w:r>
          <w:rPr>
            <w:rFonts w:eastAsiaTheme="minorEastAsia"/>
            <w:noProof/>
            <w:lang w:val="en-GB" w:eastAsia="en-GB" w:bidi="ar-SA"/>
          </w:rPr>
          <w:tab/>
        </w:r>
        <w:r>
          <w:rPr>
            <w:rStyle w:val="Hyperlink"/>
            <w:noProof/>
          </w:rPr>
          <w:t>Tulemuslikkus</w:t>
        </w:r>
        <w:r>
          <w:rPr>
            <w:noProof/>
            <w:webHidden/>
          </w:rPr>
          <w:tab/>
        </w:r>
        <w:r>
          <w:rPr>
            <w:noProof/>
            <w:webHidden/>
          </w:rPr>
          <w:fldChar w:fldCharType="begin"/>
        </w:r>
        <w:r>
          <w:rPr>
            <w:noProof/>
            <w:webHidden/>
          </w:rPr>
          <w:instrText xml:space="preserve"> PAGEREF _Toc17971610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880"/>
          <w:tab w:val="right" w:leader="dot" w:pos="9062"/>
        </w:tabs>
        <w:rPr>
          <w:rFonts w:eastAsiaTheme="minorEastAsia"/>
          <w:noProof/>
          <w:lang w:val="en-GB" w:eastAsia="en-GB" w:bidi="ar-SA"/>
        </w:rPr>
      </w:pPr>
      <w:hyperlink w:anchor="_Toc17971611" w:history="1">
        <w:r>
          <w:rPr>
            <w:rStyle w:val="Hyperlink"/>
            <w:noProof/>
          </w:rPr>
          <w:t>6.3.</w:t>
        </w:r>
        <w:r>
          <w:rPr>
            <w:rFonts w:eastAsiaTheme="minorEastAsia"/>
            <w:noProof/>
            <w:lang w:val="en-GB" w:eastAsia="en-GB" w:bidi="ar-SA"/>
          </w:rPr>
          <w:tab/>
        </w:r>
        <w:r>
          <w:rPr>
            <w:rStyle w:val="Hyperlink"/>
            <w:noProof/>
          </w:rPr>
          <w:t>Tõhusus</w:t>
        </w:r>
        <w:r>
          <w:rPr>
            <w:noProof/>
            <w:webHidden/>
          </w:rPr>
          <w:tab/>
        </w:r>
        <w:r>
          <w:rPr>
            <w:noProof/>
            <w:webHidden/>
          </w:rPr>
          <w:fldChar w:fldCharType="begin"/>
        </w:r>
        <w:r>
          <w:rPr>
            <w:noProof/>
            <w:webHidden/>
          </w:rPr>
          <w:instrText xml:space="preserve"> PAGEREF _Toc17971611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880"/>
          <w:tab w:val="right" w:leader="dot" w:pos="9062"/>
        </w:tabs>
        <w:rPr>
          <w:rFonts w:eastAsiaTheme="minorEastAsia"/>
          <w:noProof/>
          <w:lang w:val="en-GB" w:eastAsia="en-GB" w:bidi="ar-SA"/>
        </w:rPr>
      </w:pPr>
      <w:hyperlink w:anchor="_Toc17971612" w:history="1">
        <w:r>
          <w:rPr>
            <w:rStyle w:val="Hyperlink"/>
            <w:noProof/>
          </w:rPr>
          <w:t>6.4.</w:t>
        </w:r>
        <w:r>
          <w:rPr>
            <w:rFonts w:eastAsiaTheme="minorEastAsia"/>
            <w:noProof/>
            <w:lang w:val="en-GB" w:eastAsia="en-GB" w:bidi="ar-SA"/>
          </w:rPr>
          <w:tab/>
        </w:r>
        <w:r>
          <w:rPr>
            <w:rStyle w:val="Hyperlink"/>
            <w:noProof/>
          </w:rPr>
          <w:t>Sidusus</w:t>
        </w:r>
        <w:r>
          <w:rPr>
            <w:noProof/>
            <w:webHidden/>
          </w:rPr>
          <w:tab/>
        </w:r>
        <w:r>
          <w:rPr>
            <w:noProof/>
            <w:webHidden/>
          </w:rPr>
          <w:fldChar w:fldCharType="begin"/>
        </w:r>
        <w:r>
          <w:rPr>
            <w:noProof/>
            <w:webHidden/>
          </w:rPr>
          <w:instrText xml:space="preserve"> PAGEREF _Toc17971612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880"/>
          <w:tab w:val="right" w:leader="dot" w:pos="9062"/>
        </w:tabs>
        <w:rPr>
          <w:rFonts w:eastAsiaTheme="minorEastAsia"/>
          <w:noProof/>
          <w:lang w:val="en-GB" w:eastAsia="en-GB" w:bidi="ar-SA"/>
        </w:rPr>
      </w:pPr>
      <w:hyperlink w:anchor="_Toc17971613" w:history="1">
        <w:r>
          <w:rPr>
            <w:rStyle w:val="Hyperlink"/>
            <w:noProof/>
          </w:rPr>
          <w:t>6.5.</w:t>
        </w:r>
        <w:r>
          <w:rPr>
            <w:rFonts w:eastAsiaTheme="minorEastAsia"/>
            <w:noProof/>
            <w:lang w:val="en-GB" w:eastAsia="en-GB" w:bidi="ar-SA"/>
          </w:rPr>
          <w:tab/>
        </w:r>
        <w:r>
          <w:rPr>
            <w:rStyle w:val="Hyperlink"/>
            <w:noProof/>
          </w:rPr>
          <w:t>ELi lisaväärtus</w:t>
        </w:r>
        <w:r>
          <w:rPr>
            <w:noProof/>
            <w:webHidden/>
          </w:rPr>
          <w:tab/>
        </w:r>
        <w:r>
          <w:rPr>
            <w:noProof/>
            <w:webHidden/>
          </w:rPr>
          <w:fldChar w:fldCharType="begin"/>
        </w:r>
        <w:r>
          <w:rPr>
            <w:noProof/>
            <w:webHidden/>
          </w:rPr>
          <w:instrText xml:space="preserve"> PAGEREF _Toc17971613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880"/>
          <w:tab w:val="right" w:leader="dot" w:pos="9062"/>
        </w:tabs>
        <w:rPr>
          <w:rFonts w:eastAsiaTheme="minorEastAsia"/>
          <w:noProof/>
          <w:lang w:val="en-GB" w:eastAsia="en-GB" w:bidi="ar-SA"/>
        </w:rPr>
      </w:pPr>
      <w:hyperlink w:anchor="_Toc17971614" w:history="1">
        <w:r>
          <w:rPr>
            <w:rStyle w:val="Hyperlink"/>
            <w:noProof/>
          </w:rPr>
          <w:t>6.6.</w:t>
        </w:r>
        <w:r>
          <w:rPr>
            <w:rFonts w:eastAsiaTheme="minorEastAsia"/>
            <w:noProof/>
            <w:lang w:val="en-GB" w:eastAsia="en-GB" w:bidi="ar-SA"/>
          </w:rPr>
          <w:tab/>
        </w:r>
        <w:r>
          <w:rPr>
            <w:rStyle w:val="Hyperlink"/>
            <w:noProof/>
          </w:rPr>
          <w:t>Kasulikkus</w:t>
        </w:r>
        <w:r>
          <w:rPr>
            <w:noProof/>
            <w:webHidden/>
          </w:rPr>
          <w:tab/>
        </w:r>
        <w:r>
          <w:rPr>
            <w:noProof/>
            <w:webHidden/>
          </w:rPr>
          <w:fldChar w:fldCharType="begin"/>
        </w:r>
        <w:r>
          <w:rPr>
            <w:noProof/>
            <w:webHidden/>
          </w:rPr>
          <w:instrText xml:space="preserve"> PAGEREF _Toc17971614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880"/>
          <w:tab w:val="right" w:leader="dot" w:pos="9062"/>
        </w:tabs>
        <w:rPr>
          <w:rFonts w:eastAsiaTheme="minorEastAsia"/>
          <w:noProof/>
          <w:lang w:val="en-GB" w:eastAsia="en-GB" w:bidi="ar-SA"/>
        </w:rPr>
      </w:pPr>
      <w:hyperlink w:anchor="_Toc17971615" w:history="1">
        <w:r>
          <w:rPr>
            <w:rStyle w:val="Hyperlink"/>
            <w:noProof/>
          </w:rPr>
          <w:t>6.7.</w:t>
        </w:r>
        <w:r>
          <w:rPr>
            <w:rFonts w:eastAsiaTheme="minorEastAsia"/>
            <w:noProof/>
            <w:lang w:val="en-GB" w:eastAsia="en-GB" w:bidi="ar-SA"/>
          </w:rPr>
          <w:tab/>
        </w:r>
        <w:r>
          <w:rPr>
            <w:rStyle w:val="Hyperlink"/>
            <w:noProof/>
          </w:rPr>
          <w:t>Jätkusuutlikkus</w:t>
        </w:r>
        <w:r>
          <w:rPr>
            <w:noProof/>
            <w:webHidden/>
          </w:rPr>
          <w:tab/>
        </w:r>
        <w:r>
          <w:rPr>
            <w:noProof/>
            <w:webHidden/>
          </w:rPr>
          <w:fldChar w:fldCharType="begin"/>
        </w:r>
        <w:r>
          <w:rPr>
            <w:noProof/>
            <w:webHidden/>
          </w:rPr>
          <w:instrText xml:space="preserve"> PAGEREF _Toc17971615 \h </w:instrText>
        </w:r>
        <w:r>
          <w:rPr>
            <w:noProof/>
            <w:webHidden/>
          </w:rPr>
        </w:r>
        <w:r>
          <w:rPr>
            <w:noProof/>
            <w:webHidden/>
          </w:rPr>
          <w:fldChar w:fldCharType="separate"/>
        </w:r>
        <w:r>
          <w:rPr>
            <w:noProof/>
            <w:webHidden/>
          </w:rPr>
          <w:t>7</w:t>
        </w:r>
        <w:r>
          <w:rPr>
            <w:noProof/>
            <w:webHidden/>
          </w:rPr>
          <w:fldChar w:fldCharType="end"/>
        </w:r>
      </w:hyperlink>
    </w:p>
    <w:p>
      <w:pPr>
        <w:pStyle w:val="TOC1"/>
        <w:tabs>
          <w:tab w:val="left" w:pos="440"/>
          <w:tab w:val="right" w:leader="dot" w:pos="9062"/>
        </w:tabs>
        <w:rPr>
          <w:rFonts w:eastAsiaTheme="minorEastAsia"/>
          <w:noProof/>
          <w:lang w:val="en-GB" w:eastAsia="en-GB" w:bidi="ar-SA"/>
        </w:rPr>
      </w:pPr>
      <w:hyperlink w:anchor="_Toc17971616" w:history="1">
        <w:r>
          <w:rPr>
            <w:rStyle w:val="Hyperlink"/>
            <w:noProof/>
          </w:rPr>
          <w:t>7.</w:t>
        </w:r>
        <w:r>
          <w:rPr>
            <w:rFonts w:eastAsiaTheme="minorEastAsia"/>
            <w:noProof/>
            <w:lang w:val="en-GB" w:eastAsia="en-GB" w:bidi="ar-SA"/>
          </w:rPr>
          <w:tab/>
        </w:r>
        <w:r>
          <w:rPr>
            <w:rStyle w:val="Hyperlink"/>
            <w:noProof/>
          </w:rPr>
          <w:t>Soovitused</w:t>
        </w:r>
        <w:r>
          <w:rPr>
            <w:noProof/>
            <w:webHidden/>
          </w:rPr>
          <w:tab/>
        </w:r>
        <w:r>
          <w:rPr>
            <w:noProof/>
            <w:webHidden/>
          </w:rPr>
          <w:fldChar w:fldCharType="begin"/>
        </w:r>
        <w:r>
          <w:rPr>
            <w:noProof/>
            <w:webHidden/>
          </w:rPr>
          <w:instrText xml:space="preserve"> PAGEREF _Toc17971616 \h </w:instrText>
        </w:r>
        <w:r>
          <w:rPr>
            <w:noProof/>
            <w:webHidden/>
          </w:rPr>
        </w:r>
        <w:r>
          <w:rPr>
            <w:noProof/>
            <w:webHidden/>
          </w:rPr>
          <w:fldChar w:fldCharType="separate"/>
        </w:r>
        <w:r>
          <w:rPr>
            <w:noProof/>
            <w:webHidden/>
          </w:rPr>
          <w:t>8</w:t>
        </w:r>
        <w:r>
          <w:rPr>
            <w:noProof/>
            <w:webHidden/>
          </w:rPr>
          <w:fldChar w:fldCharType="end"/>
        </w:r>
      </w:hyperlink>
    </w:p>
    <w:p>
      <w:pPr>
        <w:pStyle w:val="TOC2"/>
        <w:tabs>
          <w:tab w:val="left" w:pos="880"/>
          <w:tab w:val="right" w:leader="dot" w:pos="9062"/>
        </w:tabs>
        <w:rPr>
          <w:rFonts w:eastAsiaTheme="minorEastAsia"/>
          <w:noProof/>
          <w:lang w:val="en-GB" w:eastAsia="en-GB" w:bidi="ar-SA"/>
        </w:rPr>
      </w:pPr>
      <w:hyperlink w:anchor="_Toc17971617" w:history="1">
        <w:r>
          <w:rPr>
            <w:rStyle w:val="Hyperlink"/>
            <w:noProof/>
          </w:rPr>
          <w:t>7.1.</w:t>
        </w:r>
        <w:r>
          <w:rPr>
            <w:rFonts w:eastAsiaTheme="minorEastAsia"/>
            <w:noProof/>
            <w:lang w:val="en-GB" w:eastAsia="en-GB" w:bidi="ar-SA"/>
          </w:rPr>
          <w:tab/>
        </w:r>
        <w:r>
          <w:rPr>
            <w:rStyle w:val="Hyperlink"/>
            <w:noProof/>
          </w:rPr>
          <w:t>Teadlikkuse suurendamine ka mujal peale riikide haldusasutuste</w:t>
        </w:r>
        <w:r>
          <w:rPr>
            <w:noProof/>
            <w:webHidden/>
          </w:rPr>
          <w:tab/>
        </w:r>
        <w:r>
          <w:rPr>
            <w:noProof/>
            <w:webHidden/>
          </w:rPr>
          <w:fldChar w:fldCharType="begin"/>
        </w:r>
        <w:r>
          <w:rPr>
            <w:noProof/>
            <w:webHidden/>
          </w:rPr>
          <w:instrText xml:space="preserve"> PAGEREF _Toc17971617 \h </w:instrText>
        </w:r>
        <w:r>
          <w:rPr>
            <w:noProof/>
            <w:webHidden/>
          </w:rPr>
        </w:r>
        <w:r>
          <w:rPr>
            <w:noProof/>
            <w:webHidden/>
          </w:rPr>
          <w:fldChar w:fldCharType="separate"/>
        </w:r>
        <w:r>
          <w:rPr>
            <w:noProof/>
            <w:webHidden/>
          </w:rPr>
          <w:t>8</w:t>
        </w:r>
        <w:r>
          <w:rPr>
            <w:noProof/>
            <w:webHidden/>
          </w:rPr>
          <w:fldChar w:fldCharType="end"/>
        </w:r>
      </w:hyperlink>
    </w:p>
    <w:p>
      <w:pPr>
        <w:pStyle w:val="TOC2"/>
        <w:tabs>
          <w:tab w:val="left" w:pos="880"/>
          <w:tab w:val="right" w:leader="dot" w:pos="9062"/>
        </w:tabs>
        <w:rPr>
          <w:rFonts w:eastAsiaTheme="minorEastAsia"/>
          <w:noProof/>
          <w:lang w:val="en-GB" w:eastAsia="en-GB" w:bidi="ar-SA"/>
        </w:rPr>
      </w:pPr>
      <w:hyperlink w:anchor="_Toc17971618" w:history="1">
        <w:r>
          <w:rPr>
            <w:rStyle w:val="Hyperlink"/>
            <w:noProof/>
          </w:rPr>
          <w:t>7.2.</w:t>
        </w:r>
        <w:r>
          <w:rPr>
            <w:rFonts w:eastAsiaTheme="minorEastAsia"/>
            <w:noProof/>
            <w:lang w:val="en-GB" w:eastAsia="en-GB" w:bidi="ar-SA"/>
          </w:rPr>
          <w:tab/>
        </w:r>
        <w:r>
          <w:rPr>
            <w:rStyle w:val="Hyperlink"/>
            <w:noProof/>
          </w:rPr>
          <w:t>Mitte üksnes kasutajakesksed, vaid kasutajate vajadustest lähtuvad lahendused</w:t>
        </w:r>
        <w:r>
          <w:rPr>
            <w:noProof/>
            <w:webHidden/>
          </w:rPr>
          <w:tab/>
        </w:r>
        <w:r>
          <w:rPr>
            <w:noProof/>
            <w:webHidden/>
          </w:rPr>
          <w:fldChar w:fldCharType="begin"/>
        </w:r>
        <w:r>
          <w:rPr>
            <w:noProof/>
            <w:webHidden/>
          </w:rPr>
          <w:instrText xml:space="preserve"> PAGEREF _Toc17971618 \h </w:instrText>
        </w:r>
        <w:r>
          <w:rPr>
            <w:noProof/>
            <w:webHidden/>
          </w:rPr>
        </w:r>
        <w:r>
          <w:rPr>
            <w:noProof/>
            <w:webHidden/>
          </w:rPr>
          <w:fldChar w:fldCharType="separate"/>
        </w:r>
        <w:r>
          <w:rPr>
            <w:noProof/>
            <w:webHidden/>
          </w:rPr>
          <w:t>8</w:t>
        </w:r>
        <w:r>
          <w:rPr>
            <w:noProof/>
            <w:webHidden/>
          </w:rPr>
          <w:fldChar w:fldCharType="end"/>
        </w:r>
      </w:hyperlink>
    </w:p>
    <w:p>
      <w:pPr>
        <w:pStyle w:val="TOC2"/>
        <w:tabs>
          <w:tab w:val="left" w:pos="880"/>
          <w:tab w:val="right" w:leader="dot" w:pos="9062"/>
        </w:tabs>
        <w:rPr>
          <w:rFonts w:eastAsiaTheme="minorEastAsia"/>
          <w:noProof/>
          <w:lang w:val="en-GB" w:eastAsia="en-GB" w:bidi="ar-SA"/>
        </w:rPr>
      </w:pPr>
      <w:hyperlink w:anchor="_Toc17971619" w:history="1">
        <w:r>
          <w:rPr>
            <w:rStyle w:val="Hyperlink"/>
            <w:noProof/>
          </w:rPr>
          <w:t>7.3.</w:t>
        </w:r>
        <w:r>
          <w:rPr>
            <w:rFonts w:eastAsiaTheme="minorEastAsia"/>
            <w:noProof/>
            <w:lang w:val="en-GB" w:eastAsia="en-GB" w:bidi="ar-SA"/>
          </w:rPr>
          <w:tab/>
        </w:r>
        <w:r>
          <w:rPr>
            <w:rStyle w:val="Hyperlink"/>
            <w:noProof/>
          </w:rPr>
          <w:t>Tingimuste loomine suuremaks jätkusuutlikkuseks</w:t>
        </w:r>
        <w:r>
          <w:rPr>
            <w:noProof/>
            <w:webHidden/>
          </w:rPr>
          <w:tab/>
        </w:r>
        <w:r>
          <w:rPr>
            <w:noProof/>
            <w:webHidden/>
          </w:rPr>
          <w:fldChar w:fldCharType="begin"/>
        </w:r>
        <w:r>
          <w:rPr>
            <w:noProof/>
            <w:webHidden/>
          </w:rPr>
          <w:instrText xml:space="preserve"> PAGEREF _Toc17971619 \h </w:instrText>
        </w:r>
        <w:r>
          <w:rPr>
            <w:noProof/>
            <w:webHidden/>
          </w:rPr>
        </w:r>
        <w:r>
          <w:rPr>
            <w:noProof/>
            <w:webHidden/>
          </w:rPr>
          <w:fldChar w:fldCharType="separate"/>
        </w:r>
        <w:r>
          <w:rPr>
            <w:noProof/>
            <w:webHidden/>
          </w:rPr>
          <w:t>9</w:t>
        </w:r>
        <w:r>
          <w:rPr>
            <w:noProof/>
            <w:webHidden/>
          </w:rPr>
          <w:fldChar w:fldCharType="end"/>
        </w:r>
      </w:hyperlink>
    </w:p>
    <w:p>
      <w:pPr>
        <w:pStyle w:val="TOC1"/>
        <w:tabs>
          <w:tab w:val="left" w:pos="440"/>
          <w:tab w:val="right" w:leader="dot" w:pos="9062"/>
        </w:tabs>
        <w:rPr>
          <w:rFonts w:eastAsiaTheme="minorEastAsia"/>
          <w:noProof/>
          <w:lang w:val="en-GB" w:eastAsia="en-GB" w:bidi="ar-SA"/>
        </w:rPr>
      </w:pPr>
      <w:hyperlink w:anchor="_Toc17971620" w:history="1">
        <w:r>
          <w:rPr>
            <w:rStyle w:val="Hyperlink"/>
            <w:noProof/>
          </w:rPr>
          <w:t>8.</w:t>
        </w:r>
        <w:r>
          <w:rPr>
            <w:rFonts w:eastAsiaTheme="minorEastAsia"/>
            <w:noProof/>
            <w:lang w:val="en-GB" w:eastAsia="en-GB" w:bidi="ar-SA"/>
          </w:rPr>
          <w:tab/>
        </w:r>
        <w:r>
          <w:rPr>
            <w:rStyle w:val="Hyperlink"/>
            <w:noProof/>
          </w:rPr>
          <w:t>Edasised sammud</w:t>
        </w:r>
        <w:r>
          <w:rPr>
            <w:noProof/>
            <w:webHidden/>
          </w:rPr>
          <w:tab/>
        </w:r>
        <w:r>
          <w:rPr>
            <w:noProof/>
            <w:webHidden/>
          </w:rPr>
          <w:fldChar w:fldCharType="begin"/>
        </w:r>
        <w:r>
          <w:rPr>
            <w:noProof/>
            <w:webHidden/>
          </w:rPr>
          <w:instrText xml:space="preserve"> PAGEREF _Toc17971620 \h </w:instrText>
        </w:r>
        <w:r>
          <w:rPr>
            <w:noProof/>
            <w:webHidden/>
          </w:rPr>
        </w:r>
        <w:r>
          <w:rPr>
            <w:noProof/>
            <w:webHidden/>
          </w:rPr>
          <w:fldChar w:fldCharType="separate"/>
        </w:r>
        <w:r>
          <w:rPr>
            <w:noProof/>
            <w:webHidden/>
          </w:rPr>
          <w:t>10</w:t>
        </w:r>
        <w:r>
          <w:rPr>
            <w:noProof/>
            <w:webHidden/>
          </w:rPr>
          <w:fldChar w:fldCharType="end"/>
        </w:r>
      </w:hyperlink>
    </w:p>
    <w:p>
      <w:pPr>
        <w:pStyle w:val="TOC1"/>
        <w:tabs>
          <w:tab w:val="left" w:pos="440"/>
          <w:tab w:val="right" w:leader="dot" w:pos="9062"/>
        </w:tabs>
        <w:rPr>
          <w:rFonts w:ascii="Times New Roman" w:eastAsiaTheme="minorEastAsia" w:hAnsi="Times New Roman" w:cs="Times New Roman"/>
          <w:noProof/>
        </w:rPr>
      </w:pPr>
      <w:r>
        <w:rPr>
          <w:rFonts w:ascii="Times New Roman" w:eastAsia="Times New Roman" w:hAnsi="Times New Roman" w:cs="Times New Roman"/>
          <w:b/>
          <w:bCs/>
          <w:caps/>
          <w:noProof/>
          <w:color w:val="000000"/>
          <w:sz w:val="20"/>
          <w:szCs w:val="20"/>
        </w:rPr>
        <w:fldChar w:fldCharType="end"/>
      </w:r>
      <w:r>
        <w:rPr>
          <w:noProof/>
        </w:rPr>
        <w:br w:type="page"/>
      </w:r>
      <w:bookmarkStart w:id="2" w:name="_Toc416192708"/>
      <w:bookmarkStart w:id="3" w:name="_Toc416192792"/>
      <w:bookmarkStart w:id="4" w:name="_Toc416192709"/>
      <w:bookmarkStart w:id="5" w:name="_Toc416192793"/>
      <w:bookmarkStart w:id="6" w:name="_Toc416192859"/>
      <w:bookmarkStart w:id="7" w:name="_Toc416192937"/>
      <w:bookmarkStart w:id="8" w:name="_Toc416193374"/>
      <w:bookmarkStart w:id="9" w:name="_Toc416192710"/>
      <w:bookmarkStart w:id="10" w:name="_Toc416192794"/>
      <w:bookmarkStart w:id="11" w:name="_Toc416192860"/>
      <w:bookmarkStart w:id="12" w:name="_Toc416192938"/>
      <w:bookmarkStart w:id="13" w:name="_Toc416193375"/>
      <w:bookmarkStart w:id="14" w:name="_Toc416192711"/>
      <w:bookmarkStart w:id="15" w:name="_Toc416192795"/>
      <w:bookmarkStart w:id="16" w:name="_Toc416192861"/>
      <w:bookmarkStart w:id="17" w:name="_Toc416192939"/>
      <w:bookmarkStart w:id="18" w:name="_Toc416193376"/>
      <w:bookmarkStart w:id="19" w:name="_Toc416192712"/>
      <w:bookmarkStart w:id="20" w:name="_Toc416192796"/>
      <w:bookmarkStart w:id="21" w:name="_Toc416192862"/>
      <w:bookmarkStart w:id="22" w:name="_Toc416192940"/>
      <w:bookmarkStart w:id="23" w:name="_Toc416193377"/>
      <w:bookmarkStart w:id="24" w:name="_Toc416192713"/>
      <w:bookmarkStart w:id="25" w:name="_Toc416192797"/>
      <w:bookmarkStart w:id="26" w:name="_Toc416192863"/>
      <w:bookmarkStart w:id="27" w:name="_Toc416192941"/>
      <w:bookmarkStart w:id="28" w:name="_Toc416193378"/>
      <w:bookmarkStart w:id="29" w:name="_Toc416192715"/>
      <w:bookmarkStart w:id="30" w:name="_Toc416192799"/>
      <w:bookmarkStart w:id="31" w:name="_Toc416192865"/>
      <w:bookmarkStart w:id="32" w:name="_Toc416192943"/>
      <w:bookmarkStart w:id="33" w:name="_Toc416193380"/>
      <w:bookmarkStart w:id="34" w:name="_Toc416192716"/>
      <w:bookmarkStart w:id="35" w:name="_Toc416192800"/>
      <w:bookmarkStart w:id="36" w:name="_Toc416192866"/>
      <w:bookmarkStart w:id="37" w:name="_Toc416192944"/>
      <w:bookmarkStart w:id="38" w:name="_Toc416193381"/>
      <w:bookmarkStart w:id="39" w:name="_Toc416192717"/>
      <w:bookmarkStart w:id="40" w:name="_Toc416192801"/>
      <w:bookmarkStart w:id="41" w:name="_Toc416192867"/>
      <w:bookmarkStart w:id="42" w:name="_Toc416192945"/>
      <w:bookmarkStart w:id="43" w:name="_Toc416193382"/>
      <w:bookmarkStart w:id="44" w:name="_Toc416192718"/>
      <w:bookmarkStart w:id="45" w:name="_Toc416192802"/>
      <w:bookmarkStart w:id="46" w:name="_Toc416192868"/>
      <w:bookmarkStart w:id="47" w:name="_Toc416192946"/>
      <w:bookmarkStart w:id="48" w:name="_Toc416193383"/>
      <w:bookmarkStart w:id="49" w:name="_Toc416192719"/>
      <w:bookmarkStart w:id="50" w:name="_Toc416192803"/>
      <w:bookmarkStart w:id="51" w:name="_Toc416192869"/>
      <w:bookmarkStart w:id="52" w:name="_Toc416192947"/>
      <w:bookmarkStart w:id="53" w:name="_Toc41619338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ManualHeading1"/>
        <w:rPr>
          <w:noProof/>
        </w:rPr>
      </w:pPr>
      <w:bookmarkStart w:id="54" w:name="_Toc416193386"/>
      <w:bookmarkStart w:id="55" w:name="_Toc14258919"/>
      <w:bookmarkStart w:id="56" w:name="_Toc17971603"/>
      <w:bookmarkEnd w:id="54"/>
      <w:r>
        <w:rPr>
          <w:noProof/>
        </w:rPr>
        <w:lastRenderedPageBreak/>
        <w:t>1.</w:t>
      </w:r>
      <w:r>
        <w:rPr>
          <w:noProof/>
        </w:rPr>
        <w:tab/>
        <w:t>Sissejuhatus</w:t>
      </w:r>
      <w:bookmarkEnd w:id="55"/>
      <w:bookmarkEnd w:id="56"/>
    </w:p>
    <w:p>
      <w:pPr>
        <w:pStyle w:val="Text1"/>
        <w:rPr>
          <w:noProof/>
        </w:rPr>
      </w:pPr>
      <w:r>
        <w:rPr>
          <w:noProof/>
        </w:rPr>
        <w:t>Kooskõlas ISA</w:t>
      </w:r>
      <w:r>
        <w:rPr>
          <w:noProof/>
          <w:vertAlign w:val="superscript"/>
        </w:rPr>
        <w:t>2</w:t>
      </w:r>
      <w:r>
        <w:rPr>
          <w:noProof/>
        </w:rPr>
        <w:t xml:space="preserve"> programmi käsitleva otsusega</w:t>
      </w:r>
      <w:bookmarkStart w:id="57" w:name="_Ref8041302"/>
      <w:r>
        <w:rPr>
          <w:rStyle w:val="FootnoteReference"/>
          <w:noProof/>
        </w:rPr>
        <w:footnoteReference w:id="2"/>
      </w:r>
      <w:bookmarkEnd w:id="57"/>
      <w:r>
        <w:rPr>
          <w:noProof/>
        </w:rPr>
        <w:t xml:space="preserve"> käivitati 1. jaanuaril 2016 Euroopa haldusasutuste, ettevõtete ja kodanike jaoks viieaastane koostalitlusvõimealaste lahenduste ja ühiste raamistike programm (ISA</w:t>
      </w:r>
      <w:r>
        <w:rPr>
          <w:noProof/>
          <w:vertAlign w:val="superscript"/>
        </w:rPr>
        <w:t>2</w:t>
      </w:r>
      <w:r>
        <w:rPr>
          <w:noProof/>
        </w:rPr>
        <w:t xml:space="preserve"> programm), mis on jätk varasemale ISA programmile</w:t>
      </w:r>
      <w:r>
        <w:rPr>
          <w:rStyle w:val="FootnoteReference"/>
          <w:noProof/>
        </w:rPr>
        <w:footnoteReference w:id="3"/>
      </w:r>
      <w:r>
        <w:rPr>
          <w:noProof/>
        </w:rPr>
        <w:t>.</w:t>
      </w:r>
    </w:p>
    <w:p>
      <w:pPr>
        <w:pStyle w:val="Text1"/>
        <w:rPr>
          <w:noProof/>
        </w:rPr>
      </w:pPr>
      <w:r>
        <w:rPr>
          <w:noProof/>
        </w:rPr>
        <w:t>Käesolevas aruandes on esitatud ISA</w:t>
      </w:r>
      <w:r>
        <w:rPr>
          <w:noProof/>
          <w:vertAlign w:val="superscript"/>
        </w:rPr>
        <w:t>2</w:t>
      </w:r>
      <w:r>
        <w:rPr>
          <w:noProof/>
        </w:rPr>
        <w:t xml:space="preserve"> programmi vahehindamisel tehtud tähelepanekud ja soovitused</w:t>
      </w:r>
      <w:r>
        <w:rPr>
          <w:rStyle w:val="FootnoteReference"/>
          <w:noProof/>
        </w:rPr>
        <w:footnoteReference w:id="4"/>
      </w:r>
      <w:r>
        <w:rPr>
          <w:noProof/>
        </w:rPr>
        <w:t>. ISA</w:t>
      </w:r>
      <w:r>
        <w:rPr>
          <w:noProof/>
          <w:vertAlign w:val="superscript"/>
        </w:rPr>
        <w:t>2</w:t>
      </w:r>
      <w:r>
        <w:rPr>
          <w:noProof/>
        </w:rPr>
        <w:t xml:space="preserve"> programmi käsitleva otsuse artikli 13 lõike 3 kohaselt peab komisjon korraldama programmi vahehindamise ning edastama selle tulemused Euroopa Parlamendile ja nõukogule 30. septembriks 2019.</w:t>
      </w:r>
    </w:p>
    <w:p>
      <w:pPr>
        <w:pStyle w:val="Text1"/>
        <w:rPr>
          <w:noProof/>
        </w:rPr>
      </w:pPr>
      <w:r>
        <w:rPr>
          <w:noProof/>
        </w:rPr>
        <w:t>Komisjon kasutas hindamisel konsultatsioonifirma sõltumatute ekspertide abi</w:t>
      </w:r>
      <w:r>
        <w:rPr>
          <w:rStyle w:val="FootnoteReference"/>
          <w:noProof/>
        </w:rPr>
        <w:footnoteReference w:id="5"/>
      </w:r>
      <w:r>
        <w:rPr>
          <w:noProof/>
        </w:rPr>
        <w:t>. Hindamist jälgis talitustevaheline juhtrühm</w:t>
      </w:r>
      <w:r>
        <w:rPr>
          <w:rStyle w:val="FootnoteReference"/>
          <w:noProof/>
        </w:rPr>
        <w:footnoteReference w:id="6"/>
      </w:r>
      <w:r>
        <w:rPr>
          <w:noProof/>
        </w:rPr>
        <w:t>.</w:t>
      </w:r>
    </w:p>
    <w:p>
      <w:pPr>
        <w:pStyle w:val="ManualHeading1"/>
        <w:rPr>
          <w:noProof/>
        </w:rPr>
      </w:pPr>
      <w:bookmarkStart w:id="58" w:name="_Toc14258920"/>
      <w:bookmarkStart w:id="59" w:name="_Toc17971604"/>
      <w:r>
        <w:rPr>
          <w:noProof/>
        </w:rPr>
        <w:t>2.</w:t>
      </w:r>
      <w:r>
        <w:rPr>
          <w:noProof/>
        </w:rPr>
        <w:tab/>
        <w:t>Taustteave</w:t>
      </w:r>
      <w:bookmarkEnd w:id="58"/>
      <w:bookmarkEnd w:id="59"/>
    </w:p>
    <w:p>
      <w:pPr>
        <w:pStyle w:val="Text1"/>
        <w:rPr>
          <w:noProof/>
        </w:rPr>
      </w:pPr>
      <w:r>
        <w:rPr>
          <w:noProof/>
        </w:rPr>
        <w:t>ISA</w:t>
      </w:r>
      <w:r>
        <w:rPr>
          <w:noProof/>
          <w:vertAlign w:val="superscript"/>
        </w:rPr>
        <w:t>2</w:t>
      </w:r>
      <w:r>
        <w:rPr>
          <w:noProof/>
        </w:rPr>
        <w:t xml:space="preserve"> programmi põhieesmärk on edendada Euroopa avaliku sektori IKT-põhist ajakohastamist ning hõlbustada ettevõtjate ja kodanike vajadustele vastamist Euroopa haldusasutuste parema koostalitlusvõime kaudu.</w:t>
      </w:r>
    </w:p>
    <w:p>
      <w:pPr>
        <w:pStyle w:val="Text1"/>
        <w:rPr>
          <w:noProof/>
        </w:rPr>
      </w:pPr>
      <w:r>
        <w:rPr>
          <w:noProof/>
        </w:rPr>
        <w:t>Täpsemalt on programmil järgmised eesmärgid:</w:t>
      </w:r>
    </w:p>
    <w:p>
      <w:pPr>
        <w:pStyle w:val="Tiret1"/>
        <w:rPr>
          <w:noProof/>
        </w:rPr>
      </w:pPr>
      <w:r>
        <w:rPr>
          <w:noProof/>
        </w:rPr>
        <w:t>hõlbustada Euroopa haldusasutuste, ettevõtete ning kodanike vahelist tõhusat ja tulemuslikku piiriülest ja valdkondadevahelist elektroonilist suhtlemist;</w:t>
      </w:r>
    </w:p>
    <w:p>
      <w:pPr>
        <w:pStyle w:val="Tiret1"/>
        <w:rPr>
          <w:noProof/>
        </w:rPr>
      </w:pPr>
      <w:r>
        <w:rPr>
          <w:noProof/>
        </w:rPr>
        <w:t xml:space="preserve">aidata kaasa tõhusama, lihtsama ja kasutusmugavama e-halduse loomisele riiklikes, piirkondlikes ja kohalikes haldusasutustes; </w:t>
      </w:r>
    </w:p>
    <w:p>
      <w:pPr>
        <w:pStyle w:val="Tiret1"/>
        <w:rPr>
          <w:noProof/>
        </w:rPr>
      </w:pPr>
      <w:r>
        <w:rPr>
          <w:noProof/>
        </w:rPr>
        <w:t>edendada ELis koostalitlusvõime suhtes terviklikku käsitlusviisi, tehes kindlaks, luues ja võttes kasutusele koostalitlusvõimealaseid lahendusi ning soodustades nende korduvkasutamist Euroopa haldusasutustes. Sellega toetatakse mitmesuguste ELi poliitikastrateegiate ja tegevuste elluviimist.</w:t>
      </w:r>
    </w:p>
    <w:p>
      <w:pPr>
        <w:pStyle w:val="Tiret1"/>
        <w:numPr>
          <w:ilvl w:val="0"/>
          <w:numId w:val="0"/>
        </w:numPr>
        <w:ind w:left="850"/>
        <w:rPr>
          <w:noProof/>
          <w:szCs w:val="19"/>
        </w:rPr>
      </w:pPr>
      <w:r>
        <w:rPr>
          <w:noProof/>
        </w:rPr>
        <w:t>Nende eesmärkide</w:t>
      </w:r>
      <w:r>
        <w:rPr>
          <w:rStyle w:val="FootnoteReference"/>
          <w:noProof/>
        </w:rPr>
        <w:footnoteReference w:id="7"/>
      </w:r>
      <w:r>
        <w:rPr>
          <w:noProof/>
        </w:rPr>
        <w:t xml:space="preserve"> täitmiseks tugineb programm oma eelkäija – ISA programmi</w:t>
      </w:r>
      <w:r>
        <w:rPr>
          <w:rStyle w:val="FootnoteReference"/>
          <w:noProof/>
        </w:rPr>
        <w:footnoteReference w:id="8"/>
      </w:r>
      <w:r>
        <w:rPr>
          <w:noProof/>
        </w:rPr>
        <w:t xml:space="preserve"> – saavutustele. Tähelepanu pööratakse ka sujuvale ühendamisele ELi haldusasutuste digiüleminekuga seotud laiema poliitilise raamistikuga. Seda silmas pidades on ISA</w:t>
      </w:r>
      <w:r>
        <w:rPr>
          <w:noProof/>
          <w:vertAlign w:val="superscript"/>
        </w:rPr>
        <w:t>2</w:t>
      </w:r>
      <w:r>
        <w:rPr>
          <w:noProof/>
        </w:rPr>
        <w:t xml:space="preserve"> </w:t>
      </w:r>
      <w:r>
        <w:rPr>
          <w:noProof/>
        </w:rPr>
        <w:lastRenderedPageBreak/>
        <w:t>programm peamine vahend, millega toetatakse Euroopa koostalitlusvõime raamistiku (EIF)</w:t>
      </w:r>
      <w:bookmarkStart w:id="60" w:name="_Ref8200566"/>
      <w:r>
        <w:rPr>
          <w:rStyle w:val="FootnoteReference"/>
          <w:noProof/>
        </w:rPr>
        <w:footnoteReference w:id="9"/>
      </w:r>
      <w:bookmarkEnd w:id="60"/>
      <w:r>
        <w:rPr>
          <w:noProof/>
        </w:rPr>
        <w:t xml:space="preserve"> elluviimist ajakohastatud ja laiendatud kujul, nagu kavandati teatises</w:t>
      </w:r>
      <w:r>
        <w:rPr>
          <w:b/>
          <w:noProof/>
        </w:rPr>
        <w:t xml:space="preserve"> </w:t>
      </w:r>
      <w:r>
        <w:rPr>
          <w:noProof/>
        </w:rPr>
        <w:t>„Euroopa digitaalse ühtse turu strateegia“</w:t>
      </w:r>
      <w:r>
        <w:rPr>
          <w:rStyle w:val="FootnoteReference"/>
          <w:noProof/>
        </w:rPr>
        <w:footnoteReference w:id="10"/>
      </w:r>
      <w:r>
        <w:rPr>
          <w:noProof/>
        </w:rPr>
        <w:t>. ISA</w:t>
      </w:r>
      <w:r>
        <w:rPr>
          <w:noProof/>
          <w:vertAlign w:val="superscript"/>
        </w:rPr>
        <w:t>2</w:t>
      </w:r>
      <w:r>
        <w:rPr>
          <w:noProof/>
        </w:rPr>
        <w:t xml:space="preserve"> aitab kaasa ka sellistele poliitilistele algatustele nagu e-valitsuse tegevuskava aastateks 2016–2020,</w:t>
      </w:r>
      <w:r>
        <w:rPr>
          <w:rStyle w:val="FootnoteReference"/>
          <w:noProof/>
        </w:rPr>
        <w:footnoteReference w:id="11"/>
      </w:r>
      <w:r>
        <w:rPr>
          <w:noProof/>
        </w:rPr>
        <w:t xml:space="preserve"> Tallinna 2017. aasta deklaratsioon e-valitsuse kohta</w:t>
      </w:r>
      <w:r>
        <w:rPr>
          <w:rStyle w:val="FootnoteReference"/>
          <w:noProof/>
        </w:rPr>
        <w:footnoteReference w:id="12"/>
      </w:r>
      <w:r>
        <w:rPr>
          <w:noProof/>
        </w:rPr>
        <w:t xml:space="preserve"> ning ühtse digivärava määrus</w:t>
      </w:r>
      <w:r>
        <w:rPr>
          <w:rStyle w:val="FootnoteReference"/>
          <w:noProof/>
        </w:rPr>
        <w:footnoteReference w:id="13"/>
      </w:r>
      <w:r>
        <w:rPr>
          <w:noProof/>
        </w:rPr>
        <w:t>.</w:t>
      </w:r>
    </w:p>
    <w:p>
      <w:pPr>
        <w:pStyle w:val="Tiret1"/>
        <w:numPr>
          <w:ilvl w:val="0"/>
          <w:numId w:val="0"/>
        </w:numPr>
        <w:ind w:left="850"/>
        <w:rPr>
          <w:noProof/>
        </w:rPr>
      </w:pPr>
      <w:r>
        <w:rPr>
          <w:noProof/>
        </w:rPr>
        <w:t>Praktilisest küljest töötab ISA</w:t>
      </w:r>
      <w:r>
        <w:rPr>
          <w:noProof/>
          <w:vertAlign w:val="superscript"/>
        </w:rPr>
        <w:t>2</w:t>
      </w:r>
      <w:r>
        <w:rPr>
          <w:noProof/>
        </w:rPr>
        <w:t xml:space="preserve"> programm alates 1. jaanuarist 2016 kuni 31. detsembrini 2020 kogueelarvega 130,9 miljonit eurot. Sellega rahastatakse meetmeid, mis määratakse igal aastal kindlaks iga-aastases jooksvas tööprogrammis. Programmi juhtimisel edendatakse ka koostoimet teiste ELi programmidega, nagu Euroopa ühendamise rahastu</w:t>
      </w:r>
      <w:r>
        <w:rPr>
          <w:rStyle w:val="FootnoteReference"/>
          <w:noProof/>
        </w:rPr>
        <w:footnoteReference w:id="14"/>
      </w:r>
      <w:r>
        <w:rPr>
          <w:noProof/>
        </w:rPr>
        <w:t xml:space="preserve"> ja struktuurireformi tugiprogramm</w:t>
      </w:r>
      <w:r>
        <w:rPr>
          <w:rStyle w:val="FootnoteReference"/>
          <w:noProof/>
        </w:rPr>
        <w:footnoteReference w:id="15"/>
      </w:r>
      <w:r>
        <w:rPr>
          <w:noProof/>
        </w:rPr>
        <w:t>.</w:t>
      </w:r>
    </w:p>
    <w:p>
      <w:pPr>
        <w:pStyle w:val="Tiret1"/>
        <w:numPr>
          <w:ilvl w:val="0"/>
          <w:numId w:val="0"/>
        </w:numPr>
        <w:ind w:left="850"/>
        <w:rPr>
          <w:noProof/>
        </w:rPr>
      </w:pPr>
      <w:r>
        <w:rPr>
          <w:noProof/>
        </w:rPr>
        <w:t>Programmi peamised sidusrühmad on Euroopa haldusasutused nii ELi, riiklikul, piirkondlikul kui ka kohalikul tasandil. Samas mõjutab programm palju rohkemaid sidusrühmi, sealhulgas ELi ettevõtjaid ja kodanikke. ISA</w:t>
      </w:r>
      <w:r>
        <w:rPr>
          <w:noProof/>
          <w:vertAlign w:val="superscript"/>
        </w:rPr>
        <w:t>2</w:t>
      </w:r>
      <w:r>
        <w:rPr>
          <w:noProof/>
        </w:rPr>
        <w:t xml:space="preserve"> on avatud ELi liikmesriikidele, teistele Euroopa Majanduspiirkonna riikidele ning kandidaatriikidele. Lisaks 28 ELi liikmesriigile võtavad programmist osa veel kolm riiki: Island, Norra (alates 2016. aastast) ja Montenegro (alates 2018. aastast). Programm soodustab ka koostööd teiste ELi-väliste riikide ning rahvusvaheliste organisatsioonide ja asutustega.</w:t>
      </w:r>
    </w:p>
    <w:p>
      <w:pPr>
        <w:pStyle w:val="ManualHeading1"/>
        <w:rPr>
          <w:noProof/>
        </w:rPr>
      </w:pPr>
      <w:bookmarkStart w:id="61" w:name="_Toc14258921"/>
      <w:bookmarkStart w:id="62" w:name="_Toc17971605"/>
      <w:r>
        <w:rPr>
          <w:noProof/>
        </w:rPr>
        <w:t>3.</w:t>
      </w:r>
      <w:r>
        <w:rPr>
          <w:noProof/>
        </w:rPr>
        <w:tab/>
        <w:t>Ühtne arusaam koostalitlusvõimest</w:t>
      </w:r>
      <w:bookmarkEnd w:id="61"/>
      <w:bookmarkEnd w:id="62"/>
    </w:p>
    <w:p>
      <w:pPr>
        <w:pStyle w:val="Text1"/>
        <w:rPr>
          <w:noProof/>
        </w:rPr>
      </w:pPr>
      <w:r>
        <w:rPr>
          <w:noProof/>
        </w:rPr>
        <w:t>Kooskõlas ISA</w:t>
      </w:r>
      <w:r>
        <w:rPr>
          <w:noProof/>
          <w:vertAlign w:val="superscript"/>
        </w:rPr>
        <w:t>2</w:t>
      </w:r>
      <w:r>
        <w:rPr>
          <w:noProof/>
        </w:rPr>
        <w:t xml:space="preserve"> programmi käsitleva otsuse artikli 1 lõikega 2 tagatakse ISA</w:t>
      </w:r>
      <w:r>
        <w:rPr>
          <w:noProof/>
          <w:vertAlign w:val="superscript"/>
        </w:rPr>
        <w:t>2</w:t>
      </w:r>
      <w:r>
        <w:rPr>
          <w:noProof/>
        </w:rPr>
        <w:t xml:space="preserve"> programmiga Euroopa koostalitlusvõime raamistiku kaudu ühtne arusaam koostalitlusvõimest ja selle rakendamine liikmesriikide haldusasutustes. Komisjon jälgib ISA</w:t>
      </w:r>
      <w:r>
        <w:rPr>
          <w:noProof/>
          <w:vertAlign w:val="superscript"/>
        </w:rPr>
        <w:t>2</w:t>
      </w:r>
      <w:r>
        <w:rPr>
          <w:noProof/>
        </w:rPr>
        <w:t xml:space="preserve"> programmi kaudu Euroopa koostalitlusvõime raamistiku rakendamist.</w:t>
      </w:r>
    </w:p>
    <w:p>
      <w:pPr>
        <w:pStyle w:val="Text1"/>
        <w:ind w:firstLine="2"/>
        <w:rPr>
          <w:noProof/>
        </w:rPr>
      </w:pPr>
      <w:r>
        <w:rPr>
          <w:noProof/>
        </w:rPr>
        <w:t>Sellega seoses töötatakse ISA</w:t>
      </w:r>
      <w:r>
        <w:rPr>
          <w:noProof/>
          <w:vertAlign w:val="superscript"/>
        </w:rPr>
        <w:t>2</w:t>
      </w:r>
      <w:r>
        <w:rPr>
          <w:noProof/>
        </w:rPr>
        <w:t xml:space="preserve"> programmis välja integreeritud raamistik liikmesriikides ja komisjonis Euroopa koostalitlusvõime raamistiku rakendamisel tehtavate edusammude jälgimiseks, hindamiseks ja seonduvaks aruandluseks</w:t>
      </w:r>
      <w:r>
        <w:rPr>
          <w:rStyle w:val="FootnoteReference"/>
          <w:noProof/>
        </w:rPr>
        <w:footnoteReference w:id="16"/>
      </w:r>
      <w:r>
        <w:rPr>
          <w:noProof/>
        </w:rPr>
        <w:t>. Seda seireraamistikku kavandatakse ja rakendatakse riikide koostalitlusvõimeraamistike vaatluskeskuse (NIFO) meetme raames, mida toetatakse ISA</w:t>
      </w:r>
      <w:r>
        <w:rPr>
          <w:noProof/>
          <w:vertAlign w:val="superscript"/>
        </w:rPr>
        <w:t>2</w:t>
      </w:r>
      <w:r>
        <w:rPr>
          <w:noProof/>
        </w:rPr>
        <w:t xml:space="preserve"> programmi kaudu.</w:t>
      </w:r>
    </w:p>
    <w:p>
      <w:pPr>
        <w:pStyle w:val="Text1"/>
        <w:ind w:firstLine="2"/>
        <w:rPr>
          <w:noProof/>
        </w:rPr>
      </w:pPr>
      <w:r>
        <w:rPr>
          <w:noProof/>
        </w:rPr>
        <w:t>Euroopa koostalitlusvõime raamistiku rakendamise tulemused kogu ELis esitatakse igal aastal veebipõhise tulemustabeli kaudu, et anda poliitikakujundajatele tõhusamalt teavet ning jõuda visuaalsema ja intuitiivsema lahenduse abil laiema avalikkuseni</w:t>
      </w:r>
      <w:r>
        <w:rPr>
          <w:rStyle w:val="FootnoteReference"/>
          <w:noProof/>
        </w:rPr>
        <w:footnoteReference w:id="17"/>
      </w:r>
      <w:r>
        <w:rPr>
          <w:noProof/>
        </w:rPr>
        <w:t>. Praktikas on tulemustabeli eesmärk tõhustada teabevahetust ja suutlikkuse suurendamist, et liikmesriigid oleksid teadlikumad Euroopa koostalitlusvõime raamistiku rakendamise hetkeolukorrast ning et muuta raamistiku soovituste täitmine nende jaoks lihtsamaks.</w:t>
      </w:r>
    </w:p>
    <w:p>
      <w:pPr>
        <w:pStyle w:val="Text1"/>
        <w:ind w:firstLine="2"/>
        <w:rPr>
          <w:noProof/>
          <w:highlight w:val="yellow"/>
        </w:rPr>
      </w:pPr>
      <w:r>
        <w:rPr>
          <w:noProof/>
        </w:rPr>
        <w:t>Nende eesmärkide saavutamiseks tehakse liikmesriikidele kättesaadavaks töövahendite pakett, kust saab praktilisi suuniseid Euroopa koostalitlusvõime raamistiku rakendamiseks heade tavade ja lahenduste abil.</w:t>
      </w:r>
    </w:p>
    <w:p>
      <w:pPr>
        <w:pStyle w:val="Text1"/>
        <w:ind w:firstLine="2"/>
        <w:rPr>
          <w:noProof/>
        </w:rPr>
      </w:pPr>
      <w:r>
        <w:rPr>
          <w:noProof/>
        </w:rPr>
        <w:t>Euroopa koostalitlusvõime raamistiku rakendamise seireraamistiku eesmärk on hankida tõendusmaterjali Euroopa koostalitlusvõime raamistiku tulevaseks hindamiseks, mis esialgsete plaanide kohaselt pidi toimuma enne 2019. aasta lõppu</w:t>
      </w:r>
      <w:r>
        <w:rPr>
          <w:rStyle w:val="FootnoteReference"/>
          <w:noProof/>
        </w:rPr>
        <w:footnoteReference w:id="18"/>
      </w:r>
      <w:r>
        <w:rPr>
          <w:noProof/>
        </w:rPr>
        <w:t>. Et aga liikmesriikidel oleks võimalik oma riiklik e-valitsuse, digiteenuste ja koostalitlusvõime poliitika realistliku aja jooksul Euroopa koostalitlusvõime raamistikuga kohandada ning võttes arvesse, et uus ja ulatuslikum Euroopa koostalitlusvõime raamistik eeldab täiendavat sisemist ja välist kooskõlastamist, et saavutada lõplik ühiselt tunnustatud ja integreeritud seiresüsteem, on osutunud vajalikuks Euroopa koostalitlusvõime raamistiku hindamine 2021. aastaks edasi lükata. Nende tegurite tõttu algas andmete kogumise protsess alles 2019. aastal, mistõttu pole Euroopa koostalitlusvõime raamistiku hindamiseks samal aastal piisavalt andmeid.</w:t>
      </w:r>
    </w:p>
    <w:p>
      <w:pPr>
        <w:pStyle w:val="Text1"/>
        <w:ind w:firstLine="2"/>
        <w:rPr>
          <w:noProof/>
        </w:rPr>
      </w:pPr>
      <w:r>
        <w:rPr>
          <w:noProof/>
        </w:rPr>
        <w:t>Lisaks saab Euroopa koostalitlusvõime raamistiku hindamisel paralleelselt ISA</w:t>
      </w:r>
      <w:r>
        <w:rPr>
          <w:noProof/>
          <w:vertAlign w:val="superscript"/>
        </w:rPr>
        <w:t>2</w:t>
      </w:r>
      <w:r>
        <w:rPr>
          <w:noProof/>
        </w:rPr>
        <w:t xml:space="preserve"> programmi lõpphindamisega 2021. aastal luua mitmesugust koostoimet, kuna programm on peamine vahend, millega toetatakse Euroopa koostalitlusvõime raamistiku rakendamist.</w:t>
      </w:r>
    </w:p>
    <w:p>
      <w:pPr>
        <w:pStyle w:val="ManualHeading1"/>
        <w:rPr>
          <w:noProof/>
        </w:rPr>
      </w:pPr>
      <w:bookmarkStart w:id="63" w:name="_Toc14258922"/>
      <w:bookmarkStart w:id="64" w:name="_Toc17971606"/>
      <w:r>
        <w:rPr>
          <w:noProof/>
        </w:rPr>
        <w:t>4.</w:t>
      </w:r>
      <w:r>
        <w:rPr>
          <w:noProof/>
        </w:rPr>
        <w:tab/>
        <w:t>Metoodika</w:t>
      </w:r>
      <w:bookmarkEnd w:id="63"/>
      <w:bookmarkEnd w:id="64"/>
    </w:p>
    <w:p>
      <w:pPr>
        <w:pStyle w:val="Text1"/>
        <w:rPr>
          <w:noProof/>
        </w:rPr>
      </w:pPr>
      <w:r>
        <w:rPr>
          <w:noProof/>
        </w:rPr>
        <w:t>ISA</w:t>
      </w:r>
      <w:r>
        <w:rPr>
          <w:noProof/>
          <w:vertAlign w:val="superscript"/>
        </w:rPr>
        <w:t>2</w:t>
      </w:r>
      <w:r>
        <w:rPr>
          <w:noProof/>
        </w:rPr>
        <w:t xml:space="preserve"> programmi vahehindamisel tugineti kvantitatiivsetele ja kvalitatiivsetele andmetele, mis koguti mitmesuguste meetodite abil, nagu dokumentide analüüs, avalik arutelu, suunatud veebiküsitlused, põhjalikud vestlused ja avaseminar. Konsultatsioonid võimaldasid saada teavet ISA</w:t>
      </w:r>
      <w:r>
        <w:rPr>
          <w:noProof/>
          <w:vertAlign w:val="superscript"/>
        </w:rPr>
        <w:t>2</w:t>
      </w:r>
      <w:r>
        <w:rPr>
          <w:noProof/>
        </w:rPr>
        <w:t xml:space="preserve"> programmi eri sidusrühmadelt, alates liikmesriikide ja komisjoni talituste esindajatest kuni kodanike ja standardiorganisatsioonideni.</w:t>
      </w:r>
    </w:p>
    <w:p>
      <w:pPr>
        <w:pStyle w:val="Text1"/>
        <w:rPr>
          <w:noProof/>
        </w:rPr>
      </w:pPr>
      <w:r>
        <w:rPr>
          <w:noProof/>
        </w:rPr>
        <w:t>Andmete kogumise tõhusamaks suunamiseks valiti 9 paketiks jaotatud 53 meetme hulgast, mida ISA</w:t>
      </w:r>
      <w:r>
        <w:rPr>
          <w:noProof/>
          <w:vertAlign w:val="superscript"/>
        </w:rPr>
        <w:t>2</w:t>
      </w:r>
      <w:r>
        <w:rPr>
          <w:noProof/>
        </w:rPr>
        <w:t xml:space="preserve"> programmist kuni 2018. aastani rahastati, välja 20 meedet. Et valimisse kuuluvad meetmed kajastaksid programmi hästi, tugineti valiku tegemisel neljale eelnevalt määratletud kriteeriumile. Lisaks üldisele andmete kogumisele andsid programmile eksperdihinnangu neli koostalitlusvõime valdkonna tehnilist eksperti.</w:t>
      </w:r>
    </w:p>
    <w:p>
      <w:pPr>
        <w:pStyle w:val="ManualHeading1"/>
        <w:rPr>
          <w:noProof/>
        </w:rPr>
      </w:pPr>
      <w:bookmarkStart w:id="65" w:name="_Toc14258923"/>
      <w:bookmarkStart w:id="66" w:name="_Toc17971607"/>
      <w:r>
        <w:rPr>
          <w:noProof/>
        </w:rPr>
        <w:t>5.</w:t>
      </w:r>
      <w:r>
        <w:rPr>
          <w:noProof/>
        </w:rPr>
        <w:tab/>
        <w:t>Hindamise teemad ja küsimused</w:t>
      </w:r>
      <w:bookmarkEnd w:id="65"/>
      <w:bookmarkEnd w:id="66"/>
    </w:p>
    <w:p>
      <w:pPr>
        <w:pStyle w:val="Text1"/>
        <w:rPr>
          <w:noProof/>
        </w:rPr>
      </w:pPr>
      <w:r>
        <w:rPr>
          <w:noProof/>
        </w:rPr>
        <w:t>Hindamisel keskenduti järgmisele seitsmele põhikriteeriumile</w:t>
      </w:r>
      <w:r>
        <w:rPr>
          <w:rStyle w:val="FootnoteReference"/>
          <w:noProof/>
        </w:rPr>
        <w:footnoteReference w:id="19"/>
      </w:r>
      <w:r>
        <w:rPr>
          <w:noProof/>
        </w:rPr>
        <w:t>.</w:t>
      </w:r>
    </w:p>
    <w:p>
      <w:pPr>
        <w:pStyle w:val="Tiret1"/>
        <w:rPr>
          <w:noProof/>
        </w:rPr>
      </w:pPr>
      <w:r>
        <w:rPr>
          <w:b/>
          <w:noProof/>
        </w:rPr>
        <w:t>Asjakohasus</w:t>
      </w:r>
      <w:r>
        <w:rPr>
          <w:noProof/>
        </w:rPr>
        <w:t xml:space="preserve"> – mil määral on ISA² programmi eesmärgid ikka veel asjakohased, pidades silmas nii riikide kui ka ELi tasandil tekkivaid vajadusi ja probleeme?</w:t>
      </w:r>
    </w:p>
    <w:p>
      <w:pPr>
        <w:pStyle w:val="Tiret1"/>
        <w:rPr>
          <w:noProof/>
        </w:rPr>
      </w:pPr>
      <w:r>
        <w:rPr>
          <w:b/>
          <w:noProof/>
        </w:rPr>
        <w:t>Tulemuslikkus</w:t>
      </w:r>
      <w:r>
        <w:rPr>
          <w:noProof/>
        </w:rPr>
        <w:t xml:space="preserve"> – kui kaugel on ISA² programmi tulemused programmi eesmärkide saavutamisest? Kas on aspekte, mis on rohkem või vähem tulemuslikud kui teised, ja kui on, siis milliseid järeldusi võib sellest teha?</w:t>
      </w:r>
    </w:p>
    <w:p>
      <w:pPr>
        <w:pStyle w:val="Tiret1"/>
        <w:rPr>
          <w:noProof/>
        </w:rPr>
      </w:pPr>
      <w:r>
        <w:rPr>
          <w:b/>
          <w:noProof/>
        </w:rPr>
        <w:t>Tõhusus</w:t>
      </w:r>
      <w:r>
        <w:rPr>
          <w:noProof/>
        </w:rPr>
        <w:t xml:space="preserve"> – kuivõrd on programm olnud kulutõhus? Millised programmi aspektid on kõige tõhusamad või ebatõhusamad, eriti kasutatud ressursside seisukohalt? Millised on programmi tulemused kavandatud tööd ja eelarvet silmas pidades?</w:t>
      </w:r>
    </w:p>
    <w:p>
      <w:pPr>
        <w:pStyle w:val="Tiret1"/>
        <w:rPr>
          <w:noProof/>
        </w:rPr>
      </w:pPr>
      <w:r>
        <w:rPr>
          <w:b/>
          <w:noProof/>
        </w:rPr>
        <w:t>Sidusus</w:t>
      </w:r>
      <w:r>
        <w:rPr>
          <w:noProof/>
        </w:rPr>
        <w:t xml:space="preserve"> – mil määral on ISA² meetmed programmi raames rakendatava tervikliku käsitlusviisi osa (</w:t>
      </w:r>
      <w:r>
        <w:rPr>
          <w:noProof/>
          <w:u w:val="single"/>
        </w:rPr>
        <w:t>sisemine sidusus</w:t>
      </w:r>
      <w:r>
        <w:rPr>
          <w:noProof/>
        </w:rPr>
        <w:t>)? Mil määral on ISA² meetmed kooskõlas teiste ELi sekkumismeetmetega, millel on sarnased eesmärgid, ning sama valdkonna üleilmsete algatustega (</w:t>
      </w:r>
      <w:r>
        <w:rPr>
          <w:noProof/>
          <w:u w:val="single"/>
        </w:rPr>
        <w:t>väline sidusus</w:t>
      </w:r>
      <w:r>
        <w:rPr>
          <w:noProof/>
        </w:rPr>
        <w:t>)?</w:t>
      </w:r>
    </w:p>
    <w:p>
      <w:pPr>
        <w:pStyle w:val="Tiret1"/>
        <w:rPr>
          <w:noProof/>
        </w:rPr>
      </w:pPr>
      <w:r>
        <w:rPr>
          <w:b/>
          <w:noProof/>
        </w:rPr>
        <w:t>ELi lisaväärtus</w:t>
      </w:r>
      <w:r>
        <w:rPr>
          <w:noProof/>
        </w:rPr>
        <w:t xml:space="preserve"> – mis on ISA² programmist saadav lisaväärtus võrreldes sellega, mida oleks mõistlik oodata riiklikul, piirkondlikul ja/või kohalikul tasandil tegutsevatelt liikmesriikidelt?</w:t>
      </w:r>
    </w:p>
    <w:p>
      <w:pPr>
        <w:pStyle w:val="Tiret1"/>
        <w:rPr>
          <w:noProof/>
        </w:rPr>
      </w:pPr>
      <w:r>
        <w:rPr>
          <w:b/>
          <w:noProof/>
        </w:rPr>
        <w:t>Kasulikkus</w:t>
      </w:r>
      <w:r>
        <w:rPr>
          <w:noProof/>
        </w:rPr>
        <w:t xml:space="preserve"> – kuidas vastavad ISA² programmi meetmed ning saavutatud ja eeldatavad tulemused vajadustele, mida need peaksid täitma?</w:t>
      </w:r>
    </w:p>
    <w:p>
      <w:pPr>
        <w:pStyle w:val="Tiret1"/>
        <w:rPr>
          <w:noProof/>
        </w:rPr>
      </w:pPr>
      <w:r>
        <w:rPr>
          <w:b/>
          <w:noProof/>
        </w:rPr>
        <w:t>Jätkusuutlikkus</w:t>
      </w:r>
      <w:r>
        <w:rPr>
          <w:noProof/>
        </w:rPr>
        <w:t xml:space="preserve"> – mil määral on tagatud selliste välja töötatud lahenduste rahaline, tehniline ja operatiivne jätkusuutlikkus, mida hoitakse käigus ja viiakse ellu ISA² programmi kaudu?</w:t>
      </w:r>
    </w:p>
    <w:p>
      <w:pPr>
        <w:pStyle w:val="ManualHeading1"/>
        <w:rPr>
          <w:noProof/>
        </w:rPr>
      </w:pPr>
      <w:bookmarkStart w:id="67" w:name="_Toc14258924"/>
      <w:bookmarkStart w:id="68" w:name="_Toc17971608"/>
      <w:r>
        <w:rPr>
          <w:noProof/>
        </w:rPr>
        <w:t>6.</w:t>
      </w:r>
      <w:r>
        <w:rPr>
          <w:noProof/>
        </w:rPr>
        <w:tab/>
        <w:t>Tähelepanekud</w:t>
      </w:r>
      <w:bookmarkEnd w:id="67"/>
      <w:bookmarkEnd w:id="68"/>
    </w:p>
    <w:p>
      <w:pPr>
        <w:pStyle w:val="Text1"/>
        <w:rPr>
          <w:noProof/>
        </w:rPr>
      </w:pPr>
      <w:r>
        <w:rPr>
          <w:noProof/>
        </w:rPr>
        <w:t>129 sidusrühmalt</w:t>
      </w:r>
      <w:r>
        <w:rPr>
          <w:rStyle w:val="FootnoteReference"/>
          <w:noProof/>
        </w:rPr>
        <w:footnoteReference w:id="20"/>
      </w:r>
      <w:r>
        <w:rPr>
          <w:noProof/>
        </w:rPr>
        <w:t xml:space="preserve"> konsultatsioonide käigus kogutud andmete, ulatusliku dokumentide analüüsi ja eksperdihinnangute põhjal kinnitati vahehindamisel, et ISA</w:t>
      </w:r>
      <w:r>
        <w:rPr>
          <w:noProof/>
          <w:vertAlign w:val="superscript"/>
        </w:rPr>
        <w:t>2</w:t>
      </w:r>
      <w:r>
        <w:rPr>
          <w:noProof/>
        </w:rPr>
        <w:t xml:space="preserve"> on kõigi hindamiskriteeriumide osas tulemuslik. Hindamine piirdub aga aastatel 2016–2018 rahastatud meetmetega, mistõttu saab pooleliolevate meetmete tulemused ning ISA</w:t>
      </w:r>
      <w:r>
        <w:rPr>
          <w:noProof/>
          <w:vertAlign w:val="superscript"/>
        </w:rPr>
        <w:t>2</w:t>
      </w:r>
      <w:r>
        <w:rPr>
          <w:noProof/>
        </w:rPr>
        <w:t xml:space="preserve"> pikemaajalised tulemused välja selgitada alles pärast programmi lõppu.</w:t>
      </w:r>
    </w:p>
    <w:p>
      <w:pPr>
        <w:pStyle w:val="ManualHeading2"/>
        <w:rPr>
          <w:noProof/>
        </w:rPr>
      </w:pPr>
      <w:bookmarkStart w:id="69" w:name="_Toc14258925"/>
      <w:bookmarkStart w:id="70" w:name="_Toc17971609"/>
      <w:r>
        <w:rPr>
          <w:noProof/>
        </w:rPr>
        <w:t>6.1.</w:t>
      </w:r>
      <w:r>
        <w:rPr>
          <w:noProof/>
        </w:rPr>
        <w:tab/>
        <w:t>Asjakohasus</w:t>
      </w:r>
      <w:bookmarkEnd w:id="69"/>
      <w:bookmarkEnd w:id="70"/>
    </w:p>
    <w:p>
      <w:pPr>
        <w:pStyle w:val="Text1"/>
        <w:rPr>
          <w:noProof/>
        </w:rPr>
      </w:pPr>
      <w:r>
        <w:rPr>
          <w:noProof/>
        </w:rPr>
        <w:t>ISA</w:t>
      </w:r>
      <w:r>
        <w:rPr>
          <w:noProof/>
          <w:vertAlign w:val="superscript"/>
        </w:rPr>
        <w:t>2</w:t>
      </w:r>
      <w:r>
        <w:rPr>
          <w:noProof/>
        </w:rPr>
        <w:t xml:space="preserve"> eesmärgid vastavad jätkuvalt digitaalsete avalike teenuste koostalitlusvõime valdkonnas tekkivatele vajadustele ja probleemidele, mis näitab, et programm on asjakohane. Enamik konsultatsioonide käigus vastuseid andnud sidusrühmadest on nõus, et halduslike e-tõkete probleem ja seonduvad vajadused, mis programmi raames algselt tuvastati, on endiselt aktuaalsed. Osal neist (129-st sidusrühmast 46-l) on aga praeguseks tekkinud täiendavad vajadused (nt normatiivsem käsitlusviis koostalitlusvõimeliste avalike teenuste kavandamiseks) ja probleemid (sh vahendite piiratus), millega ISA</w:t>
      </w:r>
      <w:r>
        <w:rPr>
          <w:noProof/>
          <w:vertAlign w:val="superscript"/>
        </w:rPr>
        <w:t>2</w:t>
      </w:r>
      <w:r>
        <w:rPr>
          <w:noProof/>
        </w:rPr>
        <w:t xml:space="preserve"> saab vaid osaliselt tegeleda.</w:t>
      </w:r>
    </w:p>
    <w:p>
      <w:pPr>
        <w:pStyle w:val="Text1"/>
        <w:rPr>
          <w:noProof/>
        </w:rPr>
      </w:pPr>
      <w:r>
        <w:rPr>
          <w:noProof/>
        </w:rPr>
        <w:t>Üks erilist tähelepanu nõudev täiendav vajadus on tagada tihedam koostöö ja teabevahetus kohalike ja piirkondlike omavalitsustega, et suurendada teadlikkust koostalitlusvõimest ning ISA</w:t>
      </w:r>
      <w:r>
        <w:rPr>
          <w:noProof/>
          <w:vertAlign w:val="superscript"/>
        </w:rPr>
        <w:t>2</w:t>
      </w:r>
      <w:r>
        <w:rPr>
          <w:noProof/>
        </w:rPr>
        <w:t xml:space="preserve"> lahendused kohalikul ja piirkondlikul tasandil kasutusele võtta.</w:t>
      </w:r>
    </w:p>
    <w:p>
      <w:pPr>
        <w:pStyle w:val="Text1"/>
        <w:rPr>
          <w:iCs/>
          <w:noProof/>
        </w:rPr>
      </w:pPr>
      <w:r>
        <w:rPr>
          <w:noProof/>
        </w:rPr>
        <w:t>Haldusasutuste teadlikkuse suurendamine koostalitlusvõimest oli esimene ISA programmi lõpphinnangus</w:t>
      </w:r>
      <w:r>
        <w:rPr>
          <w:rStyle w:val="FootnoteReference"/>
          <w:noProof/>
        </w:rPr>
        <w:footnoteReference w:id="21"/>
      </w:r>
      <w:r>
        <w:rPr>
          <w:noProof/>
        </w:rPr>
        <w:t xml:space="preserve"> esitatud kolmest soovitusest. ISA</w:t>
      </w:r>
      <w:r>
        <w:rPr>
          <w:noProof/>
          <w:vertAlign w:val="superscript"/>
        </w:rPr>
        <w:t>2</w:t>
      </w:r>
      <w:r>
        <w:rPr>
          <w:noProof/>
        </w:rPr>
        <w:t xml:space="preserve"> programmis võeti selle soovituse täitmiseks 2017. aastal vastu teabevahetuse strateegia ja tegevuskava ning aastatel 2016–2018 korraldati kümme suuremat üritust, millest igaühel osales keskmiselt 211 inimest. Lisaks tegutsesid ISA</w:t>
      </w:r>
      <w:r>
        <w:rPr>
          <w:noProof/>
          <w:vertAlign w:val="superscript"/>
        </w:rPr>
        <w:t>2</w:t>
      </w:r>
      <w:r>
        <w:rPr>
          <w:noProof/>
        </w:rPr>
        <w:t xml:space="preserve"> esindajad aktiivselt 60 samal ajavahemikul korraldatud üritusel. Vahehindamine näitab, et need jõupingutused tasusid end ära, kuna enamik konsultatsioonis osalenud sidusrühmadest väitis, et neil on põhjalikud teadmised koostalitlusvõimest (128-st sidusrühmast 91) ning ISA</w:t>
      </w:r>
      <w:r>
        <w:rPr>
          <w:noProof/>
          <w:vertAlign w:val="superscript"/>
        </w:rPr>
        <w:t>2</w:t>
      </w:r>
      <w:r>
        <w:rPr>
          <w:noProof/>
        </w:rPr>
        <w:t xml:space="preserve"> programmist (128-st sidusrühmast 81). Olenemata üldisest teadlikkusest näitab eespool nimetatud täiendav vajadus, et programm peaks jätkama kohalike ja piirkondlike omavalitsuste ja ehk ka kaudsete kasusaajate – näiteks kodanike ja ettevõtjate – teadlikkuse suurendamist.</w:t>
      </w:r>
    </w:p>
    <w:p>
      <w:pPr>
        <w:pStyle w:val="ManualHeading2"/>
        <w:rPr>
          <w:noProof/>
        </w:rPr>
      </w:pPr>
      <w:bookmarkStart w:id="71" w:name="_Ref8324896"/>
      <w:bookmarkStart w:id="72" w:name="_Toc14258926"/>
      <w:bookmarkStart w:id="73" w:name="_Toc17971610"/>
      <w:r>
        <w:rPr>
          <w:noProof/>
        </w:rPr>
        <w:t>6.2.</w:t>
      </w:r>
      <w:r>
        <w:rPr>
          <w:noProof/>
        </w:rPr>
        <w:tab/>
        <w:t>Tulemuslikkus</w:t>
      </w:r>
      <w:bookmarkEnd w:id="71"/>
      <w:bookmarkEnd w:id="72"/>
      <w:bookmarkEnd w:id="73"/>
    </w:p>
    <w:p>
      <w:pPr>
        <w:pStyle w:val="Text1"/>
        <w:rPr>
          <w:noProof/>
        </w:rPr>
      </w:pPr>
      <w:r>
        <w:rPr>
          <w:noProof/>
        </w:rPr>
        <w:t>ISA</w:t>
      </w:r>
      <w:r>
        <w:rPr>
          <w:noProof/>
          <w:vertAlign w:val="superscript"/>
        </w:rPr>
        <w:t>2</w:t>
      </w:r>
      <w:r>
        <w:rPr>
          <w:noProof/>
        </w:rPr>
        <w:t xml:space="preserve"> programmi seni saavutatud tulemused on kooskõlas programmi eesmärkidega. Siiski ei vasta need täielikult oodatud tulemustele, kuna enamik meetmeid on alles pooleli ja lahendusi alles töötatakse välja. Ka see, et programm alles kestab, mõjutab lahenduste kasutuselevõtu määra. Eelmistest programmidest üle võetud meetmete raames loodud lahendused on praegu laiemas kasutuses kui need lahendused, mis on loodud ISA</w:t>
      </w:r>
      <w:r>
        <w:rPr>
          <w:noProof/>
          <w:vertAlign w:val="superscript"/>
        </w:rPr>
        <w:t>2</w:t>
      </w:r>
      <w:r>
        <w:rPr>
          <w:noProof/>
        </w:rPr>
        <w:t xml:space="preserve"> käigus kasutusele võetud meetmete raames.</w:t>
      </w:r>
    </w:p>
    <w:p>
      <w:pPr>
        <w:pStyle w:val="Text1"/>
        <w:rPr>
          <w:iCs/>
          <w:noProof/>
        </w:rPr>
      </w:pPr>
      <w:r>
        <w:rPr>
          <w:noProof/>
        </w:rPr>
        <w:t>ISA</w:t>
      </w:r>
      <w:r>
        <w:rPr>
          <w:noProof/>
          <w:vertAlign w:val="superscript"/>
        </w:rPr>
        <w:t>2</w:t>
      </w:r>
      <w:r>
        <w:rPr>
          <w:noProof/>
        </w:rPr>
        <w:t xml:space="preserve"> ühe konkreetse eesmärgi puhul leiti hindamisel, et programm üksi on vähem tulemuslik: tõhusama, lihtsama ja kasutusmugavama e-halduse loomine riiklikes, piirkondlikes ja kohalikes haldusasutustes. Siin saavad liikmesriigid palju ära teha ning täiendada ELi tasandi algatusi koostalitlusvõime ja digiülemineku valdkonnas..</w:t>
      </w:r>
    </w:p>
    <w:p>
      <w:pPr>
        <w:pStyle w:val="Text1"/>
        <w:rPr>
          <w:noProof/>
        </w:rPr>
      </w:pPr>
      <w:r>
        <w:rPr>
          <w:noProof/>
        </w:rPr>
        <w:t>Välised tegurid võivad programmi eesmärkide ja tulemuste saavutamist nii tõhustada kui ka ohustada. Riigiasutuste üleskutse ühiste standardite ja raamistike järele on väline tegur, mis aitab programmi tulemuslikumaks muuta. Samas võib institutsioonide keerukus takistada piiriülese ja valdkondadevahelise koostalitlusvõime saavutamist.</w:t>
      </w:r>
    </w:p>
    <w:p>
      <w:pPr>
        <w:pStyle w:val="Text1"/>
        <w:rPr>
          <w:noProof/>
        </w:rPr>
      </w:pPr>
      <w:r>
        <w:rPr>
          <w:noProof/>
        </w:rPr>
        <w:t>Lisaks leiti hindamisel, et ISA</w:t>
      </w:r>
      <w:r>
        <w:rPr>
          <w:noProof/>
          <w:vertAlign w:val="superscript"/>
        </w:rPr>
        <w:t>2</w:t>
      </w:r>
      <w:r>
        <w:rPr>
          <w:noProof/>
        </w:rPr>
        <w:t xml:space="preserve"> meetmed on suuresti vastavuses ISA</w:t>
      </w:r>
      <w:r>
        <w:rPr>
          <w:noProof/>
          <w:vertAlign w:val="superscript"/>
        </w:rPr>
        <w:t>2</w:t>
      </w:r>
      <w:r>
        <w:rPr>
          <w:noProof/>
        </w:rPr>
        <w:t xml:space="preserve"> programmi käsitleva otsuse artiklis 4 loetletud üldpõhimõtetega – seda tänu jooksva tööprogrammi protsessile, mis tagab, et neid põhimõtteid võetakse tööprogrammi kavandamisel süstemaatiliselt arvesse.</w:t>
      </w:r>
    </w:p>
    <w:p>
      <w:pPr>
        <w:pStyle w:val="ManualHeading2"/>
        <w:rPr>
          <w:noProof/>
        </w:rPr>
      </w:pPr>
      <w:bookmarkStart w:id="74" w:name="_Toc14258927"/>
      <w:bookmarkStart w:id="75" w:name="_Toc17971611"/>
      <w:r>
        <w:rPr>
          <w:noProof/>
        </w:rPr>
        <w:t>6.3.</w:t>
      </w:r>
      <w:r>
        <w:rPr>
          <w:noProof/>
        </w:rPr>
        <w:tab/>
        <w:t>Tõhusus</w:t>
      </w:r>
      <w:bookmarkEnd w:id="74"/>
      <w:bookmarkEnd w:id="75"/>
    </w:p>
    <w:p>
      <w:pPr>
        <w:pStyle w:val="Text1"/>
        <w:rPr>
          <w:noProof/>
        </w:rPr>
      </w:pPr>
      <w:r>
        <w:rPr>
          <w:noProof/>
        </w:rPr>
        <w:t>Programmi elluviimine kulgeb kavakohaselt; kõik meetmed edenevad eesmärgipäraselt või on kavandatud töö taseme saavutamisele lähedal. Eri tulemusnäitajate rohkuse tõttu on aga keeruline teha järeldusi programmi üldise kulutõhususe kohta. Nende ISA</w:t>
      </w:r>
      <w:r>
        <w:rPr>
          <w:noProof/>
          <w:vertAlign w:val="superscript"/>
        </w:rPr>
        <w:t>2</w:t>
      </w:r>
      <w:r>
        <w:rPr>
          <w:noProof/>
        </w:rPr>
        <w:t xml:space="preserve"> pakettide puhul, mille jaoks oli võimalik eri meetmete tulemusnäitajaid ühendada, on kulud lõppkasutaja kohta (nt ettevõtjad, kodanikud) hinnanguliselt väga väikesed.</w:t>
      </w:r>
    </w:p>
    <w:p>
      <w:pPr>
        <w:pStyle w:val="Text1"/>
        <w:rPr>
          <w:noProof/>
        </w:rPr>
      </w:pPr>
      <w:r>
        <w:rPr>
          <w:noProof/>
        </w:rPr>
        <w:t>ISA</w:t>
      </w:r>
      <w:r>
        <w:rPr>
          <w:noProof/>
          <w:vertAlign w:val="superscript"/>
        </w:rPr>
        <w:t>2</w:t>
      </w:r>
      <w:r>
        <w:rPr>
          <w:noProof/>
        </w:rPr>
        <w:t xml:space="preserve"> programmist rahastatavate meetmete valimise protsessi peetakse suhteliselt tõhusaks. Ettepaneku koostamise kulud on üsna väikesed: 0,07–0,4 % ettepaneku heakskiitmise korral eraldatavatest võimalikest rahalistest vahenditest. Siiski saaks valikuprotsessi täiustada, lihtsustades jooksvat tööprogrammi (nt muutes vormi paindlikumaks) ja tehes teemapõhiseid algatusi, tagades seeläbi, et valikuprotsess lähtub eesmärkidest.</w:t>
      </w:r>
    </w:p>
    <w:p>
      <w:pPr>
        <w:pStyle w:val="ManualHeading2"/>
        <w:rPr>
          <w:noProof/>
        </w:rPr>
      </w:pPr>
      <w:bookmarkStart w:id="76" w:name="_Toc14258928"/>
      <w:bookmarkStart w:id="77" w:name="_Toc17971612"/>
      <w:r>
        <w:rPr>
          <w:noProof/>
        </w:rPr>
        <w:t>6.4.</w:t>
      </w:r>
      <w:r>
        <w:rPr>
          <w:noProof/>
        </w:rPr>
        <w:tab/>
        <w:t>Sidusus</w:t>
      </w:r>
      <w:bookmarkEnd w:id="76"/>
      <w:bookmarkEnd w:id="77"/>
    </w:p>
    <w:p>
      <w:pPr>
        <w:pStyle w:val="Text1"/>
        <w:rPr>
          <w:noProof/>
        </w:rPr>
      </w:pPr>
      <w:r>
        <w:rPr>
          <w:noProof/>
        </w:rPr>
        <w:t>Konsultatsioonis osalenud sidusrühmade sõnul esineb ISA</w:t>
      </w:r>
      <w:r>
        <w:rPr>
          <w:noProof/>
          <w:vertAlign w:val="superscript"/>
        </w:rPr>
        <w:t>2</w:t>
      </w:r>
      <w:r>
        <w:rPr>
          <w:noProof/>
        </w:rPr>
        <w:t xml:space="preserve"> meetmete puhul olulist koostoimet ja vähe kattuvusi. See suur sisemine sidusus on kooskõlas ISA programmi lõpphindamise teise soovitusega rakendada ISA</w:t>
      </w:r>
      <w:r>
        <w:rPr>
          <w:noProof/>
          <w:vertAlign w:val="superscript"/>
        </w:rPr>
        <w:t>2</w:t>
      </w:r>
      <w:r>
        <w:rPr>
          <w:noProof/>
        </w:rPr>
        <w:t xml:space="preserve"> programmis koostalitlusvõime terviklikku käsitlust.</w:t>
      </w:r>
    </w:p>
    <w:p>
      <w:pPr>
        <w:pStyle w:val="Text1"/>
        <w:rPr>
          <w:noProof/>
        </w:rPr>
      </w:pPr>
      <w:r>
        <w:rPr>
          <w:noProof/>
        </w:rPr>
        <w:t>Mis puutub välisesse sidususse, järgis ISA</w:t>
      </w:r>
      <w:r>
        <w:rPr>
          <w:noProof/>
          <w:vertAlign w:val="superscript"/>
        </w:rPr>
        <w:t>2</w:t>
      </w:r>
      <w:r>
        <w:rPr>
          <w:noProof/>
        </w:rPr>
        <w:t xml:space="preserve"> ISA programmi lõpphindamise kolmandat (viimast) soovitust ning arendas tihedat koostööd teiste ELi poliitikavaldkondade ja algatustega. Edendati koostoimet Euroopa ühendamise rahastu, programmi „Horisont 2020“ ja struktuurireformi tugiprogrammiga. ISA</w:t>
      </w:r>
      <w:r>
        <w:rPr>
          <w:noProof/>
          <w:vertAlign w:val="superscript"/>
        </w:rPr>
        <w:t>2</w:t>
      </w:r>
      <w:r>
        <w:rPr>
          <w:noProof/>
        </w:rPr>
        <w:t xml:space="preserve"> programmil on koostoime ka selliste algatustega nagu ühtne digivärav, digitaalse ühtse turu strateegia, e-valitsuse tegevuskava, Tallinna deklaratsioon e-valitsuse kohta ning pidevalt ajakohastatav IKT standardimise kava</w:t>
      </w:r>
      <w:r>
        <w:rPr>
          <w:rStyle w:val="FootnoteReference"/>
          <w:noProof/>
        </w:rPr>
        <w:footnoteReference w:id="22"/>
      </w:r>
      <w:r>
        <w:rPr>
          <w:noProof/>
        </w:rPr>
        <w:t>. Siiski oldi arvamusel, et ISA</w:t>
      </w:r>
      <w:r>
        <w:rPr>
          <w:noProof/>
          <w:vertAlign w:val="superscript"/>
        </w:rPr>
        <w:t>2</w:t>
      </w:r>
      <w:r>
        <w:rPr>
          <w:noProof/>
        </w:rPr>
        <w:t xml:space="preserve"> ja Euroopa ühendamise rahastu teatavate lahenduste vahel on kattuvusi, mis tuleks kõrvaldada iga lahenduse rakendusala täpsema piiritlemise teel.</w:t>
      </w:r>
    </w:p>
    <w:p>
      <w:pPr>
        <w:pStyle w:val="ManualHeading2"/>
        <w:rPr>
          <w:noProof/>
        </w:rPr>
      </w:pPr>
      <w:bookmarkStart w:id="78" w:name="_Toc14258929"/>
      <w:bookmarkStart w:id="79" w:name="_Toc17971613"/>
      <w:r>
        <w:rPr>
          <w:noProof/>
        </w:rPr>
        <w:t>6.5.</w:t>
      </w:r>
      <w:r>
        <w:rPr>
          <w:noProof/>
        </w:rPr>
        <w:tab/>
        <w:t>ELi lisaväärtus</w:t>
      </w:r>
      <w:bookmarkEnd w:id="78"/>
      <w:bookmarkEnd w:id="79"/>
    </w:p>
    <w:p>
      <w:pPr>
        <w:pStyle w:val="Text1"/>
        <w:rPr>
          <w:noProof/>
        </w:rPr>
      </w:pPr>
      <w:r>
        <w:rPr>
          <w:noProof/>
        </w:rPr>
        <w:t>ISA</w:t>
      </w:r>
      <w:r>
        <w:rPr>
          <w:noProof/>
          <w:vertAlign w:val="superscript"/>
        </w:rPr>
        <w:t>2</w:t>
      </w:r>
      <w:r>
        <w:rPr>
          <w:noProof/>
        </w:rPr>
        <w:t xml:space="preserve"> tagatav kooskõlastamise tase on Euroopa haldusasutuste üldise koostalitlusvõime parandamiseks äärmiselt oluline. Lisaks rõhutas 109-st vastanust 91, et ISA</w:t>
      </w:r>
      <w:r>
        <w:rPr>
          <w:noProof/>
          <w:vertAlign w:val="superscript"/>
        </w:rPr>
        <w:t>2</w:t>
      </w:r>
      <w:r>
        <w:rPr>
          <w:noProof/>
        </w:rPr>
        <w:t xml:space="preserve"> suudab oma eesmärgid saavutada väiksemate kuludega kui sarnased riiklikud või kohalikud ja piirkondlikud algatused.</w:t>
      </w:r>
    </w:p>
    <w:p>
      <w:pPr>
        <w:pStyle w:val="Text1"/>
        <w:rPr>
          <w:noProof/>
        </w:rPr>
      </w:pPr>
      <w:r>
        <w:rPr>
          <w:noProof/>
        </w:rPr>
        <w:t>On ilmne, et ISA</w:t>
      </w:r>
      <w:r>
        <w:rPr>
          <w:noProof/>
          <w:vertAlign w:val="superscript"/>
        </w:rPr>
        <w:t>2</w:t>
      </w:r>
      <w:r>
        <w:rPr>
          <w:noProof/>
        </w:rPr>
        <w:t xml:space="preserve"> on aidanud parandada piiriülest koostalitlusvõimet ELis: i) programm suurendab kõigis liikmesriikides teadlikkust koostalitlusvõimest; ii) see aitab lisada kõnealuse teema riiklikesse tegevuskavadesse; ning iii) see loob võrgustikke ja soodustab teabevahetust. ISA</w:t>
      </w:r>
      <w:r>
        <w:rPr>
          <w:noProof/>
          <w:vertAlign w:val="superscript"/>
        </w:rPr>
        <w:t>2</w:t>
      </w:r>
      <w:r>
        <w:rPr>
          <w:noProof/>
        </w:rPr>
        <w:t xml:space="preserve"> on aidanud edendada ka ELi ühist poliitikat: programmil on keskne roll Euroopa koostalitlusvõime raamistiku rakendamisel ja see toetab digitaalse ühtse turu loomist.</w:t>
      </w:r>
    </w:p>
    <w:p>
      <w:pPr>
        <w:pStyle w:val="ManualHeading2"/>
        <w:rPr>
          <w:noProof/>
        </w:rPr>
      </w:pPr>
      <w:bookmarkStart w:id="80" w:name="_Toc14258930"/>
      <w:bookmarkStart w:id="81" w:name="_Toc17971614"/>
      <w:r>
        <w:rPr>
          <w:noProof/>
        </w:rPr>
        <w:t>6.6.</w:t>
      </w:r>
      <w:r>
        <w:rPr>
          <w:noProof/>
        </w:rPr>
        <w:tab/>
        <w:t>Kasulikkus</w:t>
      </w:r>
      <w:bookmarkEnd w:id="80"/>
      <w:bookmarkEnd w:id="81"/>
    </w:p>
    <w:p>
      <w:pPr>
        <w:pStyle w:val="Text1"/>
        <w:rPr>
          <w:noProof/>
        </w:rPr>
      </w:pPr>
      <w:r>
        <w:rPr>
          <w:noProof/>
        </w:rPr>
        <w:t>Kasutajad on ISA</w:t>
      </w:r>
      <w:r>
        <w:rPr>
          <w:noProof/>
          <w:vertAlign w:val="superscript"/>
        </w:rPr>
        <w:t>2</w:t>
      </w:r>
      <w:r>
        <w:rPr>
          <w:noProof/>
        </w:rPr>
        <w:t xml:space="preserve"> lahendustega üldiselt rahul: 110-st sidusrühmast viitas vähesele rahulolule vaid 7. Kuna programm alles kestab, eeldatakse, et ISA</w:t>
      </w:r>
      <w:r>
        <w:rPr>
          <w:noProof/>
          <w:vertAlign w:val="superscript"/>
        </w:rPr>
        <w:t>2</w:t>
      </w:r>
      <w:r>
        <w:rPr>
          <w:noProof/>
        </w:rPr>
        <w:t xml:space="preserve"> lahenduste kasutuselevõtt suureneb, nii et lahendused vastavad üha paremini kasutajate vajadustele ja kasutajate üldine rahulolu suureneb.</w:t>
      </w:r>
    </w:p>
    <w:p>
      <w:pPr>
        <w:pStyle w:val="ManualHeading2"/>
        <w:rPr>
          <w:noProof/>
        </w:rPr>
      </w:pPr>
      <w:bookmarkStart w:id="82" w:name="_Toc14258931"/>
      <w:bookmarkStart w:id="83" w:name="_Toc17971615"/>
      <w:r>
        <w:rPr>
          <w:noProof/>
        </w:rPr>
        <w:t>6.7.</w:t>
      </w:r>
      <w:r>
        <w:rPr>
          <w:noProof/>
        </w:rPr>
        <w:tab/>
        <w:t>Jätkusuutlikkus</w:t>
      </w:r>
      <w:bookmarkEnd w:id="82"/>
      <w:bookmarkEnd w:id="83"/>
    </w:p>
    <w:p>
      <w:pPr>
        <w:pStyle w:val="Text1"/>
        <w:rPr>
          <w:noProof/>
        </w:rPr>
      </w:pPr>
      <w:r>
        <w:rPr>
          <w:noProof/>
        </w:rPr>
        <w:t>ISA</w:t>
      </w:r>
      <w:r>
        <w:rPr>
          <w:noProof/>
          <w:vertAlign w:val="superscript"/>
        </w:rPr>
        <w:t>2</w:t>
      </w:r>
      <w:r>
        <w:rPr>
          <w:noProof/>
        </w:rPr>
        <w:t xml:space="preserve"> lahenduste jätkusuutlikkus sai konsultatsioonis osalenud sidusrühmadelt erinevat tagasisidet. 84-st vastanust 66 on seisukohal, et programmi tulemused jääksid püsima ka ilma tulevase rahastuseta, 85-st vastanust rohkem kui 55 leiab aga, et vajadus toimingute järele ja lahenduste hooldamise kulud võivad vähendada ISA</w:t>
      </w:r>
      <w:r>
        <w:rPr>
          <w:noProof/>
          <w:vertAlign w:val="superscript"/>
        </w:rPr>
        <w:t>2</w:t>
      </w:r>
      <w:r>
        <w:rPr>
          <w:noProof/>
        </w:rPr>
        <w:t xml:space="preserve"> lahenduste tulemuste saavutamise suutlikkust, kui programm lõpetataks.</w:t>
      </w:r>
    </w:p>
    <w:p>
      <w:pPr>
        <w:pStyle w:val="Text1"/>
        <w:rPr>
          <w:noProof/>
        </w:rPr>
      </w:pPr>
      <w:r>
        <w:rPr>
          <w:noProof/>
        </w:rPr>
        <w:t>Sidusrühmad on aga nõus, et ISA</w:t>
      </w:r>
      <w:r>
        <w:rPr>
          <w:noProof/>
          <w:vertAlign w:val="superscript"/>
        </w:rPr>
        <w:t>2</w:t>
      </w:r>
      <w:r>
        <w:rPr>
          <w:noProof/>
        </w:rPr>
        <w:t xml:space="preserve"> programmil on keskne osa ELi koostalitlusvõime maastiku täiustamisel ning et programmi puudumine seaks ohtu Euroopa haldusasutuste jõupingutused koostalitlusvõime parandamiseks ja avaliku sektori IKT-põhise ajakohastamise edendamiseks Euroopas.</w:t>
      </w:r>
    </w:p>
    <w:p>
      <w:pPr>
        <w:pStyle w:val="ManualHeading1"/>
        <w:rPr>
          <w:noProof/>
        </w:rPr>
      </w:pPr>
      <w:bookmarkStart w:id="84" w:name="_Toc14258932"/>
      <w:bookmarkStart w:id="85" w:name="_Toc17971616"/>
      <w:r>
        <w:rPr>
          <w:noProof/>
        </w:rPr>
        <w:t>7.</w:t>
      </w:r>
      <w:r>
        <w:rPr>
          <w:noProof/>
        </w:rPr>
        <w:tab/>
        <w:t>Soovitused</w:t>
      </w:r>
      <w:bookmarkEnd w:id="84"/>
      <w:bookmarkEnd w:id="85"/>
    </w:p>
    <w:p>
      <w:pPr>
        <w:pStyle w:val="Text1"/>
        <w:rPr>
          <w:iCs/>
          <w:noProof/>
        </w:rPr>
      </w:pPr>
      <w:r>
        <w:rPr>
          <w:noProof/>
        </w:rPr>
        <w:t>Vahehindamine näitab ISA</w:t>
      </w:r>
      <w:r>
        <w:rPr>
          <w:noProof/>
          <w:vertAlign w:val="superscript"/>
        </w:rPr>
        <w:t>2</w:t>
      </w:r>
      <w:r>
        <w:rPr>
          <w:noProof/>
        </w:rPr>
        <w:t xml:space="preserve"> programmi senist tulemuslikkust positiivses valguses. Sellegipoolest leiti ka valdkondi, kus on arenguruumi. Allpool esitatud soovitustes ongi käsitletud programmi neid aspekte ning välja on toodud nii lühi- kui ka pikemaajalised meetmed. Lühiajalised meetmed on sellised, mida saaks rakendada ISA</w:t>
      </w:r>
      <w:r>
        <w:rPr>
          <w:noProof/>
          <w:vertAlign w:val="superscript"/>
        </w:rPr>
        <w:t>2</w:t>
      </w:r>
      <w:r>
        <w:rPr>
          <w:noProof/>
        </w:rPr>
        <w:t xml:space="preserve"> viimases jooksvas tööprogrammis 2020. aastal ja uuele mitmeaastasele finantsraamistikule</w:t>
      </w:r>
      <w:r>
        <w:rPr>
          <w:rStyle w:val="FootnoteReference"/>
          <w:noProof/>
        </w:rPr>
        <w:footnoteReference w:id="23"/>
      </w:r>
      <w:r>
        <w:rPr>
          <w:noProof/>
        </w:rPr>
        <w:t xml:space="preserve"> ülemineku perioodil. Pikemaajaliste meetmete puhul kuluks tulemuste saavutamiseks rohkem aastaid.</w:t>
      </w:r>
    </w:p>
    <w:p>
      <w:pPr>
        <w:pStyle w:val="ManualHeading2"/>
        <w:rPr>
          <w:noProof/>
        </w:rPr>
      </w:pPr>
      <w:bookmarkStart w:id="86" w:name="_Toc14258933"/>
      <w:bookmarkStart w:id="87" w:name="_Toc17971617"/>
      <w:r>
        <w:rPr>
          <w:noProof/>
        </w:rPr>
        <w:t>7.1.</w:t>
      </w:r>
      <w:r>
        <w:rPr>
          <w:noProof/>
        </w:rPr>
        <w:tab/>
        <w:t>Teadlikkuse suurendamine ka mujal peale riikide haldusasutuste</w:t>
      </w:r>
      <w:bookmarkEnd w:id="86"/>
      <w:bookmarkEnd w:id="87"/>
    </w:p>
    <w:p>
      <w:pPr>
        <w:pStyle w:val="Text1"/>
        <w:rPr>
          <w:noProof/>
        </w:rPr>
      </w:pPr>
      <w:r>
        <w:rPr>
          <w:noProof/>
        </w:rPr>
        <w:t>Komisjon jätkab ISA</w:t>
      </w:r>
      <w:r>
        <w:rPr>
          <w:noProof/>
          <w:vertAlign w:val="superscript"/>
        </w:rPr>
        <w:t>2</w:t>
      </w:r>
      <w:r>
        <w:rPr>
          <w:noProof/>
        </w:rPr>
        <w:t xml:space="preserve"> programmi</w:t>
      </w:r>
      <w:r>
        <w:rPr>
          <w:noProof/>
          <w:vertAlign w:val="superscript"/>
        </w:rPr>
        <w:t xml:space="preserve"> </w:t>
      </w:r>
      <w:r>
        <w:rPr>
          <w:noProof/>
        </w:rPr>
        <w:t xml:space="preserve">kaudu oma jõupingutusi, et suurendada Euroopa avaliku sektori teadlikkust koostalitlusvõimest, mis on üks peamisi digiüleminekut võimaldavaid tegureid, ning tagab selleks eelkõige tihedama koostöö kohalike ja piirkondlike omavalitsustega. </w:t>
      </w:r>
    </w:p>
    <w:p>
      <w:pPr>
        <w:pStyle w:val="Text1"/>
        <w:rPr>
          <w:noProof/>
        </w:rPr>
      </w:pPr>
      <w:r>
        <w:rPr>
          <w:noProof/>
        </w:rPr>
        <w:t>Alustuseks tuleks kavandada sihipärane edendustegevus, mis tõstaks esile ISA</w:t>
      </w:r>
      <w:r>
        <w:rPr>
          <w:noProof/>
          <w:vertAlign w:val="superscript"/>
        </w:rPr>
        <w:t>2</w:t>
      </w:r>
      <w:r>
        <w:rPr>
          <w:noProof/>
        </w:rPr>
        <w:t xml:space="preserve"> koostalitlusvõimealaste lahenduste (korduv)kasutamise eelised. Et sellele sõnumile kaalu anda, võiks 2020. aastal teha uuringud, mõõtmaks, kuidas mõningad ISA</w:t>
      </w:r>
      <w:r>
        <w:rPr>
          <w:noProof/>
          <w:vertAlign w:val="superscript"/>
        </w:rPr>
        <w:t>2</w:t>
      </w:r>
      <w:r>
        <w:rPr>
          <w:noProof/>
        </w:rPr>
        <w:t xml:space="preserve"> lahendused mõjutavad haldusasutuste tõhusust ja produktiivsust.</w:t>
      </w:r>
    </w:p>
    <w:p>
      <w:pPr>
        <w:pStyle w:val="Text1"/>
        <w:rPr>
          <w:noProof/>
        </w:rPr>
      </w:pPr>
      <w:r>
        <w:rPr>
          <w:noProof/>
        </w:rPr>
        <w:t>ISA</w:t>
      </w:r>
      <w:r>
        <w:rPr>
          <w:noProof/>
          <w:vertAlign w:val="superscript"/>
        </w:rPr>
        <w:t>2</w:t>
      </w:r>
      <w:r>
        <w:rPr>
          <w:noProof/>
        </w:rPr>
        <w:t xml:space="preserve"> viimases etapis tuleks veelgi kindlamalt tagada, et haldusasutused, teadusringkonnad ja huvitatud spetsialistid jagaksid omavahel parimaid tavasid. Programmi hiljuti käivitatud koostalitlusvõime akadeemia meetme raames tuleks välja töötada ka sobivad õppematerjalid.</w:t>
      </w:r>
    </w:p>
    <w:p>
      <w:pPr>
        <w:pStyle w:val="Text1"/>
        <w:rPr>
          <w:noProof/>
        </w:rPr>
      </w:pPr>
      <w:r>
        <w:rPr>
          <w:noProof/>
        </w:rPr>
        <w:t>Eespool väljapakutud meetmete mõju suurendamiseks peaksid ISA</w:t>
      </w:r>
      <w:r>
        <w:rPr>
          <w:noProof/>
          <w:vertAlign w:val="superscript"/>
        </w:rPr>
        <w:t>2</w:t>
      </w:r>
      <w:r>
        <w:rPr>
          <w:noProof/>
        </w:rPr>
        <w:t xml:space="preserve"> meetmete haldajad veelgi rohkem kaasama võimalikke mõjuisikuid (nt teadlased, vastutavad riigiametnikud), et luua nn koostalitlusvõime saadikute kogukond.</w:t>
      </w:r>
    </w:p>
    <w:p>
      <w:pPr>
        <w:pStyle w:val="Text1"/>
        <w:rPr>
          <w:noProof/>
        </w:rPr>
      </w:pPr>
      <w:r>
        <w:rPr>
          <w:noProof/>
        </w:rPr>
        <w:t>Pikemas perspektiivis tuleks koostalitlusvõime valdkonnas arendada nõustamissuutlikkust. See aitaks huvitatud sidusrühmadel valida oma vajadustele vastavad sobivad koostalitlusvõimealased lahendused ning tagaks tugiteenused ja tehnilise abi lahenduste tulemuslikuks rakendamiseks.</w:t>
      </w:r>
    </w:p>
    <w:p>
      <w:pPr>
        <w:pStyle w:val="ManualHeading2"/>
        <w:rPr>
          <w:noProof/>
        </w:rPr>
      </w:pPr>
      <w:bookmarkStart w:id="88" w:name="_Toc14258934"/>
      <w:bookmarkStart w:id="89" w:name="_Toc16843412"/>
      <w:bookmarkStart w:id="90" w:name="_Toc17971618"/>
      <w:r>
        <w:rPr>
          <w:noProof/>
        </w:rPr>
        <w:t>7.2.</w:t>
      </w:r>
      <w:r>
        <w:rPr>
          <w:noProof/>
        </w:rPr>
        <w:tab/>
        <w:t>Mitte üksnes kasutajakesksed, vaid kasutajate vajadustest lähtuvad lahendused</w:t>
      </w:r>
      <w:bookmarkEnd w:id="88"/>
      <w:bookmarkEnd w:id="89"/>
      <w:bookmarkEnd w:id="90"/>
    </w:p>
    <w:p>
      <w:pPr>
        <w:pStyle w:val="Text1"/>
        <w:rPr>
          <w:noProof/>
        </w:rPr>
      </w:pPr>
      <w:r>
        <w:rPr>
          <w:noProof/>
        </w:rPr>
        <w:t>Programmi kasulikkuse suurendamiseks võiks ISA</w:t>
      </w:r>
      <w:r>
        <w:rPr>
          <w:noProof/>
          <w:vertAlign w:val="superscript"/>
        </w:rPr>
        <w:t>2</w:t>
      </w:r>
      <w:r>
        <w:rPr>
          <w:noProof/>
        </w:rPr>
        <w:t xml:space="preserve"> parandada olemasolevate lahenduste kvaliteeti, võttes paremini arvesse kasutajate vajadusi. Selle käsitlusviisi võiks aluseks võtta ISA</w:t>
      </w:r>
      <w:r>
        <w:rPr>
          <w:noProof/>
          <w:vertAlign w:val="superscript"/>
        </w:rPr>
        <w:t>2</w:t>
      </w:r>
      <w:r>
        <w:rPr>
          <w:noProof/>
        </w:rPr>
        <w:t xml:space="preserve"> viimase tööprogrammi rakendamisel, edendades seega Euroopa koostalitlusvõime raamistiku kasutajakesksuse põhimõtet nii komisjonis kui ka liikmesriikides.</w:t>
      </w:r>
    </w:p>
    <w:p>
      <w:pPr>
        <w:pStyle w:val="Text1"/>
        <w:rPr>
          <w:noProof/>
        </w:rPr>
      </w:pPr>
      <w:r>
        <w:rPr>
          <w:noProof/>
        </w:rPr>
        <w:t>Lähiaastatel on aga soovitatav minna kasutajakesksuselt üle kasutajate vajadustest lähtuvale käsitlusviisile, mille puhul kasutajad kaasatakse koostalitlusvõimealase lahenduse kavandamise etappi. Sellist ühisloome protsessi võiks edendada koostalitlusvõime inkubaator, mis võimaldaks ohutus keskkonnas uusi kasutajatele suunatud lahendusi katsetada ja prototüüpe välja töötada. Inkubaator aitaks kujunemisjärgus tehnoloogiat kasutusele võtta ning teerajajatest haldusasutustel uuenduslikke tavasid vahetada.</w:t>
      </w:r>
    </w:p>
    <w:p>
      <w:pPr>
        <w:pStyle w:val="Text1"/>
        <w:rPr>
          <w:noProof/>
        </w:rPr>
      </w:pPr>
      <w:r>
        <w:rPr>
          <w:noProof/>
        </w:rPr>
        <w:t>Mis puutub selles aruandes esitatud kahte esimesse soovitusse, näitab komisjoni digitaalne strateegia,</w:t>
      </w:r>
      <w:r>
        <w:rPr>
          <w:rStyle w:val="FootnoteReference"/>
          <w:noProof/>
        </w:rPr>
        <w:footnoteReference w:id="24"/>
      </w:r>
      <w:r>
        <w:rPr>
          <w:noProof/>
        </w:rPr>
        <w:t xml:space="preserve"> et komisjon peab oma lubadusi: nii koostalitlusvõime kui ka kasutajakesksus on strateegia peamiste põhimõtete hulgas ning üheks lähtepunktiks on Euroopa koostalitlusvõime raamistik. Lisaks on ISA</w:t>
      </w:r>
      <w:r>
        <w:rPr>
          <w:noProof/>
          <w:vertAlign w:val="superscript"/>
        </w:rPr>
        <w:t>2</w:t>
      </w:r>
      <w:r>
        <w:rPr>
          <w:noProof/>
        </w:rPr>
        <w:t xml:space="preserve"> programmil strateegia käimasoleval rakendamisel konsulteeriv roll ning programm aitab komisjonil mitmesugustes poliitikavaldkondades olemasolevaid IT-süsteeme moderniseerida ja koostalitlusvõimel põhinevaid uusi digitaalseid lahendusi välja töötada.</w:t>
      </w:r>
    </w:p>
    <w:p>
      <w:pPr>
        <w:pStyle w:val="ManualHeading2"/>
        <w:rPr>
          <w:noProof/>
        </w:rPr>
      </w:pPr>
      <w:bookmarkStart w:id="91" w:name="_Toc14258935"/>
      <w:bookmarkStart w:id="92" w:name="_Toc16843413"/>
      <w:bookmarkStart w:id="93" w:name="_Toc17971619"/>
      <w:r>
        <w:rPr>
          <w:noProof/>
        </w:rPr>
        <w:t>7.3.</w:t>
      </w:r>
      <w:r>
        <w:rPr>
          <w:noProof/>
        </w:rPr>
        <w:tab/>
        <w:t>Tingimuste loomine suuremaks jätkusuutlikkuseks</w:t>
      </w:r>
      <w:bookmarkEnd w:id="91"/>
      <w:bookmarkEnd w:id="92"/>
      <w:bookmarkEnd w:id="93"/>
    </w:p>
    <w:p>
      <w:pPr>
        <w:pStyle w:val="Text1"/>
        <w:rPr>
          <w:noProof/>
        </w:rPr>
      </w:pPr>
      <w:r>
        <w:rPr>
          <w:noProof/>
        </w:rPr>
        <w:t>Vahehindamise käigus leiti ISA</w:t>
      </w:r>
      <w:r>
        <w:rPr>
          <w:noProof/>
          <w:vertAlign w:val="superscript"/>
        </w:rPr>
        <w:t>2</w:t>
      </w:r>
      <w:r>
        <w:rPr>
          <w:noProof/>
        </w:rPr>
        <w:t xml:space="preserve"> programmi ELi lisaväärtust ja jätkusuutlikkust hinnates, et programmil on oluline osa Euroopa avalikus sektoris ühtse koostalitlusmaastiku loomisel. ISA</w:t>
      </w:r>
      <w:r>
        <w:rPr>
          <w:noProof/>
          <w:vertAlign w:val="superscript"/>
        </w:rPr>
        <w:t>2</w:t>
      </w:r>
      <w:r>
        <w:rPr>
          <w:noProof/>
        </w:rPr>
        <w:t xml:space="preserve"> aitab ka liikmesriikide haldusasutuste jaoks välja töötada ja kasutusele võtta piiriüleseid ja valdkondadevahelisi digitaalseid lahendusi. Samuti aitab ISA</w:t>
      </w:r>
      <w:r>
        <w:rPr>
          <w:noProof/>
          <w:vertAlign w:val="superscript"/>
        </w:rPr>
        <w:t>2</w:t>
      </w:r>
      <w:r>
        <w:rPr>
          <w:noProof/>
        </w:rPr>
        <w:t xml:space="preserve"> edendada ühist poliitikat, mis tugineb suuresti sellistele omavahel ühendatud ja koostalitlusvõimelistele võrgustikele ja süsteemidele.</w:t>
      </w:r>
    </w:p>
    <w:p>
      <w:pPr>
        <w:pStyle w:val="Text1"/>
        <w:rPr>
          <w:noProof/>
        </w:rPr>
      </w:pPr>
      <w:r>
        <w:rPr>
          <w:noProof/>
        </w:rPr>
        <w:t>Pärast ISA</w:t>
      </w:r>
      <w:r>
        <w:rPr>
          <w:noProof/>
          <w:vertAlign w:val="superscript"/>
        </w:rPr>
        <w:t>2</w:t>
      </w:r>
      <w:r>
        <w:rPr>
          <w:noProof/>
        </w:rPr>
        <w:t xml:space="preserve"> programmi lõppu on äärmiselt oluline säilitada ja suurendada Euroopa haldusasutuste koostöö tegemise suutlikkust, et saavutada vastastikku kasulikud eesmärgid, ning selleks tuleb muu hulgas jagada teavet ja teadmisi, mis on üldise koostalitlusvõime alus. Selleks on tarvis tugevat poliitilist tahet ja piisavat rahastust. Mis puutub poliitilisse tahtesse, kinnitasid kogu Euroopa e-valitsuse poliitika eest vastutavad ministrid Tallinna deklaratsioonis e-valitsuse kohta, et nende eesmärk on luua kodanikukesksed avalikud teenused, mis on vaikimisi digitaalsed, ning saavutada Euroopa koostalitlusvõime raamistikus esitatud visioon. Koostalitlusvõime tulevane rahastus on ette nähtud digitaalse Euroopa programmis,</w:t>
      </w:r>
      <w:r>
        <w:rPr>
          <w:rStyle w:val="FootnoteReference"/>
          <w:noProof/>
        </w:rPr>
        <w:footnoteReference w:id="25"/>
      </w:r>
      <w:r>
        <w:rPr>
          <w:noProof/>
        </w:rPr>
        <w:t xml:space="preserve"> mis on üks komisjoni valdkonnapõhiseid ettepanekuid mitmeaastase finantsraamistiku 2021–2027 õigusaktide paketis.</w:t>
      </w:r>
    </w:p>
    <w:p>
      <w:pPr>
        <w:pStyle w:val="Text1"/>
        <w:rPr>
          <w:noProof/>
        </w:rPr>
      </w:pPr>
      <w:r>
        <w:rPr>
          <w:noProof/>
        </w:rPr>
        <w:t>Lisaks peaks komisjon võtma arvesse ISA</w:t>
      </w:r>
      <w:r>
        <w:rPr>
          <w:noProof/>
          <w:vertAlign w:val="superscript"/>
        </w:rPr>
        <w:t>2</w:t>
      </w:r>
      <w:r>
        <w:rPr>
          <w:noProof/>
        </w:rPr>
        <w:t xml:space="preserve"> ja teiste ELi programmide vahelist koostoimet, et edendada Euroopa koostalitlusvõime raamistikku ja koostalitlusvõimet üldiselt ning soodustada ISA</w:t>
      </w:r>
      <w:r>
        <w:rPr>
          <w:noProof/>
          <w:vertAlign w:val="superscript"/>
        </w:rPr>
        <w:t>2</w:t>
      </w:r>
      <w:r>
        <w:rPr>
          <w:noProof/>
        </w:rPr>
        <w:t xml:space="preserve"> lahenduste laialdast korduvkasutamist. Lisaks võib see käsitlusviis kaasa tuua tõhusa ja ühtse programmijuhtimise, mis toetab digitaalse Euroopa programmi ettepaneku elluviimist tulevikus.</w:t>
      </w:r>
    </w:p>
    <w:p>
      <w:pPr>
        <w:pStyle w:val="Text1"/>
        <w:rPr>
          <w:noProof/>
        </w:rPr>
      </w:pPr>
      <w:r>
        <w:rPr>
          <w:noProof/>
        </w:rPr>
        <w:t>Samal ajal ettevalmistustega uue mitmeaastase finantsraamistiku programmide käikulaskmiseks on soovitatav uurida võimalusi suurendada olemasolevate ISA</w:t>
      </w:r>
      <w:r>
        <w:rPr>
          <w:noProof/>
          <w:vertAlign w:val="superscript"/>
        </w:rPr>
        <w:t>2</w:t>
      </w:r>
      <w:r>
        <w:rPr>
          <w:noProof/>
        </w:rPr>
        <w:t xml:space="preserve"> lahendustega saavutatud tulemuste jätkusuutlikkust. Tuleks hinnata mitmesuguste jätkusuutlikkuse meetmete teostatavust ja kulusid ning komisjon peaks nendesse investeerima. Näiteks võiks komisjon kaaluda mõne ISA</w:t>
      </w:r>
      <w:r>
        <w:rPr>
          <w:noProof/>
          <w:vertAlign w:val="superscript"/>
        </w:rPr>
        <w:t>2</w:t>
      </w:r>
      <w:r>
        <w:rPr>
          <w:noProof/>
        </w:rPr>
        <w:t xml:space="preserve"> lahenduse üleandmist avatud lähtekoodi kogukondadele või ettevõtjate innustamist looma teenuseid tasuta ISA</w:t>
      </w:r>
      <w:r>
        <w:rPr>
          <w:noProof/>
          <w:vertAlign w:val="superscript"/>
        </w:rPr>
        <w:t>2</w:t>
      </w:r>
      <w:r>
        <w:rPr>
          <w:noProof/>
        </w:rPr>
        <w:t xml:space="preserve"> lahenduste põhjal, kasutades Euroopa Liidu tarkvara vaba kasutuse litsentsi</w:t>
      </w:r>
      <w:r>
        <w:rPr>
          <w:rStyle w:val="FootnoteReference"/>
          <w:noProof/>
        </w:rPr>
        <w:footnoteReference w:id="26"/>
      </w:r>
      <w:r>
        <w:rPr>
          <w:noProof/>
        </w:rPr>
        <w:t>.</w:t>
      </w:r>
    </w:p>
    <w:p>
      <w:pPr>
        <w:pStyle w:val="Text1"/>
        <w:rPr>
          <w:noProof/>
        </w:rPr>
      </w:pPr>
      <w:r>
        <w:rPr>
          <w:noProof/>
        </w:rPr>
        <w:t>Samuti võib komisjonil olla kasulik hinnata põhjalikult võimaliku koostalitlusvõimet käsitleva siduva õigusakti aluspõhimõtteid ja mõju. Selline hindamine peaks põhinema ISA</w:t>
      </w:r>
      <w:r>
        <w:rPr>
          <w:noProof/>
          <w:vertAlign w:val="superscript"/>
        </w:rPr>
        <w:t>2</w:t>
      </w:r>
      <w:r>
        <w:rPr>
          <w:noProof/>
        </w:rPr>
        <w:t xml:space="preserve"> programmi lõpphindamisel ja tõendusmaterjalil, mis kogutakse Euroopa koostalitlusvõime raamistiku rakendamise hindamisel 2021. aastal.</w:t>
      </w:r>
    </w:p>
    <w:p>
      <w:pPr>
        <w:pStyle w:val="ManualHeading1"/>
        <w:rPr>
          <w:noProof/>
        </w:rPr>
      </w:pPr>
      <w:bookmarkStart w:id="94" w:name="_Toc14258936"/>
      <w:bookmarkStart w:id="95" w:name="_Toc16843414"/>
      <w:bookmarkStart w:id="96" w:name="_Toc17971620"/>
      <w:r>
        <w:rPr>
          <w:noProof/>
        </w:rPr>
        <w:t>8.</w:t>
      </w:r>
      <w:r>
        <w:rPr>
          <w:noProof/>
        </w:rPr>
        <w:tab/>
        <w:t>Edasised sammud</w:t>
      </w:r>
      <w:bookmarkEnd w:id="94"/>
      <w:bookmarkEnd w:id="95"/>
      <w:bookmarkEnd w:id="96"/>
    </w:p>
    <w:p>
      <w:pPr>
        <w:pStyle w:val="Text1"/>
        <w:rPr>
          <w:noProof/>
        </w:rPr>
      </w:pPr>
      <w:r>
        <w:rPr>
          <w:noProof/>
        </w:rPr>
        <w:t>ISA² programmi käimasoleval rakendamisel pöörab komisjon hoolega tähelepanu eespool kirjeldatud tähelepanekutele ja soovitustele ning analüüsib neid, et tõstatatud probleeme hinnata ja lahendada, tehes vajaduse korral tihedat koostööd liikmesriikidega. ISA² programmi vahehindamisel esitatud tähelepanekuid ja soovitusi võetakse arvesse ka uutele mitmeaastase finantsraamistiku programmidele üleminekul.</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81988170"/>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Euroopa Parlamendi ja nõukogu 25. novembri 2015. aasta otsus (EL) 2015/2240, millega luuakse Euroopa haldusasutuste, ettevõtete ja kodanike jaoks koostalitlusvõime alaste lahenduste ja ühiste raamistike programm (ISA</w:t>
      </w:r>
      <w:r>
        <w:rPr>
          <w:rFonts w:ascii="Times New Roman" w:hAnsi="Times New Roman"/>
          <w:vertAlign w:val="superscript"/>
        </w:rPr>
        <w:t>2</w:t>
      </w:r>
      <w:r>
        <w:rPr>
          <w:rFonts w:ascii="Times New Roman" w:hAnsi="Times New Roman"/>
        </w:rPr>
        <w:t xml:space="preserve"> programm) kui avaliku sektori ajakohastamise vahend (ELT L 318, 4.12.2015, lk 1).</w:t>
      </w:r>
    </w:p>
  </w:footnote>
  <w:footnote w:id="3">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Euroopa Parlamendi ja nõukogu 16. septembri 2009. aasta otsus nr 922/2009/EÜ Euroopa haldusasutuste koosvõimealaste lahenduste kohta (ISA) (ELT L 260, 3.10.2009, lk 20).</w:t>
      </w:r>
    </w:p>
  </w:footnote>
  <w:footnote w:id="4">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Hindamisprotsessi üksikasjad, tulemused ja tõendusmaterjal on saadaval komisjoni talituste töödokumendis: SWD(2019) 1615 final.</w:t>
      </w:r>
    </w:p>
  </w:footnote>
  <w:footnote w:id="5">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Sõltumatute</w:t>
      </w:r>
      <w:r>
        <w:t xml:space="preserve"> </w:t>
      </w:r>
      <w:hyperlink r:id="rId1">
        <w:r>
          <w:rPr>
            <w:rStyle w:val="Hyperlink"/>
            <w:rFonts w:ascii="Times New Roman" w:hAnsi="Times New Roman"/>
          </w:rPr>
          <w:t>ekspertide hindamisuuring</w:t>
        </w:r>
      </w:hyperlink>
      <w:r>
        <w:t xml:space="preserve"> </w:t>
      </w:r>
      <w:r>
        <w:rPr>
          <w:rFonts w:ascii="Times New Roman" w:hAnsi="Times New Roman"/>
        </w:rPr>
        <w:t xml:space="preserve">on saadaval veebiaadressil </w:t>
      </w:r>
      <w:hyperlink r:id="rId2">
        <w:r>
          <w:rPr>
            <w:rStyle w:val="Hyperlink"/>
            <w:rFonts w:ascii="Times New Roman" w:hAnsi="Times New Roman"/>
          </w:rPr>
          <w:t>https://data.europa.eu/doi/10.2799/13397</w:t>
        </w:r>
      </w:hyperlink>
    </w:p>
  </w:footnote>
  <w:footnote w:id="6">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 xml:space="preserve">Rühma kuulusid sidevõrkude, sisu ja tehnoloogia peadirektoraat (CNECT), informaatika peadirektoraat (DIGIT), tööhõive, sotsiaalküsimuste ja </w:t>
      </w:r>
      <w:r>
        <w:rPr>
          <w:rFonts w:ascii="Times New Roman" w:hAnsi="Times New Roman" w:cs="Times New Roman"/>
        </w:rPr>
        <w:br/>
      </w:r>
      <w:r>
        <w:rPr>
          <w:rFonts w:ascii="Times New Roman" w:hAnsi="Times New Roman"/>
        </w:rPr>
        <w:t xml:space="preserve">võrdsete võimaluste peadirektoraat (EMPL), finantsstabiilsuse, finantsteenuste ja </w:t>
      </w:r>
      <w:r>
        <w:rPr>
          <w:rFonts w:ascii="Times New Roman" w:hAnsi="Times New Roman" w:cs="Times New Roman"/>
        </w:rPr>
        <w:br/>
      </w:r>
      <w:r>
        <w:rPr>
          <w:rFonts w:ascii="Times New Roman" w:hAnsi="Times New Roman"/>
        </w:rPr>
        <w:t>kapitaliturgude peadirektoraat (FISMA), siseturu, tööstuse, ettevõtluse ja VKEde peadirektoraat (GROW), Euroopa Liidu Väljaannete Talitus, peasekretariaat, maksunduse ja tolliliidu peadirektoraat (TAXUD) ning Teadusuuringute Ühiskeskus.</w:t>
      </w:r>
    </w:p>
  </w:footnote>
  <w:footnote w:id="7">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ISA</w:t>
      </w:r>
      <w:r>
        <w:rPr>
          <w:rFonts w:ascii="Times New Roman" w:hAnsi="Times New Roman"/>
          <w:vertAlign w:val="superscript"/>
        </w:rPr>
        <w:t>2</w:t>
      </w:r>
      <w:r>
        <w:rPr>
          <w:rFonts w:ascii="Times New Roman" w:hAnsi="Times New Roman"/>
        </w:rPr>
        <w:t xml:space="preserve"> programmi käsitleva otsuse artikli 1 lõige 1 (vt joonealune märkus </w:t>
      </w:r>
      <w:r>
        <w:rPr>
          <w:rFonts w:ascii="Times New Roman" w:hAnsi="Times New Roman" w:cs="Times New Roman"/>
        </w:rPr>
        <w:fldChar w:fldCharType="begin"/>
      </w:r>
      <w:r>
        <w:rPr>
          <w:rFonts w:ascii="Times New Roman" w:hAnsi="Times New Roman" w:cs="Times New Roman"/>
        </w:rPr>
        <w:instrText xml:space="preserve"> NOTEREF _Ref8041302 \h  \* MERGEFORMAT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rPr>
        <w:t>).</w:t>
      </w:r>
    </w:p>
  </w:footnote>
  <w:footnote w:id="8">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ISA</w:t>
      </w:r>
      <w:r>
        <w:rPr>
          <w:rFonts w:ascii="Times New Roman" w:hAnsi="Times New Roman"/>
          <w:vertAlign w:val="superscript"/>
        </w:rPr>
        <w:t>2</w:t>
      </w:r>
      <w:r>
        <w:rPr>
          <w:rFonts w:ascii="Times New Roman" w:hAnsi="Times New Roman"/>
        </w:rPr>
        <w:t xml:space="preserve"> programmi käsitleva otsuse artikli 1 lõige 3 (vt joonealune märkus </w:t>
      </w:r>
      <w:r>
        <w:rPr>
          <w:rFonts w:ascii="Times New Roman" w:hAnsi="Times New Roman" w:cs="Times New Roman"/>
        </w:rPr>
        <w:fldChar w:fldCharType="begin"/>
      </w:r>
      <w:r>
        <w:rPr>
          <w:rFonts w:ascii="Times New Roman" w:hAnsi="Times New Roman" w:cs="Times New Roman"/>
        </w:rPr>
        <w:instrText xml:space="preserve"> NOTEREF _Ref8041302 \h  \* MERGEFORMAT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rPr>
        <w:t>).</w:t>
      </w:r>
    </w:p>
  </w:footnote>
  <w:footnote w:id="9">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Komisjoni teatis Euroopa Parlamendile, nõukogule, Euroopa Majandus- ja Sotsiaalkomiteele ning Regioonide Komiteele „Euroopa koostalitlusvõime raamistik. Rakendusstrateegia“, Brüssel, 23.3.2017, COM(2017) 134 final.</w:t>
      </w:r>
    </w:p>
  </w:footnote>
  <w:footnote w:id="10">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Komisjoni teatis Euroopa Parlamendile, nõukogule, Euroopa Majandus- ja Sotsiaalkomiteele ning Regioonide Komiteele „Euroopa digitaalse ühtse turu strateegia“, Brüssel, 6.5.2015, COM(2015) 192 final.</w:t>
      </w:r>
    </w:p>
  </w:footnote>
  <w:footnote w:id="11">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Komisjoni teatis Euroopa Parlamendile, nõukogule, Euroopa Majandus- ja Sotsiaalkomiteele ning Regioonide Komiteele „ELi e-valitsuse tegevuskava 2016–2020. Valitsussektori digitaalse arengu kiirendamine“, COM(2016) 179 final.</w:t>
      </w:r>
    </w:p>
  </w:footnote>
  <w:footnote w:id="12">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Tallinna deklaratsioon e-valitsuse kohta ministrite kohtumisel 6. oktoobril 2017 Eesti ELi nõukogu eesistumise ajal.</w:t>
      </w:r>
    </w:p>
  </w:footnote>
  <w:footnote w:id="13">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Euroopa Parlamendi ja nõukogu 2. oktoobri 2018. aasta määrus (EL) 2018/1724, millega luuakse ühtne digivärav teabele ja menetlustele ning abi- ja probleemilahendamisteenustele juurdepääsu pakkumiseks ning millega muudetakse määrust (EL) nr 1024/2012 (ELT L 295, 21.11.2018, lk 1–38).</w:t>
      </w:r>
    </w:p>
  </w:footnote>
  <w:footnote w:id="14">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Euroopa Parlamendi ja nõukogu 11. detsembri 2013. aasta määrus (EL) nr 1316/2013, millega luuakse Euroopa ühendamise rahastu, muudetakse määrust (EL) nr 913/2010 ja tunnistatakse kehtetuks määrused (EÜ) nr 680/2007 ja (EÜ) nr 67/2010 (ELT L 384, 20.12.2013, lk 129–171).</w:t>
      </w:r>
    </w:p>
  </w:footnote>
  <w:footnote w:id="15">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Euroopa Parlamendi ja nõukogu 23. oktoobri 2018. aasta määrus (EL) 2018/1671, millega muudetakse määrust (EL) 2017/825, et suurendada struktuurireformi tugiprogrammi rahastamispaketti ja muuta selle üldeesmärki (ELT L 284, 12.11.2018, lk 3–5).</w:t>
      </w:r>
    </w:p>
  </w:footnote>
  <w:footnote w:id="16">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 xml:space="preserve">See seiremehhanism hõlmab ka Euroopa koostalitlusvõime raamistikku käsitleva teatise (joonealune märkus </w:t>
      </w:r>
      <w:r>
        <w:rPr>
          <w:rFonts w:ascii="Times New Roman" w:hAnsi="Times New Roman" w:cs="Times New Roman"/>
        </w:rPr>
        <w:fldChar w:fldCharType="begin"/>
      </w:r>
      <w:r>
        <w:rPr>
          <w:rFonts w:ascii="Times New Roman" w:hAnsi="Times New Roman" w:cs="Times New Roman"/>
        </w:rPr>
        <w:instrText xml:space="preserve"> NOTEREF _Ref8200566 \h  \* MERGEFORMAT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rPr>
        <w:t>) I lisas kirjeldatud koostalitlusvõime tegevuskava elluviimist.</w:t>
      </w:r>
    </w:p>
  </w:footnote>
  <w:footnote w:id="17">
    <w:p>
      <w:pPr>
        <w:pStyle w:val="FootnoteText"/>
        <w:rPr>
          <w:rFonts w:ascii="Times New Roman" w:hAnsi="Times New Roman" w:cs="Times New Roman"/>
        </w:rPr>
      </w:pPr>
      <w:r>
        <w:rPr>
          <w:rStyle w:val="FootnoteReference"/>
          <w:rFonts w:ascii="Times New Roman" w:hAnsi="Times New Roman"/>
        </w:rPr>
        <w:footnoteRef/>
      </w:r>
      <w:r>
        <w:tab/>
        <w:t xml:space="preserve">Tulemustabel tehakse kättesaadavaks 2020. aastal </w:t>
      </w:r>
      <w:hyperlink r:id="rId3">
        <w:r>
          <w:rPr>
            <w:rStyle w:val="Hyperlink"/>
            <w:rFonts w:ascii="Times New Roman" w:hAnsi="Times New Roman"/>
          </w:rPr>
          <w:t>platvormi Joinup</w:t>
        </w:r>
      </w:hyperlink>
      <w:r>
        <w:t xml:space="preserve"> NIFO osas.</w:t>
      </w:r>
    </w:p>
  </w:footnote>
  <w:footnote w:id="18">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 xml:space="preserve">Vt Euroopa koostalitlusvõime raamistikku käsitleva teatise (joonealune märkus </w:t>
      </w:r>
      <w:r>
        <w:rPr>
          <w:rFonts w:ascii="Times New Roman" w:hAnsi="Times New Roman" w:cs="Times New Roman"/>
        </w:rPr>
        <w:fldChar w:fldCharType="begin"/>
      </w:r>
      <w:r>
        <w:rPr>
          <w:rFonts w:ascii="Times New Roman" w:hAnsi="Times New Roman" w:cs="Times New Roman"/>
        </w:rPr>
        <w:instrText xml:space="preserve"> NOTEREF _Ref8200566 \h  \* MERGEFORMAT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rPr>
        <w:t>) jaotis 6.</w:t>
      </w:r>
    </w:p>
  </w:footnote>
  <w:footnote w:id="19">
    <w:p>
      <w:pPr>
        <w:pStyle w:val="FootnoteText"/>
        <w:rPr>
          <w:rFonts w:ascii="Times New Roman" w:hAnsi="Times New Roman" w:cs="Times New Roman"/>
        </w:rPr>
      </w:pPr>
      <w:r>
        <w:rPr>
          <w:rStyle w:val="FootnoteReference"/>
          <w:rFonts w:ascii="Times New Roman" w:hAnsi="Times New Roman"/>
        </w:rPr>
        <w:footnoteRef/>
      </w:r>
      <w:r>
        <w:tab/>
        <w:t xml:space="preserve">Vt Euroopa Komisjoni parema õigusloome </w:t>
      </w:r>
      <w:hyperlink r:id="rId4">
        <w:r>
          <w:rPr>
            <w:rStyle w:val="Hyperlink"/>
            <w:rFonts w:ascii="Times New Roman" w:hAnsi="Times New Roman"/>
          </w:rPr>
          <w:t>vahend nr 47</w:t>
        </w:r>
      </w:hyperlink>
      <w:r>
        <w:t>.</w:t>
      </w:r>
    </w:p>
  </w:footnote>
  <w:footnote w:id="20">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Konfidentsiaalsuse ja andmekaitsega seotud põhjustel palus hindamisrühm meetmete haldajatel võtta ühendust oma lahenduste kasutajatega, olles konsulteerimisel vahendajate rollis. See kaheastmeline käsitlusviis võis saadud vastuste hulka vähendada.</w:t>
      </w:r>
    </w:p>
  </w:footnote>
  <w:footnote w:id="21">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Komisjoni aruanne Euroopa Parlamendile ja nõukogule „ISA programmi lõpphindamise tulemused“, Brüssel, 1.9.2016, COM(2016) 550 final.</w:t>
      </w:r>
    </w:p>
  </w:footnote>
  <w:footnote w:id="22">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 xml:space="preserve">Vt: </w:t>
      </w:r>
      <w:hyperlink r:id="rId5">
        <w:r>
          <w:rPr>
            <w:rStyle w:val="Hyperlink"/>
            <w:rFonts w:ascii="Times New Roman" w:hAnsi="Times New Roman"/>
          </w:rPr>
          <w:t>https://ec.europa.eu/digital-single-market/en/rolling-plan-ict-standardisation</w:t>
        </w:r>
      </w:hyperlink>
    </w:p>
  </w:footnote>
  <w:footnote w:id="23">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 xml:space="preserve">Vt: </w:t>
      </w:r>
      <w:hyperlink r:id="rId6">
        <w:r>
          <w:rPr>
            <w:rStyle w:val="Hyperlink"/>
            <w:rFonts w:ascii="Times New Roman" w:hAnsi="Times New Roman"/>
          </w:rPr>
          <w:t>https://ec.europa.eu/commission/future-europe/eu-budget-future_et</w:t>
        </w:r>
      </w:hyperlink>
      <w:r>
        <w:rPr>
          <w:rFonts w:ascii="Times New Roman" w:hAnsi="Times New Roman"/>
        </w:rPr>
        <w:t>.</w:t>
      </w:r>
    </w:p>
  </w:footnote>
  <w:footnote w:id="24">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Dokument „Communication to the Commission. European Commission Digital Strategy – A digitally transformed, user-focused and data-driven Commission“ (Teatis komisjonile „Euroopa Komisjoni digistrateegia: digitaalselt ümberkorraldatud, kasutajakeskne ja andmepõhine komisjon“), Brüssel, 21.11.2018, C(2018) 7118 final.</w:t>
      </w:r>
    </w:p>
  </w:footnote>
  <w:footnote w:id="25">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Ettepanek: Euroopa Parlamendi ja nõukogu määrus, millega kehtestatakse ajavahemikuks 2021–2027 digitaalse Euroopa programm. Brüssel, 6.6.2018, COM(2018) 434 final.</w:t>
      </w:r>
    </w:p>
  </w:footnote>
  <w:footnote w:id="26">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 xml:space="preserve">Vt: </w:t>
      </w:r>
      <w:hyperlink r:id="rId7">
        <w:r>
          <w:rPr>
            <w:rStyle w:val="Hyperlink"/>
            <w:rFonts w:ascii="Times New Roman" w:hAnsi="Times New Roman"/>
          </w:rPr>
          <w:t>https://eupl.eu/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C15"/>
    <w:multiLevelType w:val="hybridMultilevel"/>
    <w:tmpl w:val="E1481A72"/>
    <w:lvl w:ilvl="0" w:tplc="A360433E">
      <w:start w:val="1"/>
      <w:numFmt w:val="bullet"/>
      <w:pStyle w:val="ListBullet"/>
      <w:lvlText w:val=""/>
      <w:lvlJc w:val="left"/>
      <w:pPr>
        <w:ind w:left="720" w:hanging="360"/>
      </w:pPr>
      <w:rPr>
        <w:rFonts w:ascii="Symbol" w:hAnsi="Symbol" w:hint="default"/>
        <w:color w:val="317C6F"/>
      </w:rPr>
    </w:lvl>
    <w:lvl w:ilvl="1" w:tplc="0409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D0295"/>
    <w:multiLevelType w:val="hybridMultilevel"/>
    <w:tmpl w:val="641E5986"/>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
    <w:nsid w:val="0A15096D"/>
    <w:multiLevelType w:val="hybridMultilevel"/>
    <w:tmpl w:val="4344075E"/>
    <w:lvl w:ilvl="0" w:tplc="08090001">
      <w:start w:val="1"/>
      <w:numFmt w:val="bullet"/>
      <w:lvlText w:val=""/>
      <w:lvlJc w:val="left"/>
      <w:pPr>
        <w:ind w:left="1210" w:hanging="360"/>
      </w:pPr>
      <w:rPr>
        <w:rFonts w:ascii="Symbol" w:hAnsi="Symbol" w:hint="default"/>
      </w:rPr>
    </w:lvl>
    <w:lvl w:ilvl="1" w:tplc="08090003">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
    <w:nsid w:val="0E0C221F"/>
    <w:multiLevelType w:val="hybridMultilevel"/>
    <w:tmpl w:val="78A82598"/>
    <w:lvl w:ilvl="0" w:tplc="DCBE2958">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4">
    <w:nsid w:val="0FC9543B"/>
    <w:multiLevelType w:val="hybridMultilevel"/>
    <w:tmpl w:val="4D9489DC"/>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5">
    <w:nsid w:val="1BBF28C1"/>
    <w:multiLevelType w:val="hybridMultilevel"/>
    <w:tmpl w:val="682CF7A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C274753"/>
    <w:multiLevelType w:val="hybridMultilevel"/>
    <w:tmpl w:val="07D273E2"/>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7">
    <w:nsid w:val="1E705ED7"/>
    <w:multiLevelType w:val="hybridMultilevel"/>
    <w:tmpl w:val="64D48596"/>
    <w:lvl w:ilvl="0" w:tplc="08090001">
      <w:start w:val="1"/>
      <w:numFmt w:val="bullet"/>
      <w:lvlText w:val=""/>
      <w:lvlJc w:val="left"/>
      <w:pPr>
        <w:ind w:left="1752" w:hanging="360"/>
      </w:pPr>
      <w:rPr>
        <w:rFonts w:ascii="Symbol" w:hAnsi="Symbol"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8">
    <w:nsid w:val="28BA310B"/>
    <w:multiLevelType w:val="hybridMultilevel"/>
    <w:tmpl w:val="5F42E9AE"/>
    <w:lvl w:ilvl="0" w:tplc="A360433E">
      <w:start w:val="1"/>
      <w:numFmt w:val="bullet"/>
      <w:lvlText w:val=""/>
      <w:lvlJc w:val="left"/>
      <w:pPr>
        <w:ind w:left="720" w:hanging="360"/>
      </w:pPr>
      <w:rPr>
        <w:rFonts w:ascii="Symbol" w:hAnsi="Symbol" w:hint="default"/>
        <w:color w:val="317C6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8E74EA3"/>
    <w:multiLevelType w:val="hybridMultilevel"/>
    <w:tmpl w:val="2B105734"/>
    <w:lvl w:ilvl="0" w:tplc="A360433E">
      <w:start w:val="1"/>
      <w:numFmt w:val="bullet"/>
      <w:lvlText w:val=""/>
      <w:lvlJc w:val="left"/>
      <w:pPr>
        <w:ind w:left="720" w:hanging="360"/>
      </w:pPr>
      <w:rPr>
        <w:rFonts w:ascii="Symbol" w:hAnsi="Symbol" w:hint="default"/>
        <w:color w:val="317C6F"/>
        <w:sz w:val="22"/>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A014D5"/>
    <w:multiLevelType w:val="hybridMultilevel"/>
    <w:tmpl w:val="1D2464FE"/>
    <w:lvl w:ilvl="0" w:tplc="08090001">
      <w:start w:val="1"/>
      <w:numFmt w:val="bullet"/>
      <w:lvlText w:val=""/>
      <w:lvlJc w:val="left"/>
      <w:pPr>
        <w:ind w:left="1570" w:hanging="360"/>
      </w:pPr>
      <w:rPr>
        <w:rFonts w:ascii="Symbol" w:hAnsi="Symbol" w:hint="default"/>
      </w:rPr>
    </w:lvl>
    <w:lvl w:ilvl="1" w:tplc="08090001">
      <w:start w:val="1"/>
      <w:numFmt w:val="bullet"/>
      <w:lvlText w:val=""/>
      <w:lvlJc w:val="left"/>
      <w:pPr>
        <w:ind w:left="2290" w:hanging="360"/>
      </w:pPr>
      <w:rPr>
        <w:rFonts w:ascii="Symbol" w:hAnsi="Symbol"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1">
    <w:nsid w:val="2A9D1105"/>
    <w:multiLevelType w:val="hybridMultilevel"/>
    <w:tmpl w:val="5B38C7DA"/>
    <w:lvl w:ilvl="0" w:tplc="A360433E">
      <w:start w:val="1"/>
      <w:numFmt w:val="bullet"/>
      <w:lvlText w:val=""/>
      <w:lvlJc w:val="left"/>
      <w:pPr>
        <w:ind w:left="720" w:hanging="360"/>
      </w:pPr>
      <w:rPr>
        <w:rFonts w:ascii="Symbol" w:hAnsi="Symbol" w:hint="default"/>
        <w:color w:val="317C6F"/>
      </w:rPr>
    </w:lvl>
    <w:lvl w:ilvl="1" w:tplc="7E8E6EEC">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CC466B"/>
    <w:multiLevelType w:val="hybridMultilevel"/>
    <w:tmpl w:val="6FF8E88A"/>
    <w:lvl w:ilvl="0" w:tplc="0809000F">
      <w:start w:val="1"/>
      <w:numFmt w:val="decimal"/>
      <w:lvlText w:val="%1."/>
      <w:lvlJc w:val="left"/>
      <w:pPr>
        <w:ind w:left="1570" w:hanging="360"/>
      </w:pPr>
      <w:rPr>
        <w:rFonts w:hint="default"/>
      </w:rPr>
    </w:lvl>
    <w:lvl w:ilvl="1" w:tplc="08090001">
      <w:start w:val="1"/>
      <w:numFmt w:val="bullet"/>
      <w:lvlText w:val=""/>
      <w:lvlJc w:val="left"/>
      <w:pPr>
        <w:ind w:left="2290" w:hanging="360"/>
      </w:pPr>
      <w:rPr>
        <w:rFonts w:ascii="Symbol" w:hAnsi="Symbol"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3">
    <w:nsid w:val="3755738D"/>
    <w:multiLevelType w:val="hybridMultilevel"/>
    <w:tmpl w:val="82D80D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15">
    <w:nsid w:val="43776382"/>
    <w:multiLevelType w:val="hybridMultilevel"/>
    <w:tmpl w:val="7646DECE"/>
    <w:lvl w:ilvl="0" w:tplc="A360433E">
      <w:start w:val="1"/>
      <w:numFmt w:val="bullet"/>
      <w:lvlText w:val=""/>
      <w:lvlJc w:val="left"/>
      <w:pPr>
        <w:ind w:left="720" w:hanging="360"/>
      </w:pPr>
      <w:rPr>
        <w:rFonts w:ascii="Symbol" w:hAnsi="Symbol" w:hint="default"/>
        <w:color w:val="317C6F"/>
        <w:sz w:val="22"/>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7F6685"/>
    <w:multiLevelType w:val="hybridMultilevel"/>
    <w:tmpl w:val="73DA06EA"/>
    <w:lvl w:ilvl="0" w:tplc="08090001">
      <w:start w:val="1"/>
      <w:numFmt w:val="bullet"/>
      <w:lvlText w:val=""/>
      <w:lvlJc w:val="left"/>
      <w:pPr>
        <w:ind w:left="1634" w:hanging="360"/>
      </w:pPr>
      <w:rPr>
        <w:rFonts w:ascii="Symbol" w:hAnsi="Symbol" w:hint="default"/>
      </w:rPr>
    </w:lvl>
    <w:lvl w:ilvl="1" w:tplc="08090003" w:tentative="1">
      <w:start w:val="1"/>
      <w:numFmt w:val="bullet"/>
      <w:lvlText w:val="o"/>
      <w:lvlJc w:val="left"/>
      <w:pPr>
        <w:ind w:left="2354" w:hanging="360"/>
      </w:pPr>
      <w:rPr>
        <w:rFonts w:ascii="Courier New" w:hAnsi="Courier New" w:cs="Courier New" w:hint="default"/>
      </w:rPr>
    </w:lvl>
    <w:lvl w:ilvl="2" w:tplc="08090005" w:tentative="1">
      <w:start w:val="1"/>
      <w:numFmt w:val="bullet"/>
      <w:lvlText w:val=""/>
      <w:lvlJc w:val="left"/>
      <w:pPr>
        <w:ind w:left="3074" w:hanging="360"/>
      </w:pPr>
      <w:rPr>
        <w:rFonts w:ascii="Wingdings" w:hAnsi="Wingdings" w:hint="default"/>
      </w:rPr>
    </w:lvl>
    <w:lvl w:ilvl="3" w:tplc="08090001" w:tentative="1">
      <w:start w:val="1"/>
      <w:numFmt w:val="bullet"/>
      <w:lvlText w:val=""/>
      <w:lvlJc w:val="left"/>
      <w:pPr>
        <w:ind w:left="3794" w:hanging="360"/>
      </w:pPr>
      <w:rPr>
        <w:rFonts w:ascii="Symbol" w:hAnsi="Symbol" w:hint="default"/>
      </w:rPr>
    </w:lvl>
    <w:lvl w:ilvl="4" w:tplc="08090003" w:tentative="1">
      <w:start w:val="1"/>
      <w:numFmt w:val="bullet"/>
      <w:lvlText w:val="o"/>
      <w:lvlJc w:val="left"/>
      <w:pPr>
        <w:ind w:left="4514" w:hanging="360"/>
      </w:pPr>
      <w:rPr>
        <w:rFonts w:ascii="Courier New" w:hAnsi="Courier New" w:cs="Courier New" w:hint="default"/>
      </w:rPr>
    </w:lvl>
    <w:lvl w:ilvl="5" w:tplc="08090005" w:tentative="1">
      <w:start w:val="1"/>
      <w:numFmt w:val="bullet"/>
      <w:lvlText w:val=""/>
      <w:lvlJc w:val="left"/>
      <w:pPr>
        <w:ind w:left="5234" w:hanging="360"/>
      </w:pPr>
      <w:rPr>
        <w:rFonts w:ascii="Wingdings" w:hAnsi="Wingdings" w:hint="default"/>
      </w:rPr>
    </w:lvl>
    <w:lvl w:ilvl="6" w:tplc="08090001" w:tentative="1">
      <w:start w:val="1"/>
      <w:numFmt w:val="bullet"/>
      <w:lvlText w:val=""/>
      <w:lvlJc w:val="left"/>
      <w:pPr>
        <w:ind w:left="5954" w:hanging="360"/>
      </w:pPr>
      <w:rPr>
        <w:rFonts w:ascii="Symbol" w:hAnsi="Symbol" w:hint="default"/>
      </w:rPr>
    </w:lvl>
    <w:lvl w:ilvl="7" w:tplc="08090003" w:tentative="1">
      <w:start w:val="1"/>
      <w:numFmt w:val="bullet"/>
      <w:lvlText w:val="o"/>
      <w:lvlJc w:val="left"/>
      <w:pPr>
        <w:ind w:left="6674" w:hanging="360"/>
      </w:pPr>
      <w:rPr>
        <w:rFonts w:ascii="Courier New" w:hAnsi="Courier New" w:cs="Courier New" w:hint="default"/>
      </w:rPr>
    </w:lvl>
    <w:lvl w:ilvl="8" w:tplc="08090005" w:tentative="1">
      <w:start w:val="1"/>
      <w:numFmt w:val="bullet"/>
      <w:lvlText w:val=""/>
      <w:lvlJc w:val="left"/>
      <w:pPr>
        <w:ind w:left="7394" w:hanging="360"/>
      </w:pPr>
      <w:rPr>
        <w:rFonts w:ascii="Wingdings" w:hAnsi="Wingdings" w:hint="default"/>
      </w:rPr>
    </w:lvl>
  </w:abstractNum>
  <w:abstractNum w:abstractNumId="17">
    <w:nsid w:val="462C38C1"/>
    <w:multiLevelType w:val="hybridMultilevel"/>
    <w:tmpl w:val="E5E043A0"/>
    <w:lvl w:ilvl="0" w:tplc="08090001">
      <w:start w:val="1"/>
      <w:numFmt w:val="bullet"/>
      <w:lvlText w:val=""/>
      <w:lvlJc w:val="left"/>
      <w:pPr>
        <w:ind w:left="1570" w:hanging="360"/>
      </w:pPr>
      <w:rPr>
        <w:rFonts w:ascii="Symbol" w:hAnsi="Symbol" w:hint="default"/>
      </w:rPr>
    </w:lvl>
    <w:lvl w:ilvl="1" w:tplc="08090003">
      <w:start w:val="1"/>
      <w:numFmt w:val="bullet"/>
      <w:lvlText w:val="o"/>
      <w:lvlJc w:val="left"/>
      <w:pPr>
        <w:ind w:left="2290" w:hanging="360"/>
      </w:pPr>
      <w:rPr>
        <w:rFonts w:ascii="Courier New" w:hAnsi="Courier New" w:cs="Courier New" w:hint="default"/>
      </w:rPr>
    </w:lvl>
    <w:lvl w:ilvl="2" w:tplc="08090005">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8">
    <w:nsid w:val="5A40038A"/>
    <w:multiLevelType w:val="hybridMultilevel"/>
    <w:tmpl w:val="57A83CB8"/>
    <w:lvl w:ilvl="0" w:tplc="D73CB27A">
      <w:start w:val="1"/>
      <w:numFmt w:val="decimal"/>
      <w:lvlText w:val="%1."/>
      <w:lvlJc w:val="left"/>
      <w:pPr>
        <w:ind w:left="1800" w:hanging="360"/>
      </w:pPr>
      <w:rPr>
        <w:b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5F423395"/>
    <w:multiLevelType w:val="hybridMultilevel"/>
    <w:tmpl w:val="2E42023C"/>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start w:val="1"/>
      <w:numFmt w:val="bullet"/>
      <w:lvlText w:val=""/>
      <w:lvlJc w:val="left"/>
      <w:pPr>
        <w:ind w:left="2642" w:hanging="360"/>
      </w:pPr>
      <w:rPr>
        <w:rFonts w:ascii="Wingdings" w:hAnsi="Wingdings" w:hint="default"/>
      </w:rPr>
    </w:lvl>
    <w:lvl w:ilvl="3" w:tplc="08090001">
      <w:start w:val="1"/>
      <w:numFmt w:val="bullet"/>
      <w:lvlText w:val=""/>
      <w:lvlJc w:val="left"/>
      <w:pPr>
        <w:ind w:left="3362" w:hanging="360"/>
      </w:pPr>
      <w:rPr>
        <w:rFonts w:ascii="Symbol" w:hAnsi="Symbol" w:hint="default"/>
      </w:rPr>
    </w:lvl>
    <w:lvl w:ilvl="4" w:tplc="08090003">
      <w:start w:val="1"/>
      <w:numFmt w:val="bullet"/>
      <w:lvlText w:val="o"/>
      <w:lvlJc w:val="left"/>
      <w:pPr>
        <w:ind w:left="4082" w:hanging="360"/>
      </w:pPr>
      <w:rPr>
        <w:rFonts w:ascii="Courier New" w:hAnsi="Courier New" w:cs="Courier New" w:hint="default"/>
      </w:rPr>
    </w:lvl>
    <w:lvl w:ilvl="5" w:tplc="08090005">
      <w:start w:val="1"/>
      <w:numFmt w:val="bullet"/>
      <w:lvlText w:val=""/>
      <w:lvlJc w:val="left"/>
      <w:pPr>
        <w:ind w:left="4802" w:hanging="360"/>
      </w:pPr>
      <w:rPr>
        <w:rFonts w:ascii="Wingdings" w:hAnsi="Wingdings" w:hint="default"/>
      </w:rPr>
    </w:lvl>
    <w:lvl w:ilvl="6" w:tplc="08090001">
      <w:start w:val="1"/>
      <w:numFmt w:val="bullet"/>
      <w:lvlText w:val=""/>
      <w:lvlJc w:val="left"/>
      <w:pPr>
        <w:ind w:left="5522" w:hanging="360"/>
      </w:pPr>
      <w:rPr>
        <w:rFonts w:ascii="Symbol" w:hAnsi="Symbol" w:hint="default"/>
      </w:rPr>
    </w:lvl>
    <w:lvl w:ilvl="7" w:tplc="08090003">
      <w:start w:val="1"/>
      <w:numFmt w:val="bullet"/>
      <w:lvlText w:val="o"/>
      <w:lvlJc w:val="left"/>
      <w:pPr>
        <w:ind w:left="6242" w:hanging="360"/>
      </w:pPr>
      <w:rPr>
        <w:rFonts w:ascii="Courier New" w:hAnsi="Courier New" w:cs="Courier New" w:hint="default"/>
      </w:rPr>
    </w:lvl>
    <w:lvl w:ilvl="8" w:tplc="08090005">
      <w:start w:val="1"/>
      <w:numFmt w:val="bullet"/>
      <w:lvlText w:val=""/>
      <w:lvlJc w:val="left"/>
      <w:pPr>
        <w:ind w:left="6962" w:hanging="360"/>
      </w:pPr>
      <w:rPr>
        <w:rFonts w:ascii="Wingdings" w:hAnsi="Wingdings" w:hint="default"/>
      </w:rPr>
    </w:lvl>
  </w:abstractNum>
  <w:abstractNum w:abstractNumId="20">
    <w:nsid w:val="67FA37F4"/>
    <w:multiLevelType w:val="hybridMultilevel"/>
    <w:tmpl w:val="B7C81FEA"/>
    <w:lvl w:ilvl="0" w:tplc="A360433E">
      <w:start w:val="1"/>
      <w:numFmt w:val="bullet"/>
      <w:lvlText w:val=""/>
      <w:lvlJc w:val="left"/>
      <w:pPr>
        <w:ind w:left="720" w:hanging="360"/>
      </w:pPr>
      <w:rPr>
        <w:rFonts w:ascii="Symbol" w:hAnsi="Symbol" w:hint="default"/>
        <w:color w:val="317C6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350044"/>
    <w:multiLevelType w:val="hybridMultilevel"/>
    <w:tmpl w:val="B09015C0"/>
    <w:lvl w:ilvl="0" w:tplc="08090001">
      <w:start w:val="1"/>
      <w:numFmt w:val="bullet"/>
      <w:lvlText w:val=""/>
      <w:lvlJc w:val="left"/>
      <w:pPr>
        <w:ind w:left="1634" w:hanging="360"/>
      </w:pPr>
      <w:rPr>
        <w:rFonts w:ascii="Symbol" w:hAnsi="Symbol" w:hint="default"/>
      </w:rPr>
    </w:lvl>
    <w:lvl w:ilvl="1" w:tplc="08090003" w:tentative="1">
      <w:start w:val="1"/>
      <w:numFmt w:val="bullet"/>
      <w:lvlText w:val="o"/>
      <w:lvlJc w:val="left"/>
      <w:pPr>
        <w:ind w:left="2354" w:hanging="360"/>
      </w:pPr>
      <w:rPr>
        <w:rFonts w:ascii="Courier New" w:hAnsi="Courier New" w:cs="Courier New" w:hint="default"/>
      </w:rPr>
    </w:lvl>
    <w:lvl w:ilvl="2" w:tplc="08090005" w:tentative="1">
      <w:start w:val="1"/>
      <w:numFmt w:val="bullet"/>
      <w:lvlText w:val=""/>
      <w:lvlJc w:val="left"/>
      <w:pPr>
        <w:ind w:left="3074" w:hanging="360"/>
      </w:pPr>
      <w:rPr>
        <w:rFonts w:ascii="Wingdings" w:hAnsi="Wingdings" w:hint="default"/>
      </w:rPr>
    </w:lvl>
    <w:lvl w:ilvl="3" w:tplc="08090001" w:tentative="1">
      <w:start w:val="1"/>
      <w:numFmt w:val="bullet"/>
      <w:lvlText w:val=""/>
      <w:lvlJc w:val="left"/>
      <w:pPr>
        <w:ind w:left="3794" w:hanging="360"/>
      </w:pPr>
      <w:rPr>
        <w:rFonts w:ascii="Symbol" w:hAnsi="Symbol" w:hint="default"/>
      </w:rPr>
    </w:lvl>
    <w:lvl w:ilvl="4" w:tplc="08090003" w:tentative="1">
      <w:start w:val="1"/>
      <w:numFmt w:val="bullet"/>
      <w:lvlText w:val="o"/>
      <w:lvlJc w:val="left"/>
      <w:pPr>
        <w:ind w:left="4514" w:hanging="360"/>
      </w:pPr>
      <w:rPr>
        <w:rFonts w:ascii="Courier New" w:hAnsi="Courier New" w:cs="Courier New" w:hint="default"/>
      </w:rPr>
    </w:lvl>
    <w:lvl w:ilvl="5" w:tplc="08090005" w:tentative="1">
      <w:start w:val="1"/>
      <w:numFmt w:val="bullet"/>
      <w:lvlText w:val=""/>
      <w:lvlJc w:val="left"/>
      <w:pPr>
        <w:ind w:left="5234" w:hanging="360"/>
      </w:pPr>
      <w:rPr>
        <w:rFonts w:ascii="Wingdings" w:hAnsi="Wingdings" w:hint="default"/>
      </w:rPr>
    </w:lvl>
    <w:lvl w:ilvl="6" w:tplc="08090001" w:tentative="1">
      <w:start w:val="1"/>
      <w:numFmt w:val="bullet"/>
      <w:lvlText w:val=""/>
      <w:lvlJc w:val="left"/>
      <w:pPr>
        <w:ind w:left="5954" w:hanging="360"/>
      </w:pPr>
      <w:rPr>
        <w:rFonts w:ascii="Symbol" w:hAnsi="Symbol" w:hint="default"/>
      </w:rPr>
    </w:lvl>
    <w:lvl w:ilvl="7" w:tplc="08090003" w:tentative="1">
      <w:start w:val="1"/>
      <w:numFmt w:val="bullet"/>
      <w:lvlText w:val="o"/>
      <w:lvlJc w:val="left"/>
      <w:pPr>
        <w:ind w:left="6674" w:hanging="360"/>
      </w:pPr>
      <w:rPr>
        <w:rFonts w:ascii="Courier New" w:hAnsi="Courier New" w:cs="Courier New" w:hint="default"/>
      </w:rPr>
    </w:lvl>
    <w:lvl w:ilvl="8" w:tplc="08090005" w:tentative="1">
      <w:start w:val="1"/>
      <w:numFmt w:val="bullet"/>
      <w:lvlText w:val=""/>
      <w:lvlJc w:val="left"/>
      <w:pPr>
        <w:ind w:left="7394" w:hanging="360"/>
      </w:pPr>
      <w:rPr>
        <w:rFonts w:ascii="Wingdings" w:hAnsi="Wingdings" w:hint="default"/>
      </w:rPr>
    </w:lvl>
  </w:abstractNum>
  <w:abstractNum w:abstractNumId="22">
    <w:nsid w:val="6CF2537E"/>
    <w:multiLevelType w:val="hybridMultilevel"/>
    <w:tmpl w:val="A7B68336"/>
    <w:lvl w:ilvl="0" w:tplc="A360433E">
      <w:start w:val="1"/>
      <w:numFmt w:val="bullet"/>
      <w:lvlText w:val=""/>
      <w:lvlJc w:val="left"/>
      <w:pPr>
        <w:ind w:left="720" w:hanging="360"/>
      </w:pPr>
      <w:rPr>
        <w:rFonts w:ascii="Symbol" w:hAnsi="Symbol" w:hint="default"/>
        <w:color w:val="317C6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5E77F3"/>
    <w:multiLevelType w:val="hybridMultilevel"/>
    <w:tmpl w:val="47DE9346"/>
    <w:lvl w:ilvl="0" w:tplc="A360433E">
      <w:start w:val="1"/>
      <w:numFmt w:val="bullet"/>
      <w:lvlText w:val=""/>
      <w:lvlJc w:val="left"/>
      <w:pPr>
        <w:ind w:left="720" w:hanging="360"/>
      </w:pPr>
      <w:rPr>
        <w:rFonts w:ascii="Symbol" w:hAnsi="Symbol" w:hint="default"/>
        <w:color w:val="317C6F"/>
        <w:sz w:val="22"/>
        <w:szCs w:val="16"/>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6F5A1D"/>
    <w:multiLevelType w:val="hybridMultilevel"/>
    <w:tmpl w:val="86B2D266"/>
    <w:lvl w:ilvl="0" w:tplc="A360433E">
      <w:start w:val="1"/>
      <w:numFmt w:val="bullet"/>
      <w:lvlText w:val=""/>
      <w:lvlJc w:val="left"/>
      <w:pPr>
        <w:ind w:left="720" w:hanging="360"/>
      </w:pPr>
      <w:rPr>
        <w:rFonts w:ascii="Symbol" w:hAnsi="Symbol" w:hint="default"/>
        <w:color w:val="317C6F"/>
        <w:sz w:val="22"/>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C26F71"/>
    <w:multiLevelType w:val="multilevel"/>
    <w:tmpl w:val="E01E770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A9F69E9"/>
    <w:multiLevelType w:val="hybridMultilevel"/>
    <w:tmpl w:val="A044BEF6"/>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7">
    <w:nsid w:val="7BA670F2"/>
    <w:multiLevelType w:val="hybridMultilevel"/>
    <w:tmpl w:val="7E6A3380"/>
    <w:lvl w:ilvl="0" w:tplc="08090003">
      <w:start w:val="1"/>
      <w:numFmt w:val="bullet"/>
      <w:lvlText w:val="o"/>
      <w:lvlJc w:val="left"/>
      <w:pPr>
        <w:ind w:left="2200" w:hanging="360"/>
      </w:pPr>
      <w:rPr>
        <w:rFonts w:ascii="Courier New" w:hAnsi="Courier New" w:cs="Courier New"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14"/>
  </w:num>
  <w:num w:numId="7">
    <w:abstractNumId w:val="6"/>
  </w:num>
  <w:num w:numId="8">
    <w:abstractNumId w:val="10"/>
  </w:num>
  <w:num w:numId="9">
    <w:abstractNumId w:val="12"/>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5"/>
  </w:num>
  <w:num w:numId="17">
    <w:abstractNumId w:val="11"/>
  </w:num>
  <w:num w:numId="18">
    <w:abstractNumId w:val="18"/>
  </w:num>
  <w:num w:numId="19">
    <w:abstractNumId w:val="3"/>
  </w:num>
  <w:num w:numId="20">
    <w:abstractNumId w:val="5"/>
  </w:num>
  <w:num w:numId="21">
    <w:abstractNumId w:val="13"/>
  </w:num>
  <w:num w:numId="22">
    <w:abstractNumId w:val="2"/>
  </w:num>
  <w:num w:numId="23">
    <w:abstractNumId w:val="17"/>
  </w:num>
  <w:num w:numId="24">
    <w:abstractNumId w:val="1"/>
  </w:num>
  <w:num w:numId="25">
    <w:abstractNumId w:val="26"/>
  </w:num>
  <w:num w:numId="26">
    <w:abstractNumId w:val="15"/>
  </w:num>
  <w:num w:numId="27">
    <w:abstractNumId w:val="24"/>
  </w:num>
  <w:num w:numId="28">
    <w:abstractNumId w:val="8"/>
  </w:num>
  <w:num w:numId="29">
    <w:abstractNumId w:val="0"/>
  </w:num>
  <w:num w:numId="30">
    <w:abstractNumId w:val="23"/>
  </w:num>
  <w:num w:numId="31">
    <w:abstractNumId w:val="9"/>
  </w:num>
  <w:num w:numId="32">
    <w:abstractNumId w:val="14"/>
  </w:num>
  <w:num w:numId="33">
    <w:abstractNumId w:val="14"/>
  </w:num>
  <w:num w:numId="34">
    <w:abstractNumId w:val="14"/>
  </w:num>
  <w:num w:numId="35">
    <w:abstractNumId w:val="16"/>
  </w:num>
  <w:num w:numId="36">
    <w:abstractNumId w:val="14"/>
  </w:num>
  <w:num w:numId="37">
    <w:abstractNumId w:val="21"/>
  </w:num>
  <w:num w:numId="38">
    <w:abstractNumId w:val="7"/>
  </w:num>
  <w:num w:numId="39">
    <w:abstractNumId w:val="4"/>
  </w:num>
  <w:num w:numId="40">
    <w:abstractNumId w:val="25"/>
  </w:num>
  <w:num w:numId="41">
    <w:abstractNumId w:val="20"/>
  </w:num>
  <w:num w:numId="42">
    <w:abstractNumId w:val="22"/>
  </w:num>
  <w:num w:numId="43">
    <w:abstractNumId w:val="25"/>
  </w:num>
  <w:num w:numId="44">
    <w:abstractNumId w:val="25"/>
  </w:num>
  <w:num w:numId="45">
    <w:abstractNumId w:val="25"/>
  </w:num>
  <w:num w:numId="46">
    <w:abstractNumId w:val="27"/>
  </w:num>
  <w:num w:numId="47">
    <w:abstractNumId w:val="14"/>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284"/>
  <w:characterSpacingControl w:val="doNotCompress"/>
  <w:hdrShapeDefaults>
    <o:shapedefaults v:ext="edit" spidmax="1085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39C30A0-4D80-497E-9DC2-AFC4C2B12D6A"/>
    <w:docVar w:name="LW_COVERPAGE_TYPE" w:val="1"/>
    <w:docVar w:name="LW_CROSSREFERENCE" w:val="{SWD(2019) 1615 final}"/>
    <w:docVar w:name="LW_DocType" w:val="NORMAL"/>
    <w:docVar w:name="LW_EMISSION" w:val="23.9.2019"/>
    <w:docVar w:name="LW_EMISSION_ISODATE" w:val="2019-09-23"/>
    <w:docVar w:name="LW_EMISSION_LOCATION" w:val="BRX"/>
    <w:docVar w:name="LW_EMISSION_PREFIX" w:val="Brüssel,"/>
    <w:docVar w:name="LW_EMISSION_SUFFIX" w:val=" "/>
    <w:docVar w:name="LW_ID_DOCTYPE_NONLW" w:val="CP-006"/>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9) 6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ISA² programmi vahendamise tulemused"/>
    <w:docVar w:name="LW_TYPE.DOC.CP" w:val="KOMISJONI ARUANNE EUROOPA PARLAMENDILE JA NÕUKOGULE"/>
    <w:docVar w:name="Stamp" w:val="\\dossiers.dgt.cec.eu.int\dossiers\DIGIT\DIGIT-2019-00032\DIGIT-2019-00032-00-00-EN-EDT-00.201907011015216541009.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5"/>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Normal"/>
    <w:link w:val="Heading2Char"/>
    <w:qFormat/>
    <w:pPr>
      <w:keepNext/>
      <w:numPr>
        <w:ilvl w:val="1"/>
        <w:numId w:val="5"/>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qFormat/>
    <w:pPr>
      <w:keepNext/>
      <w:numPr>
        <w:ilvl w:val="2"/>
        <w:numId w:val="5"/>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Normal"/>
    <w:link w:val="Heading4Char"/>
    <w:qFormat/>
    <w:pPr>
      <w:keepNext/>
      <w:numPr>
        <w:ilvl w:val="3"/>
        <w:numId w:val="5"/>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uiPriority w:val="99"/>
    <w:unhideWhenUsed/>
    <w:qFormat/>
    <w:pPr>
      <w:spacing w:after="0" w:line="240" w:lineRule="auto"/>
    </w:pPr>
    <w:rPr>
      <w:sz w:val="20"/>
      <w:szCs w:val="20"/>
    </w:rPr>
  </w:style>
  <w:style w:type="character" w:customStyle="1" w:styleId="FootnoteTextChar">
    <w:name w:val="Footnote Text Char"/>
    <w:aliases w:val="Footnote Char,single space Char,Fußnotentextf Char,fn Char,Schriftart: 9 pt Char,Schriftart: 10 pt Char,Schriftart: 8 pt Char,WB-Fußnotentext Char,Footnote Text2 Char,Footnote Text11 Char,ALTS FOOTNOTE11 Char,ALTS FOOTNOTE2 Char"/>
    <w:basedOn w:val="DefaultParagraphFont"/>
    <w:uiPriority w:val="99"/>
    <w:rPr>
      <w:sz w:val="20"/>
      <w:szCs w:val="20"/>
    </w:rPr>
  </w:style>
  <w:style w:type="character" w:styleId="Hyperlink">
    <w:name w:val="Hyperlink"/>
    <w:basedOn w:val="DefaultParagraphFont"/>
    <w:uiPriority w:val="99"/>
    <w:unhideWhenUsed/>
    <w:rPr>
      <w:strike w:val="0"/>
      <w:dstrike w:val="0"/>
      <w:color w:val="auto"/>
      <w:u w:val="none"/>
      <w:effect w:val="none"/>
    </w:rPr>
  </w:style>
  <w:style w:type="character" w:styleId="FootnoteReference">
    <w:name w:val="footnote reference"/>
    <w:aliases w:val="Footnote symbol,Voetnootverwijzing,Times 10 Point,Exposant 3 Point,Footnote Refernece,BVI fnr,Fußnotenzeichen_Raxen,callout,Footnote Reference Number,SUPERS,Footnote reference number,EN Footnote Reference,No,Appel note de bas de p,fr"/>
    <w:basedOn w:val="DefaultParagraphFont"/>
    <w:unhideWhenUsed/>
    <w:qFormat/>
    <w:rPr>
      <w:vertAlign w:val="superscript"/>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iret1">
    <w:name w:val="Tiret 1"/>
    <w:basedOn w:val="Normal"/>
    <w:pPr>
      <w:numPr>
        <w:numId w:val="6"/>
      </w:numPr>
      <w:spacing w:before="120" w:after="120" w:line="240" w:lineRule="auto"/>
      <w:jc w:val="both"/>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ListParagraph">
    <w:name w:val="List Paragraph"/>
    <w:aliases w:val="List Paragraph 2,1st level - Bullet List Paragraph,List Paragraph1,List Paragraph11,Lettre d'introduction,Medium Grid 1 - Accent 21,Normal bullet 2,Bullet list,Numbered List,Paragraphe de liste 2,Reference list,Paragraph,Bullet EY"/>
    <w:basedOn w:val="Normal"/>
    <w:uiPriority w:val="34"/>
    <w:qFormat/>
    <w:pPr>
      <w:spacing w:line="240" w:lineRule="auto"/>
      <w:ind w:left="720"/>
      <w:contextualSpacing/>
      <w:jc w:val="both"/>
    </w:pPr>
    <w:rPr>
      <w:rFonts w:ascii="Verdana" w:eastAsia="Times New Roman" w:hAnsi="Verdana" w:cs="Times New Roman"/>
      <w:sz w:val="20"/>
      <w:szCs w:val="20"/>
    </w:rPr>
  </w:style>
  <w:style w:type="character" w:styleId="CommentReference">
    <w:name w:val="annotation reference"/>
    <w:basedOn w:val="DefaultParagraphFont"/>
    <w:uiPriority w:val="99"/>
    <w:unhideWhenUsed/>
    <w:rPr>
      <w:rFonts w:cs="Times New Roman"/>
      <w:sz w:val="16"/>
      <w:szCs w:val="16"/>
    </w:rPr>
  </w:style>
  <w:style w:type="paragraph" w:styleId="CommentText">
    <w:name w:val="annotation text"/>
    <w:basedOn w:val="Normal"/>
    <w:link w:val="CommentTextChar"/>
    <w:uiPriority w:val="99"/>
    <w:unhideWhenUsed/>
    <w:pPr>
      <w:spacing w:line="240" w:lineRule="auto"/>
      <w:jc w:val="both"/>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rPr>
      <w:rFonts w:ascii="Verdana" w:eastAsia="Times New Roman" w:hAnsi="Verdana" w:cs="Times New Roman"/>
      <w:sz w:val="20"/>
      <w:szCs w:val="20"/>
      <w:lang w:val="et-E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OCHeading">
    <w:name w:val="TOC Heading"/>
    <w:basedOn w:val="Heading1"/>
    <w:next w:val="Normal"/>
    <w:uiPriority w:val="39"/>
    <w:unhideWhenUsed/>
    <w:qFormat/>
    <w:pPr>
      <w:keepLines/>
      <w:numPr>
        <w:numId w:val="0"/>
      </w:numPr>
      <w:spacing w:before="240" w:after="0" w:line="276" w:lineRule="auto"/>
      <w:jc w:val="left"/>
      <w:outlineLvl w:val="9"/>
    </w:pPr>
    <w:rPr>
      <w:rFonts w:asciiTheme="majorHAnsi" w:eastAsiaTheme="majorEastAsia" w:hAnsiTheme="majorHAnsi" w:cstheme="majorBidi"/>
      <w:b w:val="0"/>
      <w:bCs w:val="0"/>
      <w:smallCaps w:val="0"/>
      <w:color w:val="365F91" w:themeColor="accent1" w:themeShade="BF"/>
      <w:sz w:val="32"/>
    </w:rPr>
  </w:style>
  <w:style w:type="paragraph" w:styleId="ListBullet">
    <w:name w:val="List Bullet"/>
    <w:aliases w:val="List 1,Enum1,KS List Bullet Level 1,BULLET,*List Bullet,IPA Bullet"/>
    <w:basedOn w:val="Normal"/>
    <w:uiPriority w:val="99"/>
    <w:unhideWhenUsed/>
    <w:qFormat/>
    <w:pPr>
      <w:numPr>
        <w:numId w:val="29"/>
      </w:numPr>
      <w:spacing w:line="240" w:lineRule="auto"/>
      <w:contextualSpacing/>
      <w:jc w:val="both"/>
    </w:pPr>
    <w:rPr>
      <w:rFonts w:ascii="Verdana" w:eastAsia="Times New Roman" w:hAnsi="Verdana" w:cs="Times New Roman"/>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pPr>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Verdana" w:eastAsia="Times New Roman" w:hAnsi="Verdana" w:cs="Times New Roman"/>
      <w:b/>
      <w:bCs/>
      <w:sz w:val="20"/>
      <w:szCs w:val="20"/>
      <w:lang w:val="et-EE"/>
    </w:rPr>
  </w:style>
  <w:style w:type="paragraph" w:styleId="Revision">
    <w:name w:val="Revision"/>
    <w:hidden/>
    <w:uiPriority w:val="99"/>
    <w:semiHidden/>
    <w:pPr>
      <w:spacing w:after="0" w:line="240" w:lineRule="auto"/>
    </w:pPr>
  </w:style>
  <w:style w:type="character" w:styleId="Emphasis">
    <w:name w:val="Emphasis"/>
    <w:basedOn w:val="DefaultParagraphFont"/>
    <w:uiPriority w:val="20"/>
    <w:qFormat/>
    <w:rPr>
      <w:i/>
      <w:iCs/>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5"/>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Normal"/>
    <w:link w:val="Heading2Char"/>
    <w:qFormat/>
    <w:pPr>
      <w:keepNext/>
      <w:numPr>
        <w:ilvl w:val="1"/>
        <w:numId w:val="5"/>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qFormat/>
    <w:pPr>
      <w:keepNext/>
      <w:numPr>
        <w:ilvl w:val="2"/>
        <w:numId w:val="5"/>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Normal"/>
    <w:link w:val="Heading4Char"/>
    <w:qFormat/>
    <w:pPr>
      <w:keepNext/>
      <w:numPr>
        <w:ilvl w:val="3"/>
        <w:numId w:val="5"/>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uiPriority w:val="99"/>
    <w:unhideWhenUsed/>
    <w:qFormat/>
    <w:pPr>
      <w:spacing w:after="0" w:line="240" w:lineRule="auto"/>
    </w:pPr>
    <w:rPr>
      <w:sz w:val="20"/>
      <w:szCs w:val="20"/>
    </w:rPr>
  </w:style>
  <w:style w:type="character" w:customStyle="1" w:styleId="FootnoteTextChar">
    <w:name w:val="Footnote Text Char"/>
    <w:aliases w:val="Footnote Char,single space Char,Fußnotentextf Char,fn Char,Schriftart: 9 pt Char,Schriftart: 10 pt Char,Schriftart: 8 pt Char,WB-Fußnotentext Char,Footnote Text2 Char,Footnote Text11 Char,ALTS FOOTNOTE11 Char,ALTS FOOTNOTE2 Char"/>
    <w:basedOn w:val="DefaultParagraphFont"/>
    <w:uiPriority w:val="99"/>
    <w:rPr>
      <w:sz w:val="20"/>
      <w:szCs w:val="20"/>
    </w:rPr>
  </w:style>
  <w:style w:type="character" w:styleId="Hyperlink">
    <w:name w:val="Hyperlink"/>
    <w:basedOn w:val="DefaultParagraphFont"/>
    <w:uiPriority w:val="99"/>
    <w:unhideWhenUsed/>
    <w:rPr>
      <w:strike w:val="0"/>
      <w:dstrike w:val="0"/>
      <w:color w:val="auto"/>
      <w:u w:val="none"/>
      <w:effect w:val="none"/>
    </w:rPr>
  </w:style>
  <w:style w:type="character" w:styleId="FootnoteReference">
    <w:name w:val="footnote reference"/>
    <w:aliases w:val="Footnote symbol,Voetnootverwijzing,Times 10 Point,Exposant 3 Point,Footnote Refernece,BVI fnr,Fußnotenzeichen_Raxen,callout,Footnote Reference Number,SUPERS,Footnote reference number,EN Footnote Reference,No,Appel note de bas de p,fr"/>
    <w:basedOn w:val="DefaultParagraphFont"/>
    <w:unhideWhenUsed/>
    <w:qFormat/>
    <w:rPr>
      <w:vertAlign w:val="superscript"/>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iret1">
    <w:name w:val="Tiret 1"/>
    <w:basedOn w:val="Normal"/>
    <w:pPr>
      <w:numPr>
        <w:numId w:val="6"/>
      </w:numPr>
      <w:spacing w:before="120" w:after="120" w:line="240" w:lineRule="auto"/>
      <w:jc w:val="both"/>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ListParagraph">
    <w:name w:val="List Paragraph"/>
    <w:aliases w:val="List Paragraph 2,1st level - Bullet List Paragraph,List Paragraph1,List Paragraph11,Lettre d'introduction,Medium Grid 1 - Accent 21,Normal bullet 2,Bullet list,Numbered List,Paragraphe de liste 2,Reference list,Paragraph,Bullet EY"/>
    <w:basedOn w:val="Normal"/>
    <w:uiPriority w:val="34"/>
    <w:qFormat/>
    <w:pPr>
      <w:spacing w:line="240" w:lineRule="auto"/>
      <w:ind w:left="720"/>
      <w:contextualSpacing/>
      <w:jc w:val="both"/>
    </w:pPr>
    <w:rPr>
      <w:rFonts w:ascii="Verdana" w:eastAsia="Times New Roman" w:hAnsi="Verdana" w:cs="Times New Roman"/>
      <w:sz w:val="20"/>
      <w:szCs w:val="20"/>
    </w:rPr>
  </w:style>
  <w:style w:type="character" w:styleId="CommentReference">
    <w:name w:val="annotation reference"/>
    <w:basedOn w:val="DefaultParagraphFont"/>
    <w:uiPriority w:val="99"/>
    <w:unhideWhenUsed/>
    <w:rPr>
      <w:rFonts w:cs="Times New Roman"/>
      <w:sz w:val="16"/>
      <w:szCs w:val="16"/>
    </w:rPr>
  </w:style>
  <w:style w:type="paragraph" w:styleId="CommentText">
    <w:name w:val="annotation text"/>
    <w:basedOn w:val="Normal"/>
    <w:link w:val="CommentTextChar"/>
    <w:uiPriority w:val="99"/>
    <w:unhideWhenUsed/>
    <w:pPr>
      <w:spacing w:line="240" w:lineRule="auto"/>
      <w:jc w:val="both"/>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rPr>
      <w:rFonts w:ascii="Verdana" w:eastAsia="Times New Roman" w:hAnsi="Verdana" w:cs="Times New Roman"/>
      <w:sz w:val="20"/>
      <w:szCs w:val="20"/>
      <w:lang w:val="et-E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OCHeading">
    <w:name w:val="TOC Heading"/>
    <w:basedOn w:val="Heading1"/>
    <w:next w:val="Normal"/>
    <w:uiPriority w:val="39"/>
    <w:unhideWhenUsed/>
    <w:qFormat/>
    <w:pPr>
      <w:keepLines/>
      <w:numPr>
        <w:numId w:val="0"/>
      </w:numPr>
      <w:spacing w:before="240" w:after="0" w:line="276" w:lineRule="auto"/>
      <w:jc w:val="left"/>
      <w:outlineLvl w:val="9"/>
    </w:pPr>
    <w:rPr>
      <w:rFonts w:asciiTheme="majorHAnsi" w:eastAsiaTheme="majorEastAsia" w:hAnsiTheme="majorHAnsi" w:cstheme="majorBidi"/>
      <w:b w:val="0"/>
      <w:bCs w:val="0"/>
      <w:smallCaps w:val="0"/>
      <w:color w:val="365F91" w:themeColor="accent1" w:themeShade="BF"/>
      <w:sz w:val="32"/>
    </w:rPr>
  </w:style>
  <w:style w:type="paragraph" w:styleId="ListBullet">
    <w:name w:val="List Bullet"/>
    <w:aliases w:val="List 1,Enum1,KS List Bullet Level 1,BULLET,*List Bullet,IPA Bullet"/>
    <w:basedOn w:val="Normal"/>
    <w:uiPriority w:val="99"/>
    <w:unhideWhenUsed/>
    <w:qFormat/>
    <w:pPr>
      <w:numPr>
        <w:numId w:val="29"/>
      </w:numPr>
      <w:spacing w:line="240" w:lineRule="auto"/>
      <w:contextualSpacing/>
      <w:jc w:val="both"/>
    </w:pPr>
    <w:rPr>
      <w:rFonts w:ascii="Verdana" w:eastAsia="Times New Roman" w:hAnsi="Verdana" w:cs="Times New Roman"/>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pPr>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Verdana" w:eastAsia="Times New Roman" w:hAnsi="Verdana" w:cs="Times New Roman"/>
      <w:b/>
      <w:bCs/>
      <w:sz w:val="20"/>
      <w:szCs w:val="20"/>
      <w:lang w:val="et-EE"/>
    </w:rPr>
  </w:style>
  <w:style w:type="paragraph" w:styleId="Revision">
    <w:name w:val="Revision"/>
    <w:hidden/>
    <w:uiPriority w:val="99"/>
    <w:semiHidden/>
    <w:pPr>
      <w:spacing w:after="0" w:line="240" w:lineRule="auto"/>
    </w:pPr>
  </w:style>
  <w:style w:type="character" w:styleId="Emphasis">
    <w:name w:val="Emphasis"/>
    <w:basedOn w:val="DefaultParagraphFont"/>
    <w:uiPriority w:val="20"/>
    <w:qFormat/>
    <w:rPr>
      <w:i/>
      <w:iCs/>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6387">
      <w:bodyDiv w:val="1"/>
      <w:marLeft w:val="0"/>
      <w:marRight w:val="0"/>
      <w:marTop w:val="0"/>
      <w:marBottom w:val="0"/>
      <w:divBdr>
        <w:top w:val="none" w:sz="0" w:space="0" w:color="auto"/>
        <w:left w:val="none" w:sz="0" w:space="0" w:color="auto"/>
        <w:bottom w:val="none" w:sz="0" w:space="0" w:color="auto"/>
        <w:right w:val="none" w:sz="0" w:space="0" w:color="auto"/>
      </w:divBdr>
    </w:div>
    <w:div w:id="288364047">
      <w:bodyDiv w:val="1"/>
      <w:marLeft w:val="0"/>
      <w:marRight w:val="0"/>
      <w:marTop w:val="0"/>
      <w:marBottom w:val="0"/>
      <w:divBdr>
        <w:top w:val="none" w:sz="0" w:space="0" w:color="auto"/>
        <w:left w:val="none" w:sz="0" w:space="0" w:color="auto"/>
        <w:bottom w:val="none" w:sz="0" w:space="0" w:color="auto"/>
        <w:right w:val="none" w:sz="0" w:space="0" w:color="auto"/>
      </w:divBdr>
    </w:div>
    <w:div w:id="575016820">
      <w:bodyDiv w:val="1"/>
      <w:marLeft w:val="0"/>
      <w:marRight w:val="0"/>
      <w:marTop w:val="0"/>
      <w:marBottom w:val="0"/>
      <w:divBdr>
        <w:top w:val="none" w:sz="0" w:space="0" w:color="auto"/>
        <w:left w:val="none" w:sz="0" w:space="0" w:color="auto"/>
        <w:bottom w:val="none" w:sz="0" w:space="0" w:color="auto"/>
        <w:right w:val="none" w:sz="0" w:space="0" w:color="auto"/>
      </w:divBdr>
    </w:div>
    <w:div w:id="989089652">
      <w:bodyDiv w:val="1"/>
      <w:marLeft w:val="0"/>
      <w:marRight w:val="0"/>
      <w:marTop w:val="0"/>
      <w:marBottom w:val="0"/>
      <w:divBdr>
        <w:top w:val="none" w:sz="0" w:space="0" w:color="auto"/>
        <w:left w:val="none" w:sz="0" w:space="0" w:color="auto"/>
        <w:bottom w:val="none" w:sz="0" w:space="0" w:color="auto"/>
        <w:right w:val="none" w:sz="0" w:space="0" w:color="auto"/>
      </w:divBdr>
    </w:div>
    <w:div w:id="1211382059">
      <w:bodyDiv w:val="1"/>
      <w:marLeft w:val="0"/>
      <w:marRight w:val="0"/>
      <w:marTop w:val="0"/>
      <w:marBottom w:val="0"/>
      <w:divBdr>
        <w:top w:val="none" w:sz="0" w:space="0" w:color="auto"/>
        <w:left w:val="none" w:sz="0" w:space="0" w:color="auto"/>
        <w:bottom w:val="none" w:sz="0" w:space="0" w:color="auto"/>
        <w:right w:val="none" w:sz="0" w:space="0" w:color="auto"/>
      </w:divBdr>
    </w:div>
    <w:div w:id="1487042520">
      <w:bodyDiv w:val="1"/>
      <w:marLeft w:val="0"/>
      <w:marRight w:val="0"/>
      <w:marTop w:val="0"/>
      <w:marBottom w:val="0"/>
      <w:divBdr>
        <w:top w:val="none" w:sz="0" w:space="0" w:color="auto"/>
        <w:left w:val="none" w:sz="0" w:space="0" w:color="auto"/>
        <w:bottom w:val="none" w:sz="0" w:space="0" w:color="auto"/>
        <w:right w:val="none" w:sz="0" w:space="0" w:color="auto"/>
      </w:divBdr>
    </w:div>
    <w:div w:id="1590385794">
      <w:bodyDiv w:val="1"/>
      <w:marLeft w:val="0"/>
      <w:marRight w:val="0"/>
      <w:marTop w:val="0"/>
      <w:marBottom w:val="0"/>
      <w:divBdr>
        <w:top w:val="none" w:sz="0" w:space="0" w:color="auto"/>
        <w:left w:val="none" w:sz="0" w:space="0" w:color="auto"/>
        <w:bottom w:val="none" w:sz="0" w:space="0" w:color="auto"/>
        <w:right w:val="none" w:sz="0" w:space="0" w:color="auto"/>
      </w:divBdr>
    </w:div>
    <w:div w:id="1827361221">
      <w:bodyDiv w:val="1"/>
      <w:marLeft w:val="0"/>
      <w:marRight w:val="0"/>
      <w:marTop w:val="0"/>
      <w:marBottom w:val="0"/>
      <w:divBdr>
        <w:top w:val="none" w:sz="0" w:space="0" w:color="auto"/>
        <w:left w:val="none" w:sz="0" w:space="0" w:color="auto"/>
        <w:bottom w:val="none" w:sz="0" w:space="0" w:color="auto"/>
        <w:right w:val="none" w:sz="0" w:space="0" w:color="auto"/>
      </w:divBdr>
    </w:div>
    <w:div w:id="186686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joinup.ec.europa.eu/" TargetMode="External"/><Relationship Id="rId7" Type="http://schemas.openxmlformats.org/officeDocument/2006/relationships/hyperlink" Target="https://eupl.eu/" TargetMode="External"/><Relationship Id="rId2" Type="http://schemas.openxmlformats.org/officeDocument/2006/relationships/hyperlink" Target="https://data.europa.eu/doi/10.2799/13397" TargetMode="External"/><Relationship Id="rId1" Type="http://schemas.openxmlformats.org/officeDocument/2006/relationships/hyperlink" Target="https://data.europa.eu/doi/10.2799/13397" TargetMode="External"/><Relationship Id="rId6" Type="http://schemas.openxmlformats.org/officeDocument/2006/relationships/hyperlink" Target="https://ec.europa.eu/commission/future-europe/eu-budget-future_et" TargetMode="External"/><Relationship Id="rId5" Type="http://schemas.openxmlformats.org/officeDocument/2006/relationships/hyperlink" Target="https://ec.europa.eu/digital-single-market/en/rolling-plan-ict-standardisation" TargetMode="External"/><Relationship Id="rId4" Type="http://schemas.openxmlformats.org/officeDocument/2006/relationships/hyperlink" Target="https://ec.europa.eu/info/sites/info/files/file_import/better-regulation-toolbox-47_en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2A50989E4088EA419C817BD87C104EB4" ma:contentTypeVersion="0" ma:contentTypeDescription="Create a new document in this library." ma:contentTypeScope="" ma:versionID="612e2e245956acd297296943855c2174">
  <xsd:schema xmlns:xsd="http://www.w3.org/2001/XMLSchema" xmlns:xs="http://www.w3.org/2001/XMLSchema" xmlns:p="http://schemas.microsoft.com/office/2006/metadata/properties" xmlns:ns2="http://schemas.microsoft.com/sharepoint/v3/fields" xmlns:ns3="cd83a5d3-79be-4692-b88f-4021910b3d50" targetNamespace="http://schemas.microsoft.com/office/2006/metadata/properties" ma:root="true" ma:fieldsID="19ad96c91a85bead06ac02f45ecb6c5e" ns2:_="" ns3:_="">
    <xsd:import namespace="http://schemas.microsoft.com/sharepoint/v3/fields"/>
    <xsd:import namespace="cd83a5d3-79be-4692-b88f-4021910b3d50"/>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d83a5d3-79be-4692-b88f-4021910b3d5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cd83a5d3-79be-4692-b88f-4021910b3d50">1</EC_Collab_Reference>
    <EC_Collab_DocumentLanguage xmlns="cd83a5d3-79be-4692-b88f-4021910b3d50">EN</EC_Collab_DocumentLanguage>
    <EC_Collab_Status xmlns="cd83a5d3-79be-4692-b88f-4021910b3d50">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4CF0D41-EB76-40B3-96A5-DF0E79E8B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d83a5d3-79be-4692-b88f-4021910b3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F87E0-10A1-4BFE-B22E-254649663A23}">
  <ds:schemaRefs>
    <ds:schemaRef ds:uri="http://purl.org/dc/terms/"/>
    <ds:schemaRef ds:uri="http://schemas.openxmlformats.org/package/2006/metadata/core-properties"/>
    <ds:schemaRef ds:uri="cd83a5d3-79be-4692-b88f-4021910b3d50"/>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EF5893CF-D3A4-4785-9111-15DEEF3B1BC9}">
  <ds:schemaRefs>
    <ds:schemaRef ds:uri="http://schemas.microsoft.com/sharepoint/v3/contenttype/forms"/>
  </ds:schemaRefs>
</ds:datastoreItem>
</file>

<file path=customXml/itemProps4.xml><?xml version="1.0" encoding="utf-8"?>
<ds:datastoreItem xmlns:ds="http://schemas.openxmlformats.org/officeDocument/2006/customXml" ds:itemID="{219FD5E1-4297-4E80-A898-B461843F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11</Pages>
  <Words>2673</Words>
  <Characters>20671</Characters>
  <Application>Microsoft Office Word</Application>
  <DocSecurity>0</DocSecurity>
  <Lines>356</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Draft COM Report</dc:description>
  <cp:lastModifiedBy>DIGIT/C6</cp:lastModifiedBy>
  <cp:revision>46</cp:revision>
  <cp:lastPrinted>2019-07-10T13:25:00Z</cp:lastPrinted>
  <dcterms:created xsi:type="dcterms:W3CDTF">2019-07-17T08:49:00Z</dcterms:created>
  <dcterms:modified xsi:type="dcterms:W3CDTF">2019-09-13T07:57:00Z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CP-006</vt:lpwstr>
  </property>
  <property fmtid="{D5CDD505-2E9C-101B-9397-08002B2CF9AE}" pid="9" name="_LW_INVALIDATED__LW_INVALIDATED__LW_INVALIDATED__LW_INVALIDATED_ContentTypeId">
    <vt:lpwstr>0x010100258AA79CEB83498886A3A08681123250002A50989E4088EA419C817BD87C104EB4</vt:lpwstr>
  </property>
</Properties>
</file>