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alt="D8968A79-4F85-44C5-B95B-04C877588F66" style="width:450.7pt;height:334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pStyle w:val="Heading1"/>
        <w:rPr>
          <w:noProof/>
          <w:sz w:val="28"/>
          <w:szCs w:val="28"/>
        </w:rPr>
      </w:pPr>
      <w:bookmarkStart w:id="1" w:name="_Toc472077562"/>
      <w:bookmarkStart w:id="2" w:name="_Toc10472509"/>
      <w:bookmarkStart w:id="3" w:name="_Toc13161775"/>
      <w:bookmarkStart w:id="4" w:name="_GoBack"/>
      <w:bookmarkEnd w:id="4"/>
      <w:r>
        <w:rPr>
          <w:noProof/>
          <w:sz w:val="28"/>
        </w:rPr>
        <w:lastRenderedPageBreak/>
        <w:t>Εισαγωγή</w:t>
      </w:r>
      <w:bookmarkEnd w:id="1"/>
      <w:bookmarkEnd w:id="2"/>
      <w:bookmarkEnd w:id="3"/>
    </w:p>
    <w:p>
      <w:pPr>
        <w:rPr>
          <w:noProof/>
        </w:rPr>
      </w:pPr>
    </w:p>
    <w:p>
      <w:pPr>
        <w:spacing w:line="360" w:lineRule="auto"/>
        <w:jc w:val="both"/>
        <w:rPr>
          <w:rFonts w:cs="Times New Roman"/>
          <w:noProof/>
        </w:rPr>
      </w:pPr>
      <w:r>
        <w:rPr>
          <w:noProof/>
        </w:rPr>
        <w:t>Η παρούσα έκθεση παρουσιάζει την εφαρμογή του ετήσιου προγράμματος εργασίας για το έτος 2016 στο πλαίσιο του τρίτου προγράμματος για την υγεία 2014-2020, το οποίο θεσπίστηκε με τον κανονισμό (ΕΕ) αριθ. 282/2014 του Ευρωπαϊκού Κοινοβουλίου και του Συμβουλίου, της 11ης Μαρτίου 2014</w:t>
      </w:r>
      <w:r>
        <w:rPr>
          <w:rStyle w:val="FootnoteReference"/>
          <w:noProof/>
        </w:rPr>
        <w:footnoteReference w:id="1"/>
      </w:r>
      <w:r>
        <w:rPr>
          <w:noProof/>
        </w:rPr>
        <w:t>.</w:t>
      </w:r>
    </w:p>
    <w:p>
      <w:pPr>
        <w:spacing w:line="360" w:lineRule="auto"/>
        <w:jc w:val="both"/>
        <w:rPr>
          <w:noProof/>
        </w:rPr>
      </w:pPr>
      <w:r>
        <w:rPr>
          <w:noProof/>
        </w:rPr>
        <w:t>Σύμφωνα με το άρθρο 13 παράγραφος 1 του κανονισμού, η Επιτροπή υποβάλλει έκθεση στην επιτροπή του προγράμματος για την υγεία σχετικά με την εφαρμογή όλων των δράσεων που χρηματοδοτήθηκαν με βάση το πρόγραμμα και ενημερώνει σχετικά το Ευρωπαϊκό Κοινοβούλιο και το Συμβούλιο. Η παρούσα έκθεση παρέχει λεπτομερείς πληροφορίες για τον προϋπολογισμό του 2016 και τον τρόπο με τον οποίο χρησιμοποιήθηκε.</w:t>
      </w:r>
    </w:p>
    <w:p>
      <w:pPr>
        <w:spacing w:line="360" w:lineRule="auto"/>
        <w:jc w:val="both"/>
        <w:rPr>
          <w:noProof/>
        </w:rPr>
      </w:pPr>
      <w:r>
        <w:rPr>
          <w:noProof/>
        </w:rPr>
        <w:t>Το έγγραφο εργασίας των υπηρεσιών της Επιτροπής που συνοδεύει την παρούσα έκθεση παρουσιάζει παραδείγματα βασικών δράσεων που συγχρηματοδοτήθηκαν στο πλαίσιο του δεύτερου</w:t>
      </w:r>
      <w:r>
        <w:rPr>
          <w:rStyle w:val="FootnoteReference"/>
          <w:noProof/>
        </w:rPr>
        <w:footnoteReference w:id="2"/>
      </w:r>
      <w:r>
        <w:rPr>
          <w:noProof/>
        </w:rPr>
        <w:t xml:space="preserve"> και τρίτου προγράμματος για την υγεία, τα τελικά αποτελέσματα των οποίων δημοσιοποιήθηκαν το 2016. Περιλαμβάνει δράσεις επί των κύριων θεμάτων (όπως οι σπάνιες νόσοι και τα ευρωπαϊκά δίκτυα αναφοράς, ο συντονισμός της περίθαλψης, τα μητρώα, η υγειονομική ασφάλεια, λαμβανομένων ιδίως υπόψη της επιδημίας του ιού Έμπολα και του καπνίσματος), τα οποία έχουν συμπεριληφθεί σε διαδοχικές αποφάσεις χρηματοδότησης. Επίσης περιλαμβάνει πίνακα με αναλυτική επισκόπηση του συνόλου των συγχρηματοδοτούμενων δραστηριοτήτων και συμβάσεων.</w:t>
      </w:r>
    </w:p>
    <w:p>
      <w:pPr>
        <w:spacing w:line="360" w:lineRule="auto"/>
        <w:jc w:val="both"/>
        <w:rPr>
          <w:rFonts w:eastAsia="Times New Roman" w:cs="Times New Roman"/>
          <w:noProof/>
        </w:rPr>
      </w:pPr>
      <w:r>
        <w:rPr>
          <w:noProof/>
        </w:rPr>
        <w:t>Το ετήσιο πρόγραμμα εργασίας για το 2016 επικεντρώθηκε στη δημιουργία και στη στήριξη των ευρωπαϊκών δικτύων αναφοράς</w:t>
      </w:r>
      <w:r>
        <w:rPr>
          <w:rStyle w:val="FootnoteReference"/>
          <w:noProof/>
        </w:rPr>
        <w:footnoteReference w:id="3"/>
      </w:r>
      <w:r>
        <w:rPr>
          <w:noProof/>
        </w:rPr>
        <w:t xml:space="preserve"> που θεσπίστηκαν με την οδηγία 2011/24/ΕΕ περί εφαρμογής των δικαιωμάτων των ασθενών στο πλαίσιο της διασυνοριακής υγειονομικής περίθαλψης</w:t>
      </w:r>
      <w:r>
        <w:rPr>
          <w:rStyle w:val="FootnoteReference"/>
          <w:noProof/>
        </w:rPr>
        <w:footnoteReference w:id="4"/>
      </w:r>
      <w:r>
        <w:rPr>
          <w:noProof/>
        </w:rPr>
        <w:t>. Τα ευρωπαϊκά δίκτυα αναφοράς είναι εικονικά δίκτυα παρόχων υγειονομικής περίθαλψης στην ΕΕ, τα οποία αντιμετωπίζουν σύνθετες ή σπάνιες νόσους και παθήσεις.</w:t>
      </w:r>
    </w:p>
    <w:p>
      <w:pPr>
        <w:spacing w:line="360" w:lineRule="auto"/>
        <w:jc w:val="both"/>
        <w:rPr>
          <w:noProof/>
        </w:rPr>
      </w:pPr>
      <w:r>
        <w:rPr>
          <w:noProof/>
        </w:rPr>
        <w:t>Επιπλέον, το ετήσιο πρόγραμμα εργασίας για το 2016 επικεντρώθηκε ιδιαιτέρως στον στόχο 1 – «Προαγωγή της υγείας, πρόληψη των νόσων και προώθηση σε υποστηρικτικά περιβάλλοντα για υγιείς τρόπους ζωής, λαμβάνοντας υπόψη την αρχή “η υγεία σε όλες τις πολιτικές”», περιλαμβάνοντας θέματα προτεραιότητας σχετικά με βασικούς παράγοντες που αφορούν τον τρόπο ζωής (αλκοόλ, καπνός, ναρκωτικά), την πρόληψη και διαχείριση των χρόνιων νοσημάτων και ζητήματα στον τομέα της υγείας που σχετίζονται με την υγεία των μεταναστών και των προσφύγων.</w:t>
      </w:r>
    </w:p>
    <w:p>
      <w:pPr>
        <w:spacing w:line="360" w:lineRule="auto"/>
        <w:jc w:val="both"/>
        <w:rPr>
          <w:rFonts w:eastAsia="Times New Roman" w:cs="Times New Roman"/>
          <w:noProof/>
        </w:rPr>
      </w:pPr>
      <w:r>
        <w:rPr>
          <w:noProof/>
        </w:rPr>
        <w:t>Η Επιτροπή παρακολουθεί στενά την υλοποίηση του τρίτου προγράμματος για την υγεία και μεριμνά για την ευρύτερη δημοσιοποίηση των αποτελεσμάτων του. Επιπλέον, ενθαρρύνει όλα τα κράτη μέλη και τις χώρες εκτός ΕΕ που συμβάλλουν στο πρόγραμμα να συμμετάσχουν στις δράσεις του και να δημιουργήσουν συνδέσεις με άλλα σχετικά χρηματοδοτικά προγράμματα της ΕΕ όπως το πρόγραμμα «Ορίζων 2020».</w:t>
      </w:r>
      <w:r>
        <w:rPr>
          <w:noProof/>
        </w:rPr>
        <w:br w:type="page"/>
      </w:r>
    </w:p>
    <w:bookmarkStart w:id="5" w:name="_Toc472077563" w:displacedByCustomXml="next"/>
    <w:sdt>
      <w:sdtPr>
        <w:rPr>
          <w:rFonts w:eastAsiaTheme="minorHAnsi" w:cstheme="minorBidi"/>
          <w:b w:val="0"/>
          <w:noProof/>
          <w:sz w:val="22"/>
          <w:szCs w:val="22"/>
        </w:rPr>
        <w:id w:val="4676546"/>
        <w:docPartObj>
          <w:docPartGallery w:val="Table of Contents"/>
          <w:docPartUnique/>
        </w:docPartObj>
      </w:sdtPr>
      <w:sdtContent>
        <w:p>
          <w:pPr>
            <w:pStyle w:val="TOCHeading"/>
            <w:rPr>
              <w:noProof/>
            </w:rPr>
          </w:pPr>
          <w:r>
            <w:rPr>
              <w:noProof/>
            </w:rPr>
            <w:t>ΠΙΝΑΚΑΣ ΠΕΡΙΕΧΟΜΕΝΩΝ</w:t>
          </w:r>
        </w:p>
        <w:p>
          <w:pPr>
            <w:pStyle w:val="TOC1"/>
            <w:rPr>
              <w:rFonts w:asciiTheme="minorHAnsi" w:eastAsiaTheme="minorEastAsia" w:hAnsiTheme="minorHAnsi" w:cstheme="minorBidi"/>
              <w:sz w:val="22"/>
              <w:szCs w:val="22"/>
              <w:lang w:bidi="ar-SA"/>
            </w:rPr>
          </w:pPr>
          <w:r>
            <w:rPr>
              <w:sz w:val="22"/>
              <w:szCs w:val="22"/>
            </w:rPr>
            <w:fldChar w:fldCharType="begin"/>
          </w:r>
          <w:r>
            <w:rPr>
              <w:sz w:val="22"/>
              <w:szCs w:val="22"/>
            </w:rPr>
            <w:instrText xml:space="preserve"> TOC \o "1-3" \h \z \u </w:instrText>
          </w:r>
          <w:r>
            <w:rPr>
              <w:sz w:val="22"/>
              <w:szCs w:val="22"/>
            </w:rPr>
            <w:fldChar w:fldCharType="separate"/>
          </w:r>
          <w:hyperlink w:anchor="_Toc13161775" w:history="1">
            <w:r>
              <w:rPr>
                <w:rStyle w:val="Hyperlink"/>
              </w:rPr>
              <w:t>Εισαγωγή</w:t>
            </w:r>
            <w:r>
              <w:rPr>
                <w:webHidden/>
              </w:rPr>
              <w:tab/>
            </w:r>
            <w:r>
              <w:rPr>
                <w:webHidden/>
              </w:rPr>
              <w:fldChar w:fldCharType="begin"/>
            </w:r>
            <w:r>
              <w:rPr>
                <w:webHidden/>
              </w:rPr>
              <w:instrText xml:space="preserve"> PAGEREF _Toc13161775 \h </w:instrText>
            </w:r>
            <w:r>
              <w:rPr>
                <w:webHidden/>
              </w:rPr>
            </w:r>
            <w:r>
              <w:rPr>
                <w:webHidden/>
              </w:rPr>
              <w:fldChar w:fldCharType="separate"/>
            </w:r>
            <w:r>
              <w:rPr>
                <w:webHidden/>
              </w:rPr>
              <w:t>1</w:t>
            </w:r>
            <w:r>
              <w:rPr>
                <w:webHidden/>
              </w:rPr>
              <w:fldChar w:fldCharType="end"/>
            </w:r>
          </w:hyperlink>
        </w:p>
        <w:p>
          <w:pPr>
            <w:pStyle w:val="TOC1"/>
            <w:rPr>
              <w:rFonts w:asciiTheme="minorHAnsi" w:eastAsiaTheme="minorEastAsia" w:hAnsiTheme="minorHAnsi" w:cstheme="minorBidi"/>
              <w:sz w:val="22"/>
              <w:szCs w:val="22"/>
              <w:lang w:bidi="ar-SA"/>
            </w:rPr>
          </w:pPr>
          <w:hyperlink w:anchor="_Toc13161776" w:history="1">
            <w:r>
              <w:rPr>
                <w:rStyle w:val="Hyperlink"/>
              </w:rPr>
              <w:t>Βασικά θέματα του 2016</w:t>
            </w:r>
            <w:r>
              <w:rPr>
                <w:webHidden/>
              </w:rPr>
              <w:tab/>
            </w:r>
            <w:r>
              <w:rPr>
                <w:webHidden/>
              </w:rPr>
              <w:fldChar w:fldCharType="begin"/>
            </w:r>
            <w:r>
              <w:rPr>
                <w:webHidden/>
              </w:rPr>
              <w:instrText xml:space="preserve"> PAGEREF _Toc13161776 \h </w:instrText>
            </w:r>
            <w:r>
              <w:rPr>
                <w:webHidden/>
              </w:rPr>
            </w:r>
            <w:r>
              <w:rPr>
                <w:webHidden/>
              </w:rPr>
              <w:fldChar w:fldCharType="separate"/>
            </w:r>
            <w:r>
              <w:rPr>
                <w:webHidden/>
              </w:rPr>
              <w:t>4</w:t>
            </w:r>
            <w:r>
              <w:rPr>
                <w:webHidden/>
              </w:rPr>
              <w:fldChar w:fldCharType="end"/>
            </w:r>
          </w:hyperlink>
        </w:p>
        <w:p>
          <w:pPr>
            <w:pStyle w:val="TOC1"/>
            <w:rPr>
              <w:rFonts w:asciiTheme="minorHAnsi" w:eastAsiaTheme="minorEastAsia" w:hAnsiTheme="minorHAnsi" w:cstheme="minorBidi"/>
              <w:sz w:val="22"/>
              <w:szCs w:val="22"/>
              <w:lang w:bidi="ar-SA"/>
            </w:rPr>
          </w:pPr>
          <w:hyperlink w:anchor="_Toc13161777" w:history="1">
            <w:r>
              <w:rPr>
                <w:rStyle w:val="Hyperlink"/>
              </w:rPr>
              <w:t>Εφαρμογή του προγράμματος για την υγεία</w:t>
            </w:r>
            <w:r>
              <w:rPr>
                <w:webHidden/>
              </w:rPr>
              <w:tab/>
            </w:r>
            <w:r>
              <w:rPr>
                <w:webHidden/>
              </w:rPr>
              <w:fldChar w:fldCharType="begin"/>
            </w:r>
            <w:r>
              <w:rPr>
                <w:webHidden/>
              </w:rPr>
              <w:instrText xml:space="preserve"> PAGEREF _Toc13161777 \h </w:instrText>
            </w:r>
            <w:r>
              <w:rPr>
                <w:webHidden/>
              </w:rPr>
            </w:r>
            <w:r>
              <w:rPr>
                <w:webHidden/>
              </w:rPr>
              <w:fldChar w:fldCharType="separate"/>
            </w:r>
            <w:r>
              <w:rPr>
                <w:webHidden/>
              </w:rPr>
              <w:t>8</w:t>
            </w:r>
            <w:r>
              <w:rPr>
                <w:webHidden/>
              </w:rPr>
              <w:fldChar w:fldCharType="end"/>
            </w:r>
          </w:hyperlink>
        </w:p>
        <w:p>
          <w:pPr>
            <w:pStyle w:val="TOC2"/>
            <w:rPr>
              <w:rFonts w:asciiTheme="minorHAnsi" w:eastAsiaTheme="minorEastAsia" w:hAnsiTheme="minorHAnsi" w:cstheme="minorBidi"/>
              <w:sz w:val="22"/>
              <w:szCs w:val="22"/>
              <w:lang w:bidi="ar-SA"/>
            </w:rPr>
          </w:pPr>
          <w:hyperlink w:anchor="_Toc13161778" w:history="1">
            <w:r>
              <w:rPr>
                <w:rStyle w:val="Hyperlink"/>
              </w:rPr>
              <w:t>1.</w:t>
            </w:r>
            <w:r>
              <w:rPr>
                <w:rFonts w:asciiTheme="minorHAnsi" w:eastAsiaTheme="minorEastAsia" w:hAnsiTheme="minorHAnsi" w:cstheme="minorBidi"/>
                <w:sz w:val="22"/>
                <w:szCs w:val="22"/>
                <w:lang w:bidi="ar-SA"/>
              </w:rPr>
              <w:tab/>
            </w:r>
            <w:r>
              <w:rPr>
                <w:rStyle w:val="Hyperlink"/>
              </w:rPr>
              <w:t>Προϋπολογισμός</w:t>
            </w:r>
            <w:r>
              <w:rPr>
                <w:webHidden/>
              </w:rPr>
              <w:tab/>
            </w:r>
            <w:r>
              <w:rPr>
                <w:webHidden/>
              </w:rPr>
              <w:fldChar w:fldCharType="begin"/>
            </w:r>
            <w:r>
              <w:rPr>
                <w:webHidden/>
              </w:rPr>
              <w:instrText xml:space="preserve"> PAGEREF _Toc13161778 \h </w:instrText>
            </w:r>
            <w:r>
              <w:rPr>
                <w:webHidden/>
              </w:rPr>
            </w:r>
            <w:r>
              <w:rPr>
                <w:webHidden/>
              </w:rPr>
              <w:fldChar w:fldCharType="separate"/>
            </w:r>
            <w:r>
              <w:rPr>
                <w:webHidden/>
              </w:rPr>
              <w:t>8</w:t>
            </w:r>
            <w:r>
              <w:rPr>
                <w:webHidden/>
              </w:rPr>
              <w:fldChar w:fldCharType="end"/>
            </w:r>
          </w:hyperlink>
        </w:p>
        <w:p>
          <w:pPr>
            <w:pStyle w:val="TOC2"/>
            <w:rPr>
              <w:rFonts w:asciiTheme="minorHAnsi" w:eastAsiaTheme="minorEastAsia" w:hAnsiTheme="minorHAnsi" w:cstheme="minorBidi"/>
              <w:sz w:val="22"/>
              <w:szCs w:val="22"/>
              <w:lang w:bidi="ar-SA"/>
            </w:rPr>
          </w:pPr>
          <w:hyperlink w:anchor="_Toc13161779" w:history="1">
            <w:r>
              <w:rPr>
                <w:rStyle w:val="Hyperlink"/>
              </w:rPr>
              <w:t>2.</w:t>
            </w:r>
            <w:r>
              <w:rPr>
                <w:rFonts w:asciiTheme="minorHAnsi" w:eastAsiaTheme="minorEastAsia" w:hAnsiTheme="minorHAnsi" w:cstheme="minorBidi"/>
                <w:sz w:val="22"/>
                <w:szCs w:val="22"/>
                <w:lang w:bidi="ar-SA"/>
              </w:rPr>
              <w:tab/>
            </w:r>
            <w:r>
              <w:rPr>
                <w:rStyle w:val="Hyperlink"/>
              </w:rPr>
              <w:t>Προτεραιότητες και χρηματοδοτικοί μηχανισμοί</w:t>
            </w:r>
            <w:r>
              <w:rPr>
                <w:webHidden/>
              </w:rPr>
              <w:tab/>
            </w:r>
            <w:r>
              <w:rPr>
                <w:webHidden/>
              </w:rPr>
              <w:fldChar w:fldCharType="begin"/>
            </w:r>
            <w:r>
              <w:rPr>
                <w:webHidden/>
              </w:rPr>
              <w:instrText xml:space="preserve"> PAGEREF _Toc13161779 \h </w:instrText>
            </w:r>
            <w:r>
              <w:rPr>
                <w:webHidden/>
              </w:rPr>
            </w:r>
            <w:r>
              <w:rPr>
                <w:webHidden/>
              </w:rPr>
              <w:fldChar w:fldCharType="separate"/>
            </w:r>
            <w:r>
              <w:rPr>
                <w:webHidden/>
              </w:rPr>
              <w:t>9</w:t>
            </w:r>
            <w:r>
              <w:rPr>
                <w:webHidden/>
              </w:rPr>
              <w:fldChar w:fldCharType="end"/>
            </w:r>
          </w:hyperlink>
        </w:p>
        <w:p>
          <w:pPr>
            <w:pStyle w:val="TOC2"/>
            <w:rPr>
              <w:rFonts w:asciiTheme="minorHAnsi" w:eastAsiaTheme="minorEastAsia" w:hAnsiTheme="minorHAnsi" w:cstheme="minorBidi"/>
              <w:sz w:val="22"/>
              <w:szCs w:val="22"/>
              <w:lang w:bidi="ar-SA"/>
            </w:rPr>
          </w:pPr>
          <w:hyperlink w:anchor="_Toc13161780" w:history="1">
            <w:r>
              <w:rPr>
                <w:rStyle w:val="Hyperlink"/>
              </w:rPr>
              <w:t>3.</w:t>
            </w:r>
            <w:r>
              <w:rPr>
                <w:rFonts w:asciiTheme="minorHAnsi" w:eastAsiaTheme="minorEastAsia" w:hAnsiTheme="minorHAnsi" w:cstheme="minorBidi"/>
                <w:sz w:val="22"/>
                <w:szCs w:val="22"/>
                <w:lang w:bidi="ar-SA"/>
              </w:rPr>
              <w:tab/>
            </w:r>
            <w:r>
              <w:rPr>
                <w:rStyle w:val="Hyperlink"/>
              </w:rPr>
              <w:t>Εκτέλεση ανά χρηματοδοτικό μηχανισμό</w:t>
            </w:r>
            <w:r>
              <w:rPr>
                <w:webHidden/>
              </w:rPr>
              <w:tab/>
            </w:r>
            <w:r>
              <w:rPr>
                <w:webHidden/>
              </w:rPr>
              <w:fldChar w:fldCharType="begin"/>
            </w:r>
            <w:r>
              <w:rPr>
                <w:webHidden/>
              </w:rPr>
              <w:instrText xml:space="preserve"> PAGEREF _Toc13161780 \h </w:instrText>
            </w:r>
            <w:r>
              <w:rPr>
                <w:webHidden/>
              </w:rPr>
            </w:r>
            <w:r>
              <w:rPr>
                <w:webHidden/>
              </w:rPr>
              <w:fldChar w:fldCharType="separate"/>
            </w:r>
            <w:r>
              <w:rPr>
                <w:webHidden/>
              </w:rPr>
              <w:t>12</w:t>
            </w:r>
            <w:r>
              <w:rPr>
                <w:webHidden/>
              </w:rPr>
              <w:fldChar w:fldCharType="end"/>
            </w:r>
          </w:hyperlink>
        </w:p>
        <w:p>
          <w:pPr>
            <w:pStyle w:val="TOC2"/>
            <w:rPr>
              <w:rFonts w:asciiTheme="minorHAnsi" w:eastAsiaTheme="minorEastAsia" w:hAnsiTheme="minorHAnsi" w:cstheme="minorBidi"/>
              <w:sz w:val="22"/>
              <w:szCs w:val="22"/>
              <w:lang w:bidi="ar-SA"/>
            </w:rPr>
          </w:pPr>
          <w:hyperlink w:anchor="_Toc13161781" w:history="1">
            <w:r>
              <w:rPr>
                <w:rStyle w:val="Hyperlink"/>
              </w:rPr>
              <w:t>4.</w:t>
            </w:r>
            <w:r>
              <w:rPr>
                <w:rFonts w:asciiTheme="minorHAnsi" w:eastAsiaTheme="minorEastAsia" w:hAnsiTheme="minorHAnsi" w:cstheme="minorBidi"/>
                <w:sz w:val="22"/>
                <w:szCs w:val="22"/>
                <w:lang w:bidi="ar-SA"/>
              </w:rPr>
              <w:tab/>
            </w:r>
            <w:r>
              <w:rPr>
                <w:rStyle w:val="Hyperlink"/>
              </w:rPr>
              <w:t>Δικαιούχοι</w:t>
            </w:r>
            <w:r>
              <w:rPr>
                <w:webHidden/>
              </w:rPr>
              <w:tab/>
            </w:r>
            <w:r>
              <w:rPr>
                <w:webHidden/>
              </w:rPr>
              <w:fldChar w:fldCharType="begin"/>
            </w:r>
            <w:r>
              <w:rPr>
                <w:webHidden/>
              </w:rPr>
              <w:instrText xml:space="preserve"> PAGEREF _Toc13161781 \h </w:instrText>
            </w:r>
            <w:r>
              <w:rPr>
                <w:webHidden/>
              </w:rPr>
            </w:r>
            <w:r>
              <w:rPr>
                <w:webHidden/>
              </w:rPr>
              <w:fldChar w:fldCharType="separate"/>
            </w:r>
            <w:r>
              <w:rPr>
                <w:webHidden/>
              </w:rPr>
              <w:t>13</w:t>
            </w:r>
            <w:r>
              <w:rPr>
                <w:webHidden/>
              </w:rPr>
              <w:fldChar w:fldCharType="end"/>
            </w:r>
          </w:hyperlink>
        </w:p>
        <w:p>
          <w:pPr>
            <w:pStyle w:val="TOC1"/>
            <w:rPr>
              <w:rFonts w:asciiTheme="minorHAnsi" w:eastAsiaTheme="minorEastAsia" w:hAnsiTheme="minorHAnsi" w:cstheme="minorBidi"/>
              <w:sz w:val="22"/>
              <w:szCs w:val="22"/>
              <w:lang w:bidi="ar-SA"/>
            </w:rPr>
          </w:pPr>
          <w:hyperlink w:anchor="_Toc13161782" w:history="1">
            <w:r>
              <w:rPr>
                <w:rStyle w:val="Hyperlink"/>
              </w:rPr>
              <w:t>Βελτιώσεις</w:t>
            </w:r>
            <w:r>
              <w:rPr>
                <w:webHidden/>
              </w:rPr>
              <w:tab/>
            </w:r>
            <w:r>
              <w:rPr>
                <w:webHidden/>
              </w:rPr>
              <w:fldChar w:fldCharType="begin"/>
            </w:r>
            <w:r>
              <w:rPr>
                <w:webHidden/>
              </w:rPr>
              <w:instrText xml:space="preserve"> PAGEREF _Toc13161782 \h </w:instrText>
            </w:r>
            <w:r>
              <w:rPr>
                <w:webHidden/>
              </w:rPr>
            </w:r>
            <w:r>
              <w:rPr>
                <w:webHidden/>
              </w:rPr>
              <w:fldChar w:fldCharType="separate"/>
            </w:r>
            <w:r>
              <w:rPr>
                <w:webHidden/>
              </w:rPr>
              <w:t>13</w:t>
            </w:r>
            <w:r>
              <w:rPr>
                <w:webHidden/>
              </w:rPr>
              <w:fldChar w:fldCharType="end"/>
            </w:r>
          </w:hyperlink>
        </w:p>
        <w:p>
          <w:pPr>
            <w:pStyle w:val="TOC1"/>
            <w:rPr>
              <w:rFonts w:asciiTheme="minorHAnsi" w:eastAsiaTheme="minorEastAsia" w:hAnsiTheme="minorHAnsi" w:cstheme="minorBidi"/>
              <w:sz w:val="22"/>
              <w:szCs w:val="22"/>
            </w:rPr>
          </w:pPr>
          <w:r>
            <w:fldChar w:fldCharType="end"/>
          </w:r>
        </w:p>
      </w:sdtContent>
    </w:sdt>
    <w:p>
      <w:pPr>
        <w:rPr>
          <w:rFonts w:eastAsia="Times New Roman" w:cs="Times New Roman"/>
          <w:b/>
          <w:bCs/>
          <w:smallCaps/>
          <w:noProof/>
          <w:sz w:val="32"/>
          <w:szCs w:val="24"/>
        </w:rPr>
      </w:pPr>
      <w:r>
        <w:rPr>
          <w:noProof/>
        </w:rPr>
        <w:br w:type="page"/>
      </w:r>
    </w:p>
    <w:p>
      <w:pPr>
        <w:pStyle w:val="Heading1"/>
        <w:rPr>
          <w:noProof/>
          <w:sz w:val="28"/>
        </w:rPr>
      </w:pPr>
      <w:bookmarkStart w:id="6" w:name="_Toc10472510"/>
      <w:bookmarkStart w:id="7" w:name="_Toc13161776"/>
      <w:r>
        <w:rPr>
          <w:noProof/>
          <w:sz w:val="28"/>
        </w:rPr>
        <w:t>Βασικά θέματα του 2016</w:t>
      </w:r>
      <w:bookmarkEnd w:id="6"/>
      <w:bookmarkEnd w:id="7"/>
    </w:p>
    <w:bookmarkEnd w:id="5"/>
    <w:p>
      <w:pPr>
        <w:autoSpaceDE w:val="0"/>
        <w:autoSpaceDN w:val="0"/>
        <w:adjustRightInd w:val="0"/>
        <w:spacing w:after="0" w:line="360" w:lineRule="auto"/>
        <w:jc w:val="both"/>
        <w:rPr>
          <w:rFonts w:cs="Times New Roman"/>
          <w:noProof/>
          <w:color w:val="000000"/>
        </w:rPr>
      </w:pPr>
    </w:p>
    <w:p>
      <w:pPr>
        <w:spacing w:before="240" w:line="360" w:lineRule="auto"/>
        <w:jc w:val="both"/>
        <w:rPr>
          <w:rFonts w:cs="Times New Roman"/>
          <w:noProof/>
        </w:rPr>
      </w:pPr>
      <w:r>
        <w:rPr>
          <w:noProof/>
        </w:rPr>
        <w:t>Στόχος του ετήσιου προγράμματος εργασίας για το 2016 είναι να συμβάλει στις προτεραιότητες της Επιτροπής στον τομέα της υγείας, όπως περιγράφονται στις πολιτικές κατευθυντήριες γραμμές του Προέδρου</w:t>
      </w:r>
      <w:r>
        <w:rPr>
          <w:rStyle w:val="FootnoteReference"/>
          <w:noProof/>
        </w:rPr>
        <w:footnoteReference w:id="5"/>
      </w:r>
      <w:r>
        <w:rPr>
          <w:noProof/>
        </w:rPr>
        <w:t xml:space="preserve"> και στην επιστολή ανάθεσης καθηκόντων προς τον αρμόδιο επίτροπο για θέματα υγείας και ασφάλειας των τροφίμων</w:t>
      </w:r>
      <w:r>
        <w:rPr>
          <w:rStyle w:val="FootnoteReference"/>
          <w:noProof/>
        </w:rPr>
        <w:footnoteReference w:id="6"/>
      </w:r>
      <w:r>
        <w:rPr>
          <w:noProof/>
        </w:rPr>
        <w:t>.</w:t>
      </w:r>
    </w:p>
    <w:p>
      <w:pPr>
        <w:autoSpaceDE w:val="0"/>
        <w:autoSpaceDN w:val="0"/>
        <w:adjustRightInd w:val="0"/>
        <w:spacing w:after="0" w:line="360" w:lineRule="auto"/>
        <w:jc w:val="both"/>
        <w:rPr>
          <w:rFonts w:cs="Times New Roman"/>
          <w:i/>
          <w:noProof/>
          <w:color w:val="000000"/>
        </w:rPr>
      </w:pPr>
      <w:r>
        <w:rPr>
          <w:i/>
          <w:noProof/>
          <w:color w:val="000000"/>
        </w:rPr>
        <w:t>Ευρωπαϊκά δίκτυα αναφοράς</w:t>
      </w:r>
    </w:p>
    <w:p>
      <w:pPr>
        <w:autoSpaceDE w:val="0"/>
        <w:autoSpaceDN w:val="0"/>
        <w:adjustRightInd w:val="0"/>
        <w:spacing w:after="0" w:line="360" w:lineRule="auto"/>
        <w:jc w:val="both"/>
        <w:rPr>
          <w:rFonts w:cs="Times New Roman"/>
          <w:noProof/>
          <w:color w:val="000000"/>
        </w:rPr>
      </w:pPr>
      <w:r>
        <w:rPr>
          <w:noProof/>
          <w:color w:val="000000"/>
        </w:rPr>
        <w:t>Η πρωτοβουλία προτεραιότητας στον τομέα της υγείας στο πλαίσιο του ετήσιου προγράμματος εργασίας για το 2016 συνίστατο στη δημιουργία των</w:t>
      </w:r>
      <w:r>
        <w:rPr>
          <w:b/>
          <w:noProof/>
          <w:color w:val="000000"/>
        </w:rPr>
        <w:t xml:space="preserve"> ευρωπαϊκών δικτύων αναφοράς</w:t>
      </w:r>
      <w:r>
        <w:rPr>
          <w:noProof/>
          <w:color w:val="000000"/>
        </w:rPr>
        <w:t xml:space="preserve"> (ΕΔΑ) σύμφωνα με: α) την οδηγία 2011/24/ΕΕ του Ευρωπαϊκού Κοινοβουλίου και του Συμβουλίου, της 9ης Μαρτίου 2011, περί εφαρμογής των δικαιωμάτων των ασθενών στο πλαίσιο της διασυνοριακής υγειονομικής περίθαλψης</w:t>
      </w:r>
      <w:r>
        <w:rPr>
          <w:rStyle w:val="FootnoteReference"/>
          <w:noProof/>
          <w:color w:val="000000"/>
        </w:rPr>
        <w:footnoteReference w:id="7"/>
      </w:r>
      <w:r>
        <w:rPr>
          <w:noProof/>
          <w:color w:val="000000"/>
        </w:rPr>
        <w:t>· και β) την πολιτική της ΕΕ για τις σπάνιες νόσους.</w:t>
      </w:r>
    </w:p>
    <w:p>
      <w:pPr>
        <w:autoSpaceDE w:val="0"/>
        <w:autoSpaceDN w:val="0"/>
        <w:adjustRightInd w:val="0"/>
        <w:spacing w:after="0" w:line="360" w:lineRule="auto"/>
        <w:jc w:val="both"/>
        <w:rPr>
          <w:rFonts w:cs="Times New Roman"/>
          <w:noProof/>
          <w:color w:val="000000"/>
        </w:rPr>
      </w:pPr>
      <w:r>
        <w:rPr>
          <w:noProof/>
          <w:color w:val="000000"/>
        </w:rPr>
        <w:t>Τα ΕΔΑ είναι εικονικά δίκτυα στα οποία συμμετέχουν περισσότεροι από 900 πάροχοι υγειονομικής περίθαλψης σε ολόκληρη την ΕΕ. Στόχος τους είναι η αντιμετώπιση σύνθετων ή σπάνιων νόσων και παθήσεων που χρήζουν άκρως εξειδικευμένης αντιμετώπισης και συγκέντρωσης γνώσεων και πόρων.</w:t>
      </w:r>
    </w:p>
    <w:p>
      <w:pPr>
        <w:autoSpaceDE w:val="0"/>
        <w:autoSpaceDN w:val="0"/>
        <w:adjustRightInd w:val="0"/>
        <w:spacing w:after="0" w:line="360" w:lineRule="auto"/>
        <w:jc w:val="both"/>
        <w:rPr>
          <w:rFonts w:cs="Times New Roman"/>
          <w:noProof/>
          <w:color w:val="000000"/>
        </w:rPr>
      </w:pPr>
      <w:r>
        <w:rPr>
          <w:noProof/>
          <w:color w:val="000000"/>
        </w:rPr>
        <w:t>Για τη στήριξη των ΕΔΑ το 2016 χρησιμοποιήθηκαν διάφορα μέτρα χρηματοδότησης, το ύψος των οποίων ανήλθε σε περισσότερα από 8 εκατ. EUR (EUR 8 012 343,47). Στα μέτρα αυτά περιλαμβάνονταν τα εξής:</w:t>
      </w:r>
    </w:p>
    <w:p>
      <w:pPr>
        <w:pStyle w:val="ListParagraph"/>
        <w:numPr>
          <w:ilvl w:val="0"/>
          <w:numId w:val="38"/>
        </w:numPr>
        <w:autoSpaceDE w:val="0"/>
        <w:autoSpaceDN w:val="0"/>
        <w:adjustRightInd w:val="0"/>
        <w:spacing w:before="240" w:after="0" w:line="360" w:lineRule="auto"/>
        <w:jc w:val="both"/>
        <w:rPr>
          <w:rFonts w:ascii="Times New Roman" w:hAnsi="Times New Roman"/>
          <w:noProof/>
        </w:rPr>
      </w:pPr>
      <w:r>
        <w:rPr>
          <w:rFonts w:ascii="Times New Roman" w:hAnsi="Times New Roman"/>
          <w:noProof/>
          <w:color w:val="000000"/>
        </w:rPr>
        <w:t>πρόσκληση εκδήλωσης ενδιαφέροντος για τη δημιουργία ΕΔΑ, όπως προβλέπεται στο άρθρο 2 της εκτελεστικής απόφασης 2014/287/ΕΕ</w:t>
      </w:r>
      <w:r>
        <w:rPr>
          <w:rStyle w:val="FootnoteReference"/>
          <w:rFonts w:ascii="Times New Roman" w:hAnsi="Times New Roman"/>
          <w:noProof/>
          <w:color w:val="000000"/>
        </w:rPr>
        <w:footnoteReference w:id="8"/>
      </w:r>
      <w:r>
        <w:rPr>
          <w:rFonts w:ascii="Times New Roman" w:hAnsi="Times New Roman"/>
          <w:noProof/>
          <w:color w:val="000000"/>
        </w:rPr>
        <w:t>, ακολουθούμενη από την έγκριση των επιμέρους παρόχων υγειονομικής περίθαλψης και των δικτύων συνολικά, με σχετική απόφαση του συμβουλίου εκπροσώπων των κρατών μελών όπως ορίζεται στο άρθρο 5 της απόφασης·</w:t>
      </w:r>
    </w:p>
    <w:p>
      <w:pPr>
        <w:pStyle w:val="ListParagraph"/>
        <w:numPr>
          <w:ilvl w:val="0"/>
          <w:numId w:val="38"/>
        </w:numPr>
        <w:autoSpaceDE w:val="0"/>
        <w:autoSpaceDN w:val="0"/>
        <w:adjustRightInd w:val="0"/>
        <w:spacing w:after="0" w:line="360" w:lineRule="auto"/>
        <w:jc w:val="both"/>
        <w:rPr>
          <w:rFonts w:ascii="Times New Roman" w:hAnsi="Times New Roman"/>
          <w:noProof/>
        </w:rPr>
      </w:pPr>
      <w:r>
        <w:rPr>
          <w:rFonts w:ascii="Times New Roman" w:hAnsi="Times New Roman"/>
          <w:noProof/>
          <w:color w:val="000000"/>
        </w:rPr>
        <w:t>αιτήσεις για υπηρεσία για την αξιολόγηση υποψήφιων ΕΔΑ από ανεξάρτητους φορείς αξιολόγησης σύμφωνα με τα κριτήρια που καθορίζονται στην κατ’ εξουσιοδότηση απόφαση 2014/286/ΕΕ</w:t>
      </w:r>
      <w:r>
        <w:rPr>
          <w:rStyle w:val="FootnoteReference"/>
          <w:rFonts w:ascii="Times New Roman" w:hAnsi="Times New Roman"/>
          <w:noProof/>
          <w:color w:val="000000"/>
        </w:rPr>
        <w:footnoteReference w:id="9"/>
      </w:r>
      <w:r>
        <w:rPr>
          <w:rFonts w:ascii="Times New Roman" w:hAnsi="Times New Roman"/>
          <w:noProof/>
          <w:color w:val="000000"/>
        </w:rPr>
        <w:t xml:space="preserve"> (1 646 638,27 EUR)·</w:t>
      </w:r>
    </w:p>
    <w:p>
      <w:pPr>
        <w:pStyle w:val="ListParagraph"/>
        <w:numPr>
          <w:ilvl w:val="0"/>
          <w:numId w:val="38"/>
        </w:numPr>
        <w:autoSpaceDE w:val="0"/>
        <w:autoSpaceDN w:val="0"/>
        <w:adjustRightInd w:val="0"/>
        <w:spacing w:after="0" w:line="360" w:lineRule="auto"/>
        <w:jc w:val="both"/>
        <w:rPr>
          <w:rFonts w:ascii="Times New Roman" w:hAnsi="Times New Roman"/>
          <w:noProof/>
          <w:color w:val="000000"/>
        </w:rPr>
      </w:pPr>
      <w:r>
        <w:rPr>
          <w:rFonts w:ascii="Times New Roman" w:hAnsi="Times New Roman"/>
          <w:noProof/>
          <w:color w:val="000000"/>
        </w:rPr>
        <w:t>πρόσκληση υποβολής προτάσεων για τη χρηματοδότηση των δαπανών συντονισμού των εγκριθέντων δικτύων (4 386 344,15 EUR)· και</w:t>
      </w:r>
    </w:p>
    <w:p>
      <w:pPr>
        <w:pStyle w:val="ListParagraph"/>
        <w:numPr>
          <w:ilvl w:val="0"/>
          <w:numId w:val="38"/>
        </w:numPr>
        <w:autoSpaceDE w:val="0"/>
        <w:autoSpaceDN w:val="0"/>
        <w:adjustRightInd w:val="0"/>
        <w:spacing w:after="0" w:line="360" w:lineRule="auto"/>
        <w:jc w:val="both"/>
        <w:rPr>
          <w:rFonts w:ascii="Times New Roman" w:hAnsi="Times New Roman"/>
          <w:noProof/>
          <w:color w:val="000000"/>
        </w:rPr>
      </w:pPr>
      <w:r>
        <w:rPr>
          <w:rFonts w:ascii="Times New Roman" w:hAnsi="Times New Roman"/>
          <w:noProof/>
          <w:color w:val="000000"/>
        </w:rPr>
        <w:t>πρόσκληση υποβολής προτάσεων για την υποστήριξη των μητρώων ασθενών που πάσχουν από σπάνιες νόσους για τα EΔΑ (1 979 361,05 EUR).</w:t>
      </w:r>
    </w:p>
    <w:p>
      <w:pPr>
        <w:autoSpaceDE w:val="0"/>
        <w:autoSpaceDN w:val="0"/>
        <w:adjustRightInd w:val="0"/>
        <w:spacing w:after="0" w:line="360" w:lineRule="auto"/>
        <w:jc w:val="both"/>
        <w:rPr>
          <w:noProof/>
          <w:color w:val="000000"/>
        </w:rPr>
      </w:pPr>
    </w:p>
    <w:p>
      <w:pPr>
        <w:widowControl w:val="0"/>
        <w:spacing w:before="120" w:after="120" w:line="360" w:lineRule="auto"/>
        <w:jc w:val="both"/>
        <w:rPr>
          <w:rFonts w:eastAsia="Times New Roman" w:cs="Times New Roman"/>
          <w:noProof/>
          <w:u w:val="single"/>
        </w:rPr>
      </w:pPr>
      <w:r>
        <w:rPr>
          <w:noProof/>
          <w:u w:val="single"/>
        </w:rPr>
        <w:t>Ιστορικό</w:t>
      </w:r>
    </w:p>
    <w:p>
      <w:pPr>
        <w:widowControl w:val="0"/>
        <w:spacing w:before="120" w:after="120" w:line="360" w:lineRule="auto"/>
        <w:jc w:val="both"/>
        <w:rPr>
          <w:rFonts w:eastAsia="Arial" w:cs="Times New Roman"/>
          <w:noProof/>
        </w:rPr>
      </w:pPr>
      <w:r>
        <w:rPr>
          <w:noProof/>
        </w:rPr>
        <w:t>Το άρθρο 12 παράγραφος 1 της οδηγίας 2011/24/ΕΕ επιβάλλει στην Ευρωπαϊκή Επιτροπή την υποχρέωση να στηρίζει τα κράτη μέλη στην ανάπτυξη ΕΔΑ</w:t>
      </w:r>
      <w:r>
        <w:rPr>
          <w:rStyle w:val="FootnoteReference"/>
          <w:noProof/>
        </w:rPr>
        <w:footnoteReference w:id="10"/>
      </w:r>
      <w:r>
        <w:rPr>
          <w:noProof/>
        </w:rPr>
        <w:t>. Η εκτελεστική απόφαση 2014/287/ΕΕ της Επιτροπής καθορίζει τη διαδικασία και τα κριτήρια για ολόκληρο τον κύκλο ζωής των δικτύων, από την πρόσκληση υποβολής προτάσεων μέχρι την αξιολόγηση, την έγκριση, τη σύσταση και την αξιολόγηση των ΕΔΑ. Ο Εκτελεστικός Οργανισμός για τους Καταναλωτές, την Υγεία, τη Γεωργία και τα Τρόφιμα (Chafea) έχει παράσχει στήριξη στην Επιτροπή σε όλα αυτά τα στάδια, για παράδειγμα μέσω των εξής:</w:t>
      </w:r>
    </w:p>
    <w:p>
      <w:pPr>
        <w:pStyle w:val="ListParagraph"/>
        <w:widowControl w:val="0"/>
        <w:numPr>
          <w:ilvl w:val="0"/>
          <w:numId w:val="56"/>
        </w:numPr>
        <w:spacing w:before="120" w:after="120" w:line="360" w:lineRule="auto"/>
        <w:ind w:left="426" w:hanging="357"/>
        <w:contextualSpacing w:val="0"/>
        <w:jc w:val="both"/>
        <w:rPr>
          <w:rFonts w:ascii="Times New Roman" w:eastAsia="Arial" w:hAnsi="Times New Roman"/>
          <w:noProof/>
        </w:rPr>
      </w:pPr>
      <w:r>
        <w:rPr>
          <w:rFonts w:ascii="Times New Roman" w:hAnsi="Times New Roman"/>
          <w:noProof/>
        </w:rPr>
        <w:t>διαχείριση της πρόσκλησης εκδήλωσης ενδιαφέροντος για τη δημιουργία δικτύων·</w:t>
      </w:r>
    </w:p>
    <w:p>
      <w:pPr>
        <w:pStyle w:val="ListParagraph"/>
        <w:widowControl w:val="0"/>
        <w:numPr>
          <w:ilvl w:val="0"/>
          <w:numId w:val="56"/>
        </w:numPr>
        <w:spacing w:before="120" w:after="120" w:line="360" w:lineRule="auto"/>
        <w:ind w:left="426" w:hanging="357"/>
        <w:contextualSpacing w:val="0"/>
        <w:jc w:val="both"/>
        <w:rPr>
          <w:rFonts w:ascii="Times New Roman" w:eastAsia="Arial" w:hAnsi="Times New Roman"/>
          <w:noProof/>
        </w:rPr>
      </w:pPr>
      <w:r>
        <w:rPr>
          <w:rFonts w:ascii="Times New Roman" w:hAnsi="Times New Roman"/>
          <w:noProof/>
        </w:rPr>
        <w:t>διασφάλιση της αξιολόγησης όλων των υποψήφιων δικτύων· και</w:t>
      </w:r>
    </w:p>
    <w:p>
      <w:pPr>
        <w:pStyle w:val="ListParagraph"/>
        <w:widowControl w:val="0"/>
        <w:numPr>
          <w:ilvl w:val="0"/>
          <w:numId w:val="56"/>
        </w:numPr>
        <w:spacing w:before="120" w:after="120" w:line="360" w:lineRule="auto"/>
        <w:ind w:left="426" w:hanging="357"/>
        <w:contextualSpacing w:val="0"/>
        <w:jc w:val="both"/>
        <w:rPr>
          <w:rFonts w:ascii="Times New Roman" w:eastAsia="Arial" w:hAnsi="Times New Roman"/>
          <w:noProof/>
        </w:rPr>
      </w:pPr>
      <w:r>
        <w:rPr>
          <w:rFonts w:ascii="Times New Roman" w:hAnsi="Times New Roman"/>
          <w:noProof/>
        </w:rPr>
        <w:t>διοχέτευση της συγχρηματοδότησης από την ΕΕ για τη στήριξη των δαπανών συντονισμού των εγκριθέντων έργων για 5 έτη (2017-2021).</w:t>
      </w:r>
    </w:p>
    <w:p>
      <w:pPr>
        <w:pStyle w:val="Default"/>
        <w:keepNext/>
        <w:spacing w:before="120" w:after="120" w:line="360" w:lineRule="auto"/>
        <w:jc w:val="both"/>
        <w:rPr>
          <w:rFonts w:eastAsiaTheme="minorHAnsi"/>
          <w:noProof/>
          <w:sz w:val="22"/>
          <w:szCs w:val="22"/>
          <w:u w:val="single"/>
        </w:rPr>
      </w:pPr>
      <w:r>
        <w:rPr>
          <w:rFonts w:eastAsiaTheme="minorHAnsi"/>
          <w:noProof/>
          <w:sz w:val="22"/>
          <w:u w:val="single"/>
        </w:rPr>
        <w:t>Στόχος</w:t>
      </w:r>
    </w:p>
    <w:p>
      <w:pPr>
        <w:pStyle w:val="NormalWeb"/>
        <w:shd w:val="clear" w:color="auto" w:fill="FFFFFF"/>
        <w:spacing w:before="120" w:after="120" w:line="360" w:lineRule="auto"/>
        <w:jc w:val="both"/>
        <w:rPr>
          <w:rFonts w:eastAsiaTheme="minorHAnsi"/>
          <w:noProof/>
          <w:color w:val="000000"/>
          <w:sz w:val="22"/>
          <w:szCs w:val="22"/>
        </w:rPr>
      </w:pPr>
      <w:r>
        <w:rPr>
          <w:noProof/>
        </w:rPr>
        <w:t>Στόχος των ΕΔΑ είναι να παρέχουν εντός της ΕΕ πρόσβαση σε βέλτιστη εμπειρογνωμοσύνη και σε γνώσεις που συχνά σώζουν ζωές, χωρίς να πρέπει να ταξιδέψουν σε άλλη χώρα.</w:t>
      </w:r>
    </w:p>
    <w:p>
      <w:pPr>
        <w:pStyle w:val="NormalWeb"/>
        <w:shd w:val="clear" w:color="auto" w:fill="FFFFFF"/>
        <w:spacing w:after="0" w:line="360" w:lineRule="auto"/>
        <w:jc w:val="both"/>
        <w:rPr>
          <w:rFonts w:eastAsiaTheme="minorHAnsi"/>
          <w:noProof/>
          <w:color w:val="000000"/>
          <w:sz w:val="22"/>
          <w:szCs w:val="22"/>
          <w:u w:val="single"/>
        </w:rPr>
      </w:pPr>
      <w:r>
        <w:rPr>
          <w:rFonts w:eastAsiaTheme="minorHAnsi"/>
          <w:noProof/>
          <w:color w:val="000000"/>
          <w:sz w:val="22"/>
          <w:u w:val="single"/>
        </w:rPr>
        <w:t>Μέσα</w:t>
      </w:r>
    </w:p>
    <w:p>
      <w:pPr>
        <w:pStyle w:val="NormalWeb"/>
        <w:shd w:val="clear" w:color="auto" w:fill="FFFFFF"/>
        <w:spacing w:after="0" w:line="360" w:lineRule="auto"/>
        <w:jc w:val="both"/>
        <w:rPr>
          <w:rFonts w:eastAsiaTheme="minorHAnsi"/>
          <w:noProof/>
          <w:color w:val="000000"/>
          <w:sz w:val="22"/>
          <w:szCs w:val="22"/>
        </w:rPr>
      </w:pPr>
      <w:r>
        <w:rPr>
          <w:rFonts w:eastAsiaTheme="minorHAnsi"/>
          <w:noProof/>
          <w:color w:val="000000"/>
          <w:sz w:val="22"/>
        </w:rPr>
        <w:t>Για τη στήριξη της βιωσιμότητας των ΕΔΑ, αποφασίστηκε η παροχή επιχορηγήσεων για μακροπρόθεσμη συνεργασία μέσω συμβάσεων-πλαισίων εταιρικής σχέσης (ΣΠΕΣ) μεταξύ του Chafea και των δικαιούχων. Η ετήσια συγχρηματοδότηση διασφαλίζεται στη συνέχεια με την υπογραφή ειδικών συμφωνιών επιχορήγησης (ΕΣΕ) που καλύπτουν τις δαπάνες επιστημονικού και τεχνικού συντονισμού των δικτύων. Τον Ιούνιο του 2017 είχαν υπογραφεί ΣΠΕΣ και δύο κύκλοι ετήσιων ΕΣΕ και από τα 23 ΕΔΑ</w:t>
      </w:r>
      <w:r>
        <w:rPr>
          <w:rStyle w:val="FootnoteReference"/>
          <w:rFonts w:eastAsiaTheme="minorHAnsi"/>
          <w:noProof/>
          <w:color w:val="000000"/>
          <w:sz w:val="22"/>
        </w:rPr>
        <w:footnoteReference w:id="11"/>
      </w:r>
      <w:r>
        <w:rPr>
          <w:rFonts w:eastAsiaTheme="minorHAnsi"/>
          <w:noProof/>
          <w:color w:val="000000"/>
          <w:sz w:val="22"/>
        </w:rPr>
        <w:t>.</w:t>
      </w:r>
    </w:p>
    <w:p>
      <w:pPr>
        <w:pStyle w:val="NormalWeb"/>
        <w:shd w:val="clear" w:color="auto" w:fill="FFFFFF"/>
        <w:spacing w:after="0" w:line="360" w:lineRule="auto"/>
        <w:jc w:val="both"/>
        <w:rPr>
          <w:rFonts w:eastAsiaTheme="minorHAnsi"/>
          <w:noProof/>
          <w:color w:val="000000"/>
          <w:sz w:val="22"/>
          <w:szCs w:val="22"/>
        </w:rPr>
      </w:pPr>
    </w:p>
    <w:p>
      <w:pPr>
        <w:pStyle w:val="NormalWeb"/>
        <w:shd w:val="clear" w:color="auto" w:fill="FFFFFF"/>
        <w:spacing w:after="0" w:line="360" w:lineRule="auto"/>
        <w:jc w:val="both"/>
        <w:rPr>
          <w:rFonts w:eastAsia="Times New Roman"/>
          <w:i/>
          <w:noProof/>
          <w:sz w:val="22"/>
          <w:szCs w:val="22"/>
        </w:rPr>
      </w:pPr>
      <w:r>
        <w:rPr>
          <w:i/>
          <w:noProof/>
          <w:sz w:val="22"/>
        </w:rPr>
        <w:t>Προαγωγή της υγείας και πρόληψη των νόσων</w:t>
      </w:r>
    </w:p>
    <w:p>
      <w:pPr>
        <w:pStyle w:val="NormalWeb"/>
        <w:shd w:val="clear" w:color="auto" w:fill="FFFFFF"/>
        <w:spacing w:after="0" w:line="360" w:lineRule="auto"/>
        <w:jc w:val="both"/>
        <w:rPr>
          <w:rFonts w:eastAsia="Times New Roman"/>
          <w:noProof/>
          <w:sz w:val="22"/>
          <w:szCs w:val="22"/>
        </w:rPr>
      </w:pPr>
      <w:r>
        <w:rPr>
          <w:noProof/>
          <w:sz w:val="22"/>
        </w:rPr>
        <w:t xml:space="preserve">Επιπλέον του γεγονότος ότι αποτέλεσαν τον τομέα εστίασης του έτους, </w:t>
      </w:r>
      <w:r>
        <w:rPr>
          <w:b/>
          <w:noProof/>
          <w:sz w:val="22"/>
        </w:rPr>
        <w:t>η προαγωγή της υγείας και η πρόληψη των νόσων</w:t>
      </w:r>
      <w:r>
        <w:rPr>
          <w:noProof/>
          <w:sz w:val="22"/>
        </w:rPr>
        <w:t xml:space="preserve"> υποστηρίχθηκαν από διάφορες δράσεις, οι οποίες επικεντρώθηκαν ιδίως στις βέλτιστες πρακτικές όσον αφορά τις ευάλωτες ομάδες μεταναστών και προσφύγων.</w:t>
      </w:r>
    </w:p>
    <w:p>
      <w:pPr>
        <w:pStyle w:val="NormalWeb"/>
        <w:shd w:val="clear" w:color="auto" w:fill="FFFFFF"/>
        <w:spacing w:after="0" w:line="360" w:lineRule="auto"/>
        <w:jc w:val="both"/>
        <w:rPr>
          <w:rFonts w:eastAsia="Times New Roman"/>
          <w:noProof/>
          <w:sz w:val="22"/>
          <w:szCs w:val="22"/>
        </w:rPr>
      </w:pPr>
    </w:p>
    <w:p>
      <w:pPr>
        <w:pStyle w:val="NormalWeb"/>
        <w:shd w:val="clear" w:color="auto" w:fill="FFFFFF"/>
        <w:spacing w:after="0" w:line="360" w:lineRule="auto"/>
        <w:jc w:val="both"/>
        <w:rPr>
          <w:rFonts w:eastAsia="Times New Roman"/>
          <w:noProof/>
          <w:sz w:val="22"/>
          <w:szCs w:val="22"/>
          <w:u w:val="single"/>
        </w:rPr>
      </w:pPr>
      <w:r>
        <w:rPr>
          <w:noProof/>
          <w:sz w:val="22"/>
          <w:u w:val="single"/>
        </w:rPr>
        <w:t>Ιστορικό</w:t>
      </w:r>
    </w:p>
    <w:p>
      <w:pPr>
        <w:pStyle w:val="NormalWeb"/>
        <w:shd w:val="clear" w:color="auto" w:fill="FFFFFF"/>
        <w:spacing w:after="0" w:line="360" w:lineRule="auto"/>
        <w:jc w:val="both"/>
        <w:rPr>
          <w:rFonts w:eastAsia="Times New Roman"/>
          <w:noProof/>
          <w:sz w:val="22"/>
          <w:szCs w:val="22"/>
        </w:rPr>
      </w:pPr>
      <w:r>
        <w:rPr>
          <w:noProof/>
          <w:sz w:val="22"/>
        </w:rPr>
        <w:t>Αξιοποιώντας τη χρηματοδοτική στήριξη που παρασχέθηκε στον συγκεκριμένο τομέα κατά τη διάρκεια της μεταναστευτικής κρίσης το 2015, το ετήσιο πρόγραμμα εργασίας για το 2016 προώθησε τη βιωσιμότητα μέσω της ανάπτυξης ικανοτήτων και της εφαρμογής βέλτιστων πρακτικών στον τομέα της παροχής φροντίδας για ευάλωτους μετανάστες και πρόσφυγες.</w:t>
      </w:r>
    </w:p>
    <w:p>
      <w:pPr>
        <w:pStyle w:val="NormalWeb"/>
        <w:shd w:val="clear" w:color="auto" w:fill="FFFFFF"/>
        <w:spacing w:after="0" w:line="360" w:lineRule="auto"/>
        <w:jc w:val="both"/>
        <w:rPr>
          <w:rFonts w:eastAsia="Times New Roman"/>
          <w:noProof/>
          <w:sz w:val="22"/>
          <w:szCs w:val="22"/>
        </w:rPr>
      </w:pPr>
    </w:p>
    <w:p>
      <w:pPr>
        <w:pStyle w:val="NormalWeb"/>
        <w:shd w:val="clear" w:color="auto" w:fill="FFFFFF"/>
        <w:spacing w:after="0" w:line="360" w:lineRule="auto"/>
        <w:jc w:val="both"/>
        <w:rPr>
          <w:rFonts w:eastAsia="Times New Roman"/>
          <w:noProof/>
          <w:sz w:val="22"/>
          <w:szCs w:val="22"/>
        </w:rPr>
      </w:pPr>
    </w:p>
    <w:p>
      <w:pPr>
        <w:autoSpaceDE w:val="0"/>
        <w:autoSpaceDN w:val="0"/>
        <w:adjustRightInd w:val="0"/>
        <w:spacing w:after="0" w:line="360" w:lineRule="auto"/>
        <w:jc w:val="both"/>
        <w:rPr>
          <w:noProof/>
          <w:color w:val="000000"/>
          <w:u w:val="single"/>
        </w:rPr>
      </w:pPr>
      <w:r>
        <w:rPr>
          <w:noProof/>
          <w:color w:val="000000"/>
          <w:u w:val="single"/>
        </w:rPr>
        <w:t>Στόχος</w:t>
      </w:r>
    </w:p>
    <w:p>
      <w:pPr>
        <w:autoSpaceDE w:val="0"/>
        <w:autoSpaceDN w:val="0"/>
        <w:adjustRightInd w:val="0"/>
        <w:spacing w:after="0" w:line="360" w:lineRule="auto"/>
        <w:jc w:val="both"/>
        <w:rPr>
          <w:noProof/>
          <w:color w:val="000000"/>
        </w:rPr>
      </w:pPr>
      <w:r>
        <w:rPr>
          <w:noProof/>
          <w:color w:val="000000"/>
        </w:rPr>
        <w:t>Στόχος της συγχρηματοδότησης από την ΕΕ στον τομέα αυτό είναι η προώθηση βέλτιστων πρακτικών στον τομέα της παροχής φροντίδας για ευάλωτους μετανάστες και πρόσφυγες.</w:t>
      </w:r>
    </w:p>
    <w:p>
      <w:pPr>
        <w:pStyle w:val="NormalWeb"/>
        <w:shd w:val="clear" w:color="auto" w:fill="FFFFFF"/>
        <w:spacing w:after="0" w:line="360" w:lineRule="auto"/>
        <w:jc w:val="both"/>
        <w:rPr>
          <w:rFonts w:eastAsia="Times New Roman"/>
          <w:noProof/>
          <w:sz w:val="22"/>
          <w:szCs w:val="22"/>
          <w:u w:val="single"/>
        </w:rPr>
      </w:pPr>
      <w:r>
        <w:rPr>
          <w:noProof/>
          <w:sz w:val="22"/>
          <w:u w:val="single"/>
        </w:rPr>
        <w:t>Μέσα</w:t>
      </w:r>
    </w:p>
    <w:p>
      <w:pPr>
        <w:pStyle w:val="NormalWeb"/>
        <w:shd w:val="clear" w:color="auto" w:fill="FFFFFF"/>
        <w:spacing w:after="0" w:line="360" w:lineRule="auto"/>
        <w:jc w:val="both"/>
        <w:rPr>
          <w:rFonts w:eastAsia="Times New Roman"/>
          <w:noProof/>
          <w:sz w:val="22"/>
          <w:szCs w:val="22"/>
        </w:rPr>
      </w:pPr>
      <w:r>
        <w:rPr>
          <w:noProof/>
          <w:sz w:val="22"/>
        </w:rPr>
        <w:t>Σε αυτό το γενικό πλαίσιο, το ετήσιο πρόγραμμα εργασίας για το 2016 συγχρηματοδότησε:</w:t>
      </w:r>
    </w:p>
    <w:p>
      <w:pPr>
        <w:pStyle w:val="NormalWeb"/>
        <w:numPr>
          <w:ilvl w:val="0"/>
          <w:numId w:val="60"/>
        </w:numPr>
        <w:shd w:val="clear" w:color="auto" w:fill="FFFFFF"/>
        <w:spacing w:after="0" w:line="360" w:lineRule="auto"/>
        <w:jc w:val="both"/>
        <w:rPr>
          <w:rFonts w:eastAsia="Times New Roman"/>
          <w:noProof/>
          <w:sz w:val="22"/>
          <w:szCs w:val="22"/>
        </w:rPr>
      </w:pPr>
      <w:r>
        <w:rPr>
          <w:noProof/>
          <w:sz w:val="22"/>
        </w:rPr>
        <w:t>τρία έργα με αντικείμενο την «Υγεία των μεταναστών: Βέλτιστες πρακτικές στον τομέα της παροχής φροντίδας για ευάλωτους μετανάστες και πρόσφυγες» (2 484 164,99 EUR)·</w:t>
      </w:r>
    </w:p>
    <w:p>
      <w:pPr>
        <w:pStyle w:val="NormalWeb"/>
        <w:numPr>
          <w:ilvl w:val="0"/>
          <w:numId w:val="59"/>
        </w:numPr>
        <w:shd w:val="clear" w:color="auto" w:fill="FFFFFF"/>
        <w:spacing w:after="0" w:line="360" w:lineRule="auto"/>
        <w:jc w:val="both"/>
        <w:rPr>
          <w:rFonts w:eastAsia="Times New Roman"/>
          <w:noProof/>
          <w:sz w:val="22"/>
          <w:szCs w:val="22"/>
        </w:rPr>
      </w:pPr>
      <w:r>
        <w:rPr>
          <w:noProof/>
          <w:sz w:val="22"/>
        </w:rPr>
        <w:t>δύο προσκλήσεις υποβολής προσφορών με αντικείμενο την «Παροχή κατάρτισης σε επαγγελματίες της υγείας σχετικά με τους μετανάστες και τους πρόσφυγες» (4 107 214 EUR)·</w:t>
      </w:r>
    </w:p>
    <w:p>
      <w:pPr>
        <w:pStyle w:val="NormalWeb"/>
        <w:numPr>
          <w:ilvl w:val="0"/>
          <w:numId w:val="59"/>
        </w:numPr>
        <w:shd w:val="clear" w:color="auto" w:fill="FFFFFF"/>
        <w:spacing w:after="0" w:line="360" w:lineRule="auto"/>
        <w:jc w:val="both"/>
        <w:rPr>
          <w:rFonts w:eastAsia="Times New Roman"/>
          <w:noProof/>
          <w:sz w:val="22"/>
          <w:szCs w:val="22"/>
        </w:rPr>
      </w:pPr>
      <w:r>
        <w:rPr>
          <w:noProof/>
          <w:sz w:val="22"/>
        </w:rPr>
        <w:t>συμφωνία άμεσης επιχορήγησης με τον Παγκόσμιο Οργανισμό Υγείας (ΠΟΥ), η οποία εστιάζει στην ανάπτυξη και την εφαρμογή τεχνικής καθοδήγησης με σκοπό τη στήριξη της πρόσβασης του μεταναστευτικού πληθυσμού στα εθνικά συστήματα υγειονομικής περίθαλψης (500 000 EUR)· και</w:t>
      </w:r>
    </w:p>
    <w:p>
      <w:pPr>
        <w:pStyle w:val="NormalWeb"/>
        <w:numPr>
          <w:ilvl w:val="0"/>
          <w:numId w:val="59"/>
        </w:numPr>
        <w:shd w:val="clear" w:color="auto" w:fill="FFFFFF"/>
        <w:spacing w:after="0" w:line="360" w:lineRule="auto"/>
        <w:jc w:val="both"/>
        <w:rPr>
          <w:rFonts w:eastAsia="Times New Roman"/>
          <w:noProof/>
          <w:sz w:val="22"/>
          <w:szCs w:val="22"/>
        </w:rPr>
      </w:pPr>
      <w:r>
        <w:rPr>
          <w:noProof/>
          <w:sz w:val="22"/>
        </w:rPr>
        <w:t>επιχορήγηση λειτουργίας για το «Δίκτυο για την ευπάθεια» (326 808,00 EUR).</w:t>
      </w:r>
    </w:p>
    <w:p>
      <w:pPr>
        <w:pStyle w:val="NormalWeb"/>
        <w:shd w:val="clear" w:color="auto" w:fill="FFFFFF"/>
        <w:spacing w:after="0" w:line="360" w:lineRule="auto"/>
        <w:ind w:left="360"/>
        <w:jc w:val="both"/>
        <w:rPr>
          <w:rFonts w:eastAsia="Times New Roman"/>
          <w:noProof/>
          <w:sz w:val="22"/>
          <w:szCs w:val="22"/>
        </w:rPr>
      </w:pPr>
    </w:p>
    <w:p>
      <w:pPr>
        <w:autoSpaceDE w:val="0"/>
        <w:autoSpaceDN w:val="0"/>
        <w:adjustRightInd w:val="0"/>
        <w:spacing w:after="0" w:line="360" w:lineRule="auto"/>
        <w:jc w:val="both"/>
        <w:rPr>
          <w:rFonts w:eastAsia="Times New Roman"/>
          <w:noProof/>
        </w:rPr>
      </w:pPr>
      <w:r>
        <w:rPr>
          <w:noProof/>
        </w:rPr>
        <w:t xml:space="preserve">Τα τρία έργα σχετικά με την </w:t>
      </w:r>
      <w:r>
        <w:rPr>
          <w:b/>
          <w:noProof/>
        </w:rPr>
        <w:t>υγεία των μεταναστών</w:t>
      </w:r>
      <w:r>
        <w:rPr>
          <w:noProof/>
        </w:rPr>
        <w:t xml:space="preserve"> είναι τα εξής:</w:t>
      </w:r>
    </w:p>
    <w:p>
      <w:pPr>
        <w:pStyle w:val="ListParagraph"/>
        <w:numPr>
          <w:ilvl w:val="0"/>
          <w:numId w:val="59"/>
        </w:numPr>
        <w:spacing w:line="360" w:lineRule="auto"/>
        <w:jc w:val="both"/>
        <w:rPr>
          <w:rFonts w:ascii="Times New Roman" w:eastAsiaTheme="minorHAnsi" w:hAnsi="Times New Roman" w:cstheme="minorBidi"/>
          <w:noProof/>
          <w:color w:val="000000"/>
        </w:rPr>
      </w:pPr>
      <w:r>
        <w:rPr>
          <w:rFonts w:ascii="Times New Roman" w:eastAsiaTheme="minorHAnsi" w:hAnsi="Times New Roman" w:cstheme="minorBidi"/>
          <w:noProof/>
          <w:color w:val="000000"/>
        </w:rPr>
        <w:t>MigHealthCare, στο πλαίσιο του οποίου 14 εταίροι από 10 κράτη μέλη (Αυστρία, Βουλγαρία, Γαλλία, Γερμανία, Ελλάδα, Ισπανία, Ιταλία, Κύπρος, Μάλτα και Σουηδία) αναπτύσσουν και υποβάλλουν σε πιλοτική δοκιμή μια ολοκληρωμένη εργαλειοθήκη με σκοπό την πρακτική εφαρμογή μοντέλων περίθαλψης σε επίπεδο κοινοτήτων για ευάλωτους μετανάστες και πρόσφυγες, συμπεριλαμβανομένων μοντέλων πρόβλεψης, παραδειγμάτων βέλτιστων πρακτικών, αλγορίθμων και ειδικά προσαρμοσμένου υλικού για την υγεία.</w:t>
      </w:r>
    </w:p>
    <w:p>
      <w:pPr>
        <w:pStyle w:val="ListParagraph"/>
        <w:numPr>
          <w:ilvl w:val="0"/>
          <w:numId w:val="59"/>
        </w:numPr>
        <w:spacing w:line="360" w:lineRule="auto"/>
        <w:jc w:val="both"/>
        <w:rPr>
          <w:rFonts w:ascii="Times New Roman" w:hAnsi="Times New Roman"/>
          <w:noProof/>
        </w:rPr>
      </w:pPr>
      <w:r>
        <w:rPr>
          <w:rFonts w:ascii="Times New Roman" w:hAnsi="Times New Roman"/>
          <w:noProof/>
        </w:rPr>
        <w:t xml:space="preserve">MyHealth, στο πλαίσιο του οποίου 11 εταίροι από επτά κράτη μέλη (Γερμανία, Ελλάδα, Ηνωμένο Βασίλειο, Ιρλανδία, Ισπανία, Ιταλία και Τσεχική Δημοκρατία) αναπτύσσουν στρατηγικές παρέμβασης στον τομέα της υγείας για την ψυχική υγεία και τις μεταδοτικές και μη μεταδοτικές νόσους. Το έργο θα θέσει επίσης σε εφαρμογή μια πλατφόρμα που βασίζεται σε ΤΠΕ (συμπεριλαμβανομένου διαδραστικού χάρτη των συστημάτων υγείας της ΕΕ) για την υποστήριξη εργαλείων και εφαρμογών πληροφόρησης σχετικά με την υγεία τόσο για τους ασθενείς όσο και για τους επαγγελματίες του τομέα της υγείας. </w:t>
      </w:r>
    </w:p>
    <w:p>
      <w:pPr>
        <w:pStyle w:val="ListParagraph"/>
        <w:numPr>
          <w:ilvl w:val="0"/>
          <w:numId w:val="59"/>
        </w:numPr>
        <w:spacing w:after="0" w:line="360" w:lineRule="auto"/>
        <w:ind w:left="714" w:hanging="357"/>
        <w:contextualSpacing w:val="0"/>
        <w:jc w:val="both"/>
        <w:rPr>
          <w:rFonts w:ascii="Times New Roman" w:hAnsi="Times New Roman"/>
          <w:noProof/>
        </w:rPr>
      </w:pPr>
      <w:r>
        <w:rPr>
          <w:rFonts w:ascii="Times New Roman" w:hAnsi="Times New Roman"/>
          <w:noProof/>
        </w:rPr>
        <w:t>ORAMMA, στο πλαίσιο του οποίου οκτώ εταίροι από τέσσερα κράτη μέλη (Ελλάδα, Ηνωμένο Βασίλειο, Κάτω Χώρες και Σουηδία) προάγουν την ασφαλή μητρότητα και βελτιώνουν την πρόσβαση των μητέρων σε υγειονομική περίθαλψη. Το έργο εφαρμόζει πιλοτικά και αξιολογεί ολοκληρωμένες και οικονομικά αποδοτικές πρωτοβουλίες για την ασφαλή μητρότητα, δίνοντας έμφαση στις γυναίκες που διατρέχουν ιδιαίτερους κινδύνους. Στόχος του έργου είναι επίσης η επέκταση των ορθών πρακτικών σε όλα τα συστήματα υγειονομικής περίθαλψης στην ΕΕ ώστε να διασφαλιστεί η ισότητα μεταξύ των κρατών μελών.</w:t>
      </w:r>
    </w:p>
    <w:p>
      <w:pPr>
        <w:pStyle w:val="ListParagraph"/>
        <w:spacing w:after="0" w:line="360" w:lineRule="auto"/>
        <w:ind w:left="714"/>
        <w:contextualSpacing w:val="0"/>
        <w:jc w:val="both"/>
        <w:rPr>
          <w:rFonts w:ascii="Times New Roman" w:hAnsi="Times New Roman"/>
          <w:noProof/>
        </w:rPr>
      </w:pPr>
    </w:p>
    <w:p>
      <w:pPr>
        <w:autoSpaceDE w:val="0"/>
        <w:autoSpaceDN w:val="0"/>
        <w:adjustRightInd w:val="0"/>
        <w:spacing w:after="0" w:line="360" w:lineRule="auto"/>
        <w:jc w:val="both"/>
        <w:rPr>
          <w:rFonts w:eastAsia="Times New Roman"/>
          <w:noProof/>
        </w:rPr>
      </w:pPr>
      <w:r>
        <w:rPr>
          <w:noProof/>
        </w:rPr>
        <w:t>Οι δύο προσκλήσεις υποβολής προσφορών με αντικείμενο την «Παροχή κατάρτισης σε επαγγελματίες της υγείας σχετικά με τους μετανάστες και τους πρόσφυγες» (4 107 214 EUR) χρηματοδότησαν, αφενός, την ανάπτυξη ενός κύκλου μαθημάτων προηγμένης κατάρτισης σχετικά με την ψυχική υγεία, τον εντοπισμό μετατραυματικού άγχους και τον έλεγχο για μεταδοτικές νόσους σε μετανάστες και πρόσφυγες και, αφετέρου, τα μαθήματα κατάρτισης αυτά καθαυτά σε 10 ευρωπαϊκές χώρες (Βουλγαρία, Γαλλία, Ελλάδα, Ισπανία, Ιταλία, Κροατία, Μάλτα, Νορβηγία, Σερβία και Σλοβενία).</w:t>
      </w:r>
    </w:p>
    <w:p>
      <w:pPr>
        <w:autoSpaceDE w:val="0"/>
        <w:autoSpaceDN w:val="0"/>
        <w:adjustRightInd w:val="0"/>
        <w:spacing w:after="0" w:line="360" w:lineRule="auto"/>
        <w:jc w:val="both"/>
        <w:rPr>
          <w:rFonts w:eastAsia="Times New Roman"/>
          <w:noProof/>
        </w:rPr>
      </w:pPr>
      <w:r>
        <w:rPr>
          <w:noProof/>
        </w:rPr>
        <w:t>Το έργο απευθύνεται σε επαγγελματίες της υγείας, υπαλλήλους των αρχών επιβολής του νόμου και εκπαιδευτές των εκπαιδευτών. Αναμένεται, αφενός, να εξασφαλίσει την καλύτερη κατανόηση των αναγκών του μεταναστευτικού πληθυσμού και την ενίσχυση των δεξιοτήτων όσων συμμετέχουν στην περίθαλψή τους και, αφετέρου, να έχει θετικό αντίκτυπο στη δημόσια υγεία τόσο στις επιλεγείσες χώρες όσο και στην ΕΕ συνολικά.</w:t>
      </w:r>
    </w:p>
    <w:p>
      <w:pPr>
        <w:autoSpaceDE w:val="0"/>
        <w:autoSpaceDN w:val="0"/>
        <w:adjustRightInd w:val="0"/>
        <w:spacing w:after="0" w:line="360" w:lineRule="auto"/>
        <w:jc w:val="both"/>
        <w:rPr>
          <w:rFonts w:eastAsia="Times New Roman"/>
          <w:noProof/>
        </w:rPr>
      </w:pPr>
      <w:r>
        <w:rPr>
          <w:noProof/>
        </w:rPr>
        <w:t>Η συμφωνία άμεσης επιχορήγησης με τον ΠΟΥ εστιάζει στην ανάπτυξη και την εφαρμογή τεχνικής καθοδήγησης, συμπεριλαμβανομένων καταλόγων ελέγχου, τυποποιημένων διαδικασιών λειτουργίας (ΤΔΛ), δεικτών ορθών πρακτικών και ενημερωτικών δελτίων σε έξι ζητήματα προτεραιότητας σχετικά με την υγεία των μεταναστών [ψυχική υγεία, προαγωγή της υγείας, μη μεταδοτικές νόσοι, μητέρα και νεογέννητο, υγεία των παιδιών (συμπεριλαμβανομένης της ανοσοποίησης) και υγεία των ηλικιωμένων], με σκοπό τη στήριξη της πρόσβασης του μεταναστευτικού πληθυσμού στα εθνικά συστήματα υγειονομικής περίθαλψης.</w:t>
      </w:r>
    </w:p>
    <w:p>
      <w:pPr>
        <w:autoSpaceDE w:val="0"/>
        <w:autoSpaceDN w:val="0"/>
        <w:adjustRightInd w:val="0"/>
        <w:spacing w:after="0" w:line="360" w:lineRule="auto"/>
        <w:jc w:val="both"/>
        <w:rPr>
          <w:rFonts w:eastAsia="Times New Roman"/>
          <w:noProof/>
        </w:rPr>
      </w:pPr>
      <w:r>
        <w:rPr>
          <w:noProof/>
        </w:rPr>
        <w:t>Τέλος, το ετήσιο πρόγραμμα εργασίας για το 2016 παρείχε χρηματοδοτική στήριξη στο ευρωπαϊκό δίκτυο για τη μείωση των ευπαθειών σε επίπεδο υγείας</w:t>
      </w:r>
      <w:r>
        <w:rPr>
          <w:rStyle w:val="FootnoteReference"/>
          <w:noProof/>
        </w:rPr>
        <w:footnoteReference w:id="12"/>
      </w:r>
      <w:r>
        <w:rPr>
          <w:noProof/>
        </w:rPr>
        <w:t>. Το εν λόγω δίκτυο κατάρτισε το 2016 έκθεση παρατηρητηρίου σχετικά με την πρόσβαση στην υγειονομική περίθαλψη ατόμων που αντιμετωπίζουν πολλαπλές ευπάθειες σε επίπεδο υγείας (η έκθεση κάλυψε 31 πόλεις σε 12 χώρες) και νομική έκθεση του 2016 σχετικά με την πρόσβαση στην υγειονομική περίθαλψη (η έκθεση κάλυψε 17 χώρες).</w:t>
      </w:r>
    </w:p>
    <w:p>
      <w:pPr>
        <w:autoSpaceDE w:val="0"/>
        <w:autoSpaceDN w:val="0"/>
        <w:adjustRightInd w:val="0"/>
        <w:spacing w:after="0" w:line="360" w:lineRule="auto"/>
        <w:jc w:val="both"/>
        <w:rPr>
          <w:rFonts w:eastAsia="Times New Roman"/>
          <w:noProof/>
        </w:rPr>
      </w:pPr>
    </w:p>
    <w:p>
      <w:pPr>
        <w:autoSpaceDE w:val="0"/>
        <w:autoSpaceDN w:val="0"/>
        <w:adjustRightInd w:val="0"/>
        <w:spacing w:after="100" w:afterAutospacing="1" w:line="360" w:lineRule="auto"/>
        <w:jc w:val="both"/>
        <w:rPr>
          <w:noProof/>
          <w:color w:val="000000"/>
        </w:rPr>
      </w:pPr>
      <w:r>
        <w:rPr>
          <w:noProof/>
          <w:color w:val="000000"/>
        </w:rPr>
        <w:t>Λεπτομερής επισκόπηση του συνόλου των δράσεων που χρηματοδοτήθηκαν στο πλαίσιο του ετήσιου προγράμματος εργασίας για το 2016 περιέχεται στο έγγραφο εργασίας των υπηρεσιών της Επιτροπής που συνοδεύει την παρούσα έκθεση.</w:t>
      </w:r>
    </w:p>
    <w:p>
      <w:pPr>
        <w:rPr>
          <w:noProof/>
          <w:color w:val="000000"/>
        </w:rPr>
      </w:pPr>
    </w:p>
    <w:p>
      <w:pPr>
        <w:pStyle w:val="Heading1"/>
        <w:rPr>
          <w:noProof/>
          <w:sz w:val="28"/>
          <w:szCs w:val="28"/>
        </w:rPr>
      </w:pPr>
      <w:bookmarkStart w:id="8" w:name="_Toc518922810"/>
      <w:bookmarkStart w:id="9" w:name="_Toc518984355"/>
      <w:bookmarkStart w:id="10" w:name="_DV_M234"/>
      <w:bookmarkStart w:id="11" w:name="_DV_M235"/>
      <w:bookmarkStart w:id="12" w:name="_DV_M236"/>
      <w:bookmarkStart w:id="13" w:name="_DV_M237"/>
      <w:bookmarkStart w:id="14" w:name="_DV_M238"/>
      <w:bookmarkStart w:id="15" w:name="_DV_M240"/>
      <w:bookmarkStart w:id="16" w:name="_Toc472077567"/>
      <w:bookmarkStart w:id="17" w:name="_Toc10472511"/>
      <w:bookmarkStart w:id="18" w:name="_Toc13161777"/>
      <w:bookmarkEnd w:id="8"/>
      <w:bookmarkEnd w:id="9"/>
      <w:bookmarkEnd w:id="10"/>
      <w:bookmarkEnd w:id="11"/>
      <w:bookmarkEnd w:id="12"/>
      <w:bookmarkEnd w:id="13"/>
      <w:bookmarkEnd w:id="14"/>
      <w:bookmarkEnd w:id="15"/>
      <w:r>
        <w:rPr>
          <w:noProof/>
          <w:sz w:val="28"/>
        </w:rPr>
        <w:t xml:space="preserve">Εφαρμογή </w:t>
      </w:r>
      <w:bookmarkEnd w:id="16"/>
      <w:r>
        <w:rPr>
          <w:noProof/>
          <w:sz w:val="28"/>
        </w:rPr>
        <w:t>του προγράμματος για την υγεία</w:t>
      </w:r>
      <w:bookmarkEnd w:id="17"/>
      <w:bookmarkEnd w:id="18"/>
    </w:p>
    <w:p>
      <w:pPr>
        <w:jc w:val="both"/>
        <w:rPr>
          <w:noProof/>
        </w:rPr>
      </w:pPr>
    </w:p>
    <w:p>
      <w:pPr>
        <w:pStyle w:val="ManualHeading2"/>
        <w:rPr>
          <w:noProof/>
        </w:rPr>
      </w:pPr>
      <w:bookmarkStart w:id="19" w:name="_Toc388355509"/>
      <w:bookmarkStart w:id="20" w:name="_Toc390420263"/>
      <w:bookmarkStart w:id="21" w:name="_Toc404756129"/>
      <w:bookmarkStart w:id="22" w:name="_Toc472077568"/>
      <w:bookmarkStart w:id="23" w:name="_Toc10472512"/>
      <w:bookmarkStart w:id="24" w:name="_Toc13161778"/>
      <w:r>
        <w:t>1.</w:t>
      </w:r>
      <w:r>
        <w:tab/>
      </w:r>
      <w:r>
        <w:rPr>
          <w:noProof/>
        </w:rPr>
        <w:t>Προϋπολογισμός</w:t>
      </w:r>
      <w:bookmarkEnd w:id="19"/>
      <w:bookmarkEnd w:id="20"/>
      <w:bookmarkEnd w:id="21"/>
      <w:bookmarkEnd w:id="22"/>
      <w:bookmarkEnd w:id="23"/>
      <w:bookmarkEnd w:id="24"/>
    </w:p>
    <w:p>
      <w:pPr>
        <w:spacing w:line="360" w:lineRule="auto"/>
        <w:jc w:val="both"/>
        <w:rPr>
          <w:rFonts w:cs="Times New Roman"/>
          <w:noProof/>
        </w:rPr>
      </w:pPr>
      <w:r>
        <w:rPr>
          <w:noProof/>
        </w:rPr>
        <w:t>Ο συνολικός προϋπολογισμός του τρίτου προγράμματος για την υγεία 2014-2020 ανέρχεται σε 449,4 εκατ. EUR. Στο ποσό αυτό περιλαμβάνονται 30 εκατ. EUR για το λειτουργικό κόστος του Εκτελεστικού Οργανισμού για τους Καταναλωτές, την Υγεία, τη Γεωργία και τα Τρόφιμα (Chafea), στον οποίο η Επιτροπή έχει αναθέσει τη διαχείριση του προγράμματος. Ο Chafea παρέχει στην Επιτροπή τεχνική, επιστημονική και διοικητική συνδρομή κατά την εφαρμογή του προγράμματος για την υγεία από το 2005</w:t>
      </w:r>
      <w:r>
        <w:rPr>
          <w:rStyle w:val="FootnoteReference"/>
          <w:noProof/>
        </w:rPr>
        <w:footnoteReference w:id="13"/>
      </w:r>
      <w:r>
        <w:rPr>
          <w:noProof/>
        </w:rPr>
        <w:t>. Διοργανώνει ετησίως προσκλήσεις υποβολής προτάσεων, συντονίζει την αξιολόγηση των προτάσεων που υποβάλλονται και διαπραγματεύεται, υπογράφει και διαχειρίζεται τις σχετικές συμφωνίες επιχορήγησης, ενώ δημοσιοποιεί επίσης τα αποτελέσματα των δράσεων. Είναι επίσης υπεύθυνος για πολλές διαδικασίες ανάθεσης συμβάσεων.</w:t>
      </w:r>
    </w:p>
    <w:p>
      <w:pPr>
        <w:spacing w:line="360" w:lineRule="auto"/>
        <w:jc w:val="both"/>
        <w:rPr>
          <w:rFonts w:cs="Times New Roman"/>
          <w:noProof/>
        </w:rPr>
      </w:pPr>
      <w:r>
        <w:rPr>
          <w:noProof/>
        </w:rPr>
        <w:t>Ο προϋπολογισμός του προγράμματος εργασίας για το 2016</w:t>
      </w:r>
      <w:r>
        <w:rPr>
          <w:rStyle w:val="FootnoteReference"/>
          <w:noProof/>
        </w:rPr>
        <w:footnoteReference w:id="14"/>
      </w:r>
      <w:r>
        <w:rPr>
          <w:noProof/>
        </w:rPr>
        <w:t xml:space="preserve"> ήταν 62 160 000 EUR, τα οποία κατανέμονταν ως εξής:</w:t>
      </w:r>
    </w:p>
    <w:p>
      <w:pPr>
        <w:pStyle w:val="ListParagraph"/>
        <w:numPr>
          <w:ilvl w:val="0"/>
          <w:numId w:val="57"/>
        </w:numPr>
        <w:spacing w:line="360" w:lineRule="auto"/>
        <w:jc w:val="both"/>
        <w:rPr>
          <w:rFonts w:ascii="Times New Roman" w:hAnsi="Times New Roman"/>
          <w:noProof/>
        </w:rPr>
      </w:pPr>
      <w:r>
        <w:rPr>
          <w:rFonts w:ascii="Times New Roman" w:hAnsi="Times New Roman"/>
          <w:noProof/>
        </w:rPr>
        <w:t>Επιχειρησιακές δαπάνες: 56 451 000 EUR, που αντιστοιχούν στη γραμμή προϋπολογισμού 17 03 01 του τρίτου προγράμματος της ΕΕ για την υγεία (2014-2020) («</w:t>
      </w:r>
      <w:r>
        <w:rPr>
          <w:rFonts w:ascii="Times New Roman" w:hAnsi="Times New Roman"/>
          <w:i/>
          <w:noProof/>
        </w:rPr>
        <w:t>Ενθάρρυνση της καινοτομίας στην υγεία, αύξηση της βιωσιμότητας των συστημάτων υγείας και προστασία των πολιτών της Ένωσης από σοβαρές διασυνοριακές απειλές κατά της υγείας</w:t>
      </w:r>
      <w:r>
        <w:rPr>
          <w:rFonts w:ascii="Times New Roman" w:hAnsi="Times New Roman"/>
          <w:noProof/>
        </w:rPr>
        <w:t>»).</w:t>
      </w:r>
    </w:p>
    <w:p>
      <w:pPr>
        <w:pStyle w:val="ListParagraph"/>
        <w:numPr>
          <w:ilvl w:val="0"/>
          <w:numId w:val="57"/>
        </w:numPr>
        <w:spacing w:line="360" w:lineRule="auto"/>
        <w:jc w:val="both"/>
        <w:rPr>
          <w:rFonts w:ascii="Times New Roman" w:hAnsi="Times New Roman"/>
          <w:noProof/>
        </w:rPr>
      </w:pPr>
      <w:r>
        <w:rPr>
          <w:rFonts w:ascii="Times New Roman" w:hAnsi="Times New Roman"/>
          <w:noProof/>
        </w:rPr>
        <w:t>Διοικητικές δαπάνες: 1 500 000 EUR, που αντιστοιχούν στη γραμμή προϋπολογισμού 17</w:t>
      </w:r>
      <w:r>
        <w:rPr>
          <w:noProof/>
        </w:rPr>
        <w:t> </w:t>
      </w:r>
      <w:r>
        <w:rPr>
          <w:rFonts w:ascii="Times New Roman" w:hAnsi="Times New Roman"/>
          <w:noProof/>
        </w:rPr>
        <w:t>01</w:t>
      </w:r>
      <w:r>
        <w:rPr>
          <w:noProof/>
        </w:rPr>
        <w:t> </w:t>
      </w:r>
      <w:r>
        <w:rPr>
          <w:rFonts w:ascii="Times New Roman" w:hAnsi="Times New Roman"/>
          <w:noProof/>
        </w:rPr>
        <w:t>04</w:t>
      </w:r>
      <w:r>
        <w:rPr>
          <w:noProof/>
        </w:rPr>
        <w:t> </w:t>
      </w:r>
      <w:r>
        <w:rPr>
          <w:rFonts w:ascii="Times New Roman" w:hAnsi="Times New Roman"/>
          <w:noProof/>
        </w:rPr>
        <w:t>02 για τις δαπάνες στήριξης του τρίτου προγράμματος της ΕΕ για την υγεία (2014-2020).</w:t>
      </w:r>
    </w:p>
    <w:p>
      <w:pPr>
        <w:pStyle w:val="ListParagraph"/>
        <w:numPr>
          <w:ilvl w:val="0"/>
          <w:numId w:val="57"/>
        </w:numPr>
        <w:rPr>
          <w:rFonts w:ascii="Times New Roman" w:hAnsi="Times New Roman"/>
          <w:noProof/>
        </w:rPr>
      </w:pPr>
      <w:r>
        <w:rPr>
          <w:rFonts w:ascii="Times New Roman" w:hAnsi="Times New Roman"/>
          <w:noProof/>
        </w:rPr>
        <w:t>Συνεισφορά του προγράμματος υγείας στον προϋπολογισμό του Chafea: 4 209 000 EUR.</w:t>
      </w:r>
    </w:p>
    <w:p>
      <w:pPr>
        <w:spacing w:line="360" w:lineRule="auto"/>
        <w:jc w:val="both"/>
        <w:rPr>
          <w:rFonts w:cs="Times New Roman"/>
          <w:noProof/>
        </w:rPr>
      </w:pPr>
      <w:r>
        <w:rPr>
          <w:noProof/>
        </w:rPr>
        <w:t>Ο συνολικός επιχειρησιακός προϋπολογισμός ανήλθε σε 57 992 112 EUR, δεδομένου ότι περιλάμβανε πρόσθετο ποσό ύψους 1 541 112 EUR που αφορούσε πιστώσεις ΕΖΕΣ/ΕΟΧ και πιστώσεις που ανακτήθηκαν από τους προϋπολογισμούς προηγούμενων ετών.</w:t>
      </w:r>
    </w:p>
    <w:p>
      <w:pPr>
        <w:spacing w:line="360" w:lineRule="auto"/>
        <w:jc w:val="both"/>
        <w:rPr>
          <w:rFonts w:cs="Times New Roman"/>
          <w:noProof/>
        </w:rPr>
      </w:pPr>
      <w:r>
        <w:rPr>
          <w:noProof/>
        </w:rPr>
        <w:t>Στο πλαίσιο του ετήσιου προγράμματος εργασίας για το 2016 δεσμεύτηκε συνολικό ποσό ύψους 56 695 888,83 EUR: από το ποσό αυτό, ο Chafea κάλυψε τα 48 248 609,99 EUR, ενώ η ΓΔ SANTE διέθεσε επιπλέον ποσό ύψους 8 447 278,84 EUR, το οποίο κάλυπτε μέρος των δημόσιων συμβάσεων και άλλες δράσεις.</w:t>
      </w:r>
    </w:p>
    <w:p>
      <w:pPr>
        <w:spacing w:line="360" w:lineRule="auto"/>
        <w:jc w:val="both"/>
        <w:rPr>
          <w:rFonts w:cs="Times New Roman"/>
          <w:noProof/>
        </w:rPr>
      </w:pPr>
    </w:p>
    <w:p>
      <w:pPr>
        <w:pStyle w:val="ManualHeading2"/>
        <w:rPr>
          <w:noProof/>
        </w:rPr>
      </w:pPr>
      <w:bookmarkStart w:id="25" w:name="_Toc388355510"/>
      <w:bookmarkStart w:id="26" w:name="_Toc390420264"/>
      <w:bookmarkStart w:id="27" w:name="_Toc404756130"/>
      <w:bookmarkStart w:id="28" w:name="_Toc472077569"/>
      <w:bookmarkStart w:id="29" w:name="_Toc10472513"/>
      <w:bookmarkStart w:id="30" w:name="_Toc13161779"/>
      <w:r>
        <w:t>2.</w:t>
      </w:r>
      <w:r>
        <w:tab/>
      </w:r>
      <w:r>
        <w:rPr>
          <w:noProof/>
        </w:rPr>
        <w:t>Προτεραιότητες και χρηματοδοτικοί μηχανισμοί</w:t>
      </w:r>
      <w:bookmarkEnd w:id="25"/>
      <w:bookmarkEnd w:id="26"/>
      <w:bookmarkEnd w:id="27"/>
      <w:bookmarkEnd w:id="28"/>
      <w:bookmarkEnd w:id="29"/>
      <w:bookmarkEnd w:id="30"/>
    </w:p>
    <w:p>
      <w:pPr>
        <w:spacing w:before="100" w:beforeAutospacing="1" w:after="100" w:afterAutospacing="1" w:line="360" w:lineRule="auto"/>
        <w:jc w:val="both"/>
        <w:rPr>
          <w:rFonts w:eastAsia="Times New Roman" w:cs="Times New Roman"/>
          <w:noProof/>
        </w:rPr>
      </w:pPr>
      <w:r>
        <w:rPr>
          <w:noProof/>
        </w:rPr>
        <w:t>Το 2016, ο συνολικός επιχειρησιακός προϋπολογισμός που δεσμεύτηκε (56 695 888,83 EUR) κατανεμήθηκε μεταξύ των τεσσάρων ειδικών στόχων του προγράμματος, ως εξής:</w:t>
      </w:r>
    </w:p>
    <w:p>
      <w:pPr>
        <w:numPr>
          <w:ilvl w:val="0"/>
          <w:numId w:val="25"/>
        </w:numPr>
        <w:spacing w:before="100" w:beforeAutospacing="1" w:after="100" w:afterAutospacing="1" w:line="360" w:lineRule="auto"/>
        <w:jc w:val="both"/>
        <w:rPr>
          <w:rFonts w:eastAsia="Times New Roman" w:cs="Times New Roman"/>
          <w:b/>
          <w:i/>
          <w:noProof/>
        </w:rPr>
      </w:pPr>
      <w:r>
        <w:rPr>
          <w:b/>
          <w:noProof/>
        </w:rPr>
        <w:t>Προαγωγή της υγείας</w:t>
      </w:r>
      <w:r>
        <w:rPr>
          <w:noProof/>
        </w:rPr>
        <w:t xml:space="preserve">: </w:t>
      </w:r>
      <w:r>
        <w:rPr>
          <w:b/>
          <w:i/>
          <w:noProof/>
        </w:rPr>
        <w:t>25 622 317,07 EUR</w:t>
      </w:r>
      <w:r>
        <w:rPr>
          <w:i/>
          <w:noProof/>
        </w:rPr>
        <w:t xml:space="preserve"> (45 % του επιχειρησιακού προϋπολογισμού το 2016) </w:t>
      </w:r>
      <w:r>
        <w:rPr>
          <w:noProof/>
        </w:rPr>
        <w:t>για προαγωγή της υγείας, πρόληψη των νόσων και προώθηση σε υποστηρικτικά περιβάλλοντα για υγιείς τρόπους ζωής, λαμβάνοντας υπόψη την αρχή «η υγεία σε όλες τις πολιτικές»</w:t>
      </w:r>
    </w:p>
    <w:p>
      <w:pPr>
        <w:numPr>
          <w:ilvl w:val="0"/>
          <w:numId w:val="25"/>
        </w:numPr>
        <w:spacing w:before="100" w:beforeAutospacing="1" w:after="100" w:afterAutospacing="1" w:line="360" w:lineRule="auto"/>
        <w:jc w:val="both"/>
        <w:rPr>
          <w:rFonts w:eastAsia="Times New Roman" w:cs="Times New Roman"/>
          <w:b/>
          <w:i/>
          <w:noProof/>
        </w:rPr>
      </w:pPr>
      <w:r>
        <w:rPr>
          <w:b/>
          <w:noProof/>
        </w:rPr>
        <w:t>Απειλές κατά της υγείας</w:t>
      </w:r>
      <w:r>
        <w:rPr>
          <w:noProof/>
        </w:rPr>
        <w:t xml:space="preserve">: </w:t>
      </w:r>
      <w:r>
        <w:rPr>
          <w:b/>
          <w:i/>
          <w:noProof/>
        </w:rPr>
        <w:t>3 947 709,3 EUR</w:t>
      </w:r>
      <w:r>
        <w:rPr>
          <w:i/>
          <w:noProof/>
        </w:rPr>
        <w:t xml:space="preserve"> (7 %)</w:t>
      </w:r>
      <w:r>
        <w:rPr>
          <w:noProof/>
        </w:rPr>
        <w:t xml:space="preserve"> για την προστασία των πολιτών της Ένωσης από σοβαρές διασυνοριακές απειλές κατά της υγείας</w:t>
      </w:r>
    </w:p>
    <w:p>
      <w:pPr>
        <w:numPr>
          <w:ilvl w:val="0"/>
          <w:numId w:val="25"/>
        </w:numPr>
        <w:spacing w:before="100" w:beforeAutospacing="1" w:after="100" w:afterAutospacing="1" w:line="360" w:lineRule="auto"/>
        <w:jc w:val="both"/>
        <w:rPr>
          <w:rFonts w:eastAsia="Times New Roman" w:cs="Times New Roman"/>
          <w:b/>
          <w:i/>
          <w:noProof/>
        </w:rPr>
      </w:pPr>
      <w:r>
        <w:rPr>
          <w:b/>
          <w:noProof/>
        </w:rPr>
        <w:t>Συστήματα υγείας</w:t>
      </w:r>
      <w:r>
        <w:rPr>
          <w:noProof/>
        </w:rPr>
        <w:t xml:space="preserve">: </w:t>
      </w:r>
      <w:r>
        <w:rPr>
          <w:b/>
          <w:i/>
          <w:noProof/>
        </w:rPr>
        <w:t>8 655 656,8 EUR</w:t>
      </w:r>
      <w:r>
        <w:rPr>
          <w:i/>
          <w:noProof/>
        </w:rPr>
        <w:t xml:space="preserve"> (15 %)</w:t>
      </w:r>
      <w:r>
        <w:rPr>
          <w:noProof/>
        </w:rPr>
        <w:t xml:space="preserve"> για τη συμβολή σε καινοτόμα, αποδοτικά και βιώσιμα συστήματα υγείας</w:t>
      </w:r>
    </w:p>
    <w:p>
      <w:pPr>
        <w:numPr>
          <w:ilvl w:val="0"/>
          <w:numId w:val="25"/>
        </w:numPr>
        <w:spacing w:before="100" w:beforeAutospacing="1" w:after="100" w:afterAutospacing="1" w:line="360" w:lineRule="auto"/>
        <w:jc w:val="both"/>
        <w:rPr>
          <w:rFonts w:eastAsia="Times New Roman" w:cs="Times New Roman"/>
          <w:b/>
          <w:i/>
          <w:noProof/>
        </w:rPr>
      </w:pPr>
      <w:r>
        <w:rPr>
          <w:b/>
          <w:noProof/>
        </w:rPr>
        <w:t>Καλύτερη και ασφαλέστερη υγειονομική περίθαλψη</w:t>
      </w:r>
      <w:r>
        <w:rPr>
          <w:noProof/>
        </w:rPr>
        <w:t xml:space="preserve">: </w:t>
      </w:r>
      <w:r>
        <w:rPr>
          <w:b/>
          <w:i/>
          <w:noProof/>
        </w:rPr>
        <w:t>14 892 153,25 EUR</w:t>
      </w:r>
      <w:r>
        <w:rPr>
          <w:i/>
          <w:noProof/>
        </w:rPr>
        <w:t xml:space="preserve"> (26 %)</w:t>
      </w:r>
      <w:r>
        <w:rPr>
          <w:noProof/>
        </w:rPr>
        <w:t xml:space="preserve"> για τη διευκόλυνση της πρόσβασης των πολιτών της ΕΕ σε καλύτερη και ασφαλέστερη υγειονομική περίθαλψη</w:t>
      </w:r>
    </w:p>
    <w:p>
      <w:pPr>
        <w:spacing w:before="100" w:beforeAutospacing="1" w:after="100" w:afterAutospacing="1" w:line="360" w:lineRule="auto"/>
        <w:jc w:val="both"/>
        <w:rPr>
          <w:rFonts w:eastAsia="Times New Roman" w:cs="Times New Roman"/>
          <w:i/>
          <w:noProof/>
        </w:rPr>
      </w:pPr>
      <w:r>
        <w:rPr>
          <w:noProof/>
        </w:rPr>
        <w:t xml:space="preserve">Το ποσό για τις </w:t>
      </w:r>
      <w:r>
        <w:rPr>
          <w:b/>
          <w:noProof/>
        </w:rPr>
        <w:t>οριζόντιες δράσεις</w:t>
      </w:r>
      <w:r>
        <w:rPr>
          <w:noProof/>
        </w:rPr>
        <w:t xml:space="preserve"> (τεχνολογία των πληροφοριών, επικοινωνία) ανερχόταν σε </w:t>
      </w:r>
      <w:r>
        <w:rPr>
          <w:i/>
          <w:noProof/>
        </w:rPr>
        <w:t>3 578 052,41 EUR (7 %)</w:t>
      </w:r>
      <w:r>
        <w:rPr>
          <w:noProof/>
        </w:rPr>
        <w:t>.</w:t>
      </w:r>
    </w:p>
    <w:p>
      <w:pPr>
        <w:spacing w:before="100" w:beforeAutospacing="1" w:after="100" w:afterAutospacing="1" w:line="360" w:lineRule="auto"/>
        <w:rPr>
          <w:rFonts w:eastAsia="Times New Roman" w:cs="Times New Roman"/>
          <w:noProof/>
        </w:rPr>
      </w:pPr>
    </w:p>
    <w:p>
      <w:pPr>
        <w:keepNext/>
        <w:spacing w:before="120" w:after="120" w:line="360" w:lineRule="auto"/>
        <w:jc w:val="center"/>
        <w:rPr>
          <w:rFonts w:cs="Times New Roman"/>
          <w:b/>
          <w:noProof/>
        </w:rPr>
      </w:pPr>
      <w:r>
        <w:rPr>
          <w:b/>
          <w:noProof/>
        </w:rPr>
        <w:t>Σχήμα 1: Επιχειρησιακός προϋπολογισμός ανά στόχο του τρίτου προγράμματος για την υγεία το 2016</w:t>
      </w:r>
    </w:p>
    <w:p>
      <w:pPr>
        <w:keepNext/>
        <w:spacing w:before="120" w:after="120" w:line="360" w:lineRule="auto"/>
        <w:jc w:val="center"/>
        <w:rPr>
          <w:rFonts w:cs="Times New Roman"/>
          <w:b/>
          <w:noProof/>
        </w:rPr>
      </w:pPr>
      <w:r>
        <w:rPr>
          <w:noProof/>
          <w:lang w:val="en-GB" w:eastAsia="en-GB" w:bidi="ar-SA"/>
        </w:rPr>
        <w:drawing>
          <wp:inline distT="0" distB="0" distL="0" distR="0">
            <wp:extent cx="5098933" cy="3063600"/>
            <wp:effectExtent l="0" t="0" r="698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98933" cy="3063600"/>
                    </a:xfrm>
                    <a:prstGeom prst="rect">
                      <a:avLst/>
                    </a:prstGeom>
                    <a:noFill/>
                    <a:ln>
                      <a:noFill/>
                    </a:ln>
                  </pic:spPr>
                </pic:pic>
              </a:graphicData>
            </a:graphic>
          </wp:inline>
        </w:drawing>
      </w:r>
    </w:p>
    <w:p>
      <w:pPr>
        <w:spacing w:before="100" w:beforeAutospacing="1" w:after="100" w:afterAutospacing="1" w:line="360" w:lineRule="auto"/>
        <w:rPr>
          <w:rFonts w:eastAsia="Times New Roman" w:cs="Times New Roman"/>
          <w:noProof/>
        </w:rPr>
      </w:pPr>
    </w:p>
    <w:p>
      <w:pPr>
        <w:spacing w:before="100" w:beforeAutospacing="1" w:after="100" w:afterAutospacing="1" w:line="360" w:lineRule="auto"/>
        <w:rPr>
          <w:rFonts w:eastAsia="Times New Roman" w:cs="Times New Roman"/>
          <w:noProof/>
        </w:rPr>
      </w:pPr>
      <w:r>
        <w:rPr>
          <w:noProof/>
        </w:rPr>
        <w:t>Στο σχήμα κατωτέρω παρέχονται πληροφορίες σχετικά με τις πιστώσεις του προγράμματος υγείας οι οποίες επενδύθηκαν ως συνεισφορά της ΕΕ μέσω των διαφορετικών θεματικών προτεραιοτήτων κατά το έτος 2016.</w:t>
      </w:r>
    </w:p>
    <w:p>
      <w:pPr>
        <w:keepNext/>
        <w:spacing w:before="120" w:after="120" w:line="360" w:lineRule="auto"/>
        <w:jc w:val="center"/>
        <w:rPr>
          <w:rFonts w:cs="Times New Roman"/>
          <w:b/>
          <w:noProof/>
        </w:rPr>
      </w:pPr>
      <w:r>
        <w:rPr>
          <w:b/>
          <w:noProof/>
        </w:rPr>
        <w:t>Σχήμα 2: Επιχειρησιακός προϋπολογισμός ανά θεματική προτεραιότητα το 2016</w:t>
      </w:r>
    </w:p>
    <w:p>
      <w:pPr>
        <w:spacing w:line="360" w:lineRule="auto"/>
        <w:jc w:val="both"/>
        <w:rPr>
          <w:rFonts w:eastAsia="Times New Roman" w:cs="Times New Roman"/>
          <w:noProof/>
        </w:rPr>
      </w:pPr>
      <w:r>
        <w:rPr>
          <w:noProof/>
          <w:lang w:val="en-GB" w:eastAsia="en-GB" w:bidi="ar-SA"/>
        </w:rPr>
        <w:drawing>
          <wp:inline distT="0" distB="0" distL="0" distR="0">
            <wp:extent cx="5760720" cy="45967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4596714"/>
                    </a:xfrm>
                    <a:prstGeom prst="rect">
                      <a:avLst/>
                    </a:prstGeom>
                    <a:noFill/>
                    <a:ln>
                      <a:noFill/>
                    </a:ln>
                  </pic:spPr>
                </pic:pic>
              </a:graphicData>
            </a:graphic>
          </wp:inline>
        </w:drawing>
      </w:r>
    </w:p>
    <w:p>
      <w:pPr>
        <w:spacing w:line="360" w:lineRule="auto"/>
        <w:jc w:val="both"/>
        <w:rPr>
          <w:rFonts w:eastAsia="Times New Roman" w:cs="Times New Roman"/>
          <w:noProof/>
        </w:rPr>
      </w:pPr>
    </w:p>
    <w:p>
      <w:pPr>
        <w:spacing w:line="360" w:lineRule="auto"/>
        <w:jc w:val="both"/>
        <w:rPr>
          <w:rFonts w:eastAsia="Times New Roman" w:cs="Times New Roman"/>
          <w:noProof/>
        </w:rPr>
      </w:pPr>
      <w:r>
        <w:rPr>
          <w:noProof/>
        </w:rPr>
        <w:t>Για την επίτευξη των εν λόγω στόχων, το πρόγραμμα περιλαμβάνει ευρύ φάσμα χρηματοδοτικών μέσων. Αυτά συμπεριλαμβάνουν:</w:t>
      </w:r>
    </w:p>
    <w:p>
      <w:pPr>
        <w:pStyle w:val="ListParagraph"/>
        <w:numPr>
          <w:ilvl w:val="0"/>
          <w:numId w:val="26"/>
        </w:numPr>
        <w:spacing w:line="360" w:lineRule="auto"/>
        <w:jc w:val="both"/>
        <w:rPr>
          <w:rFonts w:ascii="Times New Roman" w:hAnsi="Times New Roman"/>
          <w:noProof/>
        </w:rPr>
      </w:pPr>
      <w:r>
        <w:rPr>
          <w:rFonts w:ascii="Times New Roman" w:hAnsi="Times New Roman"/>
          <w:noProof/>
        </w:rPr>
        <w:t>επιχορηγήσεις σχεδίων, συμπεριλαμβανομένων των ΕΣΕ για τα ΕΔΑ·</w:t>
      </w:r>
    </w:p>
    <w:p>
      <w:pPr>
        <w:pStyle w:val="ListParagraph"/>
        <w:numPr>
          <w:ilvl w:val="0"/>
          <w:numId w:val="26"/>
        </w:numPr>
        <w:spacing w:line="360" w:lineRule="auto"/>
        <w:jc w:val="both"/>
        <w:rPr>
          <w:rFonts w:ascii="Times New Roman" w:hAnsi="Times New Roman"/>
          <w:noProof/>
        </w:rPr>
      </w:pPr>
      <w:r>
        <w:rPr>
          <w:rFonts w:ascii="Times New Roman" w:hAnsi="Times New Roman"/>
          <w:noProof/>
        </w:rPr>
        <w:t>επιχορηγήσεις λειτουργίας για τη στήριξη μη κυβερνητικών οργανώσεων·</w:t>
      </w:r>
    </w:p>
    <w:p>
      <w:pPr>
        <w:pStyle w:val="ListParagraph"/>
        <w:numPr>
          <w:ilvl w:val="0"/>
          <w:numId w:val="26"/>
        </w:numPr>
        <w:spacing w:line="360" w:lineRule="auto"/>
        <w:jc w:val="both"/>
        <w:rPr>
          <w:rFonts w:ascii="Times New Roman" w:hAnsi="Times New Roman"/>
          <w:noProof/>
        </w:rPr>
      </w:pPr>
      <w:r>
        <w:rPr>
          <w:rFonts w:ascii="Times New Roman" w:hAnsi="Times New Roman"/>
          <w:noProof/>
        </w:rPr>
        <w:t>δράσεις που συγχρηματοδοτούνται από τις αρχές των κρατών μελών («κοινές δράσεις»)·</w:t>
      </w:r>
    </w:p>
    <w:p>
      <w:pPr>
        <w:pStyle w:val="ListParagraph"/>
        <w:numPr>
          <w:ilvl w:val="0"/>
          <w:numId w:val="26"/>
        </w:numPr>
        <w:spacing w:line="360" w:lineRule="auto"/>
        <w:jc w:val="both"/>
        <w:rPr>
          <w:rFonts w:ascii="Times New Roman" w:hAnsi="Times New Roman"/>
          <w:noProof/>
        </w:rPr>
      </w:pPr>
      <w:r>
        <w:rPr>
          <w:rFonts w:ascii="Times New Roman" w:hAnsi="Times New Roman"/>
          <w:noProof/>
        </w:rPr>
        <w:t>συμφωνίες άμεσης επιχορήγησης με διεθνείς οργανισμούς·</w:t>
      </w:r>
    </w:p>
    <w:p>
      <w:pPr>
        <w:pStyle w:val="ListParagraph"/>
        <w:numPr>
          <w:ilvl w:val="0"/>
          <w:numId w:val="26"/>
        </w:numPr>
        <w:spacing w:line="360" w:lineRule="auto"/>
        <w:jc w:val="both"/>
        <w:rPr>
          <w:rFonts w:ascii="Times New Roman" w:hAnsi="Times New Roman"/>
          <w:noProof/>
        </w:rPr>
      </w:pPr>
      <w:r>
        <w:rPr>
          <w:rFonts w:ascii="Times New Roman" w:hAnsi="Times New Roman"/>
          <w:noProof/>
        </w:rPr>
        <w:t>δημόσιες συμβάσεις· και</w:t>
      </w:r>
    </w:p>
    <w:p>
      <w:pPr>
        <w:pStyle w:val="ListParagraph"/>
        <w:numPr>
          <w:ilvl w:val="0"/>
          <w:numId w:val="26"/>
        </w:numPr>
        <w:spacing w:line="360" w:lineRule="auto"/>
        <w:jc w:val="both"/>
        <w:rPr>
          <w:rFonts w:ascii="Times New Roman" w:hAnsi="Times New Roman"/>
          <w:noProof/>
        </w:rPr>
      </w:pPr>
      <w:r>
        <w:rPr>
          <w:rFonts w:ascii="Times New Roman" w:hAnsi="Times New Roman"/>
          <w:noProof/>
        </w:rPr>
        <w:t>λοιπές δράσεις, όπως υποστήριξη επιστημονικών επιτροπών, διοικητικές συμφωνίες με το Κοινό Κέντρο Ερευνών και επιχορηγήσεις για διασκέψεις προεδρίας.</w:t>
      </w:r>
    </w:p>
    <w:p>
      <w:pPr>
        <w:spacing w:line="360" w:lineRule="auto"/>
        <w:jc w:val="both"/>
        <w:rPr>
          <w:rFonts w:cs="Times New Roman"/>
          <w:noProof/>
        </w:rPr>
      </w:pPr>
      <w:r>
        <w:rPr>
          <w:noProof/>
        </w:rPr>
        <w:t>Χρησιμοποιήθηκαν διαγωνιστικές διαδικασίες επιλογής και ανάθεσης για την επιλογή πρωτοβουλιών για χρηματοδότηση. Για κοινές δράσεις, συμφωνίες άμεσης επιχορήγησης και διασκέψεις που διοργανώνονται από την προεδρία του Συμβουλίου δεν χρησιμοποιούνται διαγωνιστικές διαδικασίες επιλογής και ανάθεσης διότι στις περιπτώσεις αυτές οι διαγωνιστικές διαδικασίες είτε δεν επιτρέπονται βάσει των εφαρμοστέων κανόνων είτε δεν είναι κατάλληλες (για παράδειγμα, λόγω μονοπωλιακού καθεστώτος).</w:t>
      </w:r>
    </w:p>
    <w:p>
      <w:pPr>
        <w:spacing w:line="360" w:lineRule="auto"/>
        <w:jc w:val="both"/>
        <w:rPr>
          <w:rFonts w:cs="Times New Roman"/>
          <w:noProof/>
        </w:rPr>
      </w:pPr>
      <w:r>
        <w:rPr>
          <w:noProof/>
        </w:rPr>
        <w:t>Οι πιστώσεις διοικητικής λειτουργίας κάλυψαν δαπάνες όπως μελέτες, συνεδριάσεις εμπειρογνωμόνων, δαπάνες ενημέρωσης και δημοσιεύσεων και τεχνική και διοικητική συνδρομή για συστήματα τεχνολογίας των πληροφοριών.</w:t>
      </w:r>
    </w:p>
    <w:p>
      <w:pPr>
        <w:pStyle w:val="ManualHeading2"/>
        <w:rPr>
          <w:noProof/>
        </w:rPr>
      </w:pPr>
      <w:bookmarkStart w:id="31" w:name="_Toc388355511"/>
      <w:bookmarkStart w:id="32" w:name="_Toc390420265"/>
      <w:bookmarkStart w:id="33" w:name="_Toc404756131"/>
      <w:bookmarkStart w:id="34" w:name="_Toc472077570"/>
      <w:bookmarkStart w:id="35" w:name="_Toc10472514"/>
      <w:bookmarkStart w:id="36" w:name="_Toc13161780"/>
      <w:r>
        <w:t>3.</w:t>
      </w:r>
      <w:r>
        <w:tab/>
      </w:r>
      <w:r>
        <w:rPr>
          <w:noProof/>
        </w:rPr>
        <w:t>Εκτέλεση ανά χρηματοδοτικό μηχανισμό</w:t>
      </w:r>
      <w:bookmarkEnd w:id="31"/>
      <w:bookmarkEnd w:id="32"/>
      <w:bookmarkEnd w:id="33"/>
      <w:bookmarkEnd w:id="34"/>
      <w:bookmarkEnd w:id="35"/>
      <w:bookmarkEnd w:id="36"/>
    </w:p>
    <w:tbl>
      <w:tblPr>
        <w:tblStyle w:val="TableGrid"/>
        <w:tblW w:w="9464" w:type="dxa"/>
        <w:tblLook w:val="0000" w:firstRow="0" w:lastRow="0" w:firstColumn="0" w:lastColumn="0" w:noHBand="0" w:noVBand="0"/>
      </w:tblPr>
      <w:tblGrid>
        <w:gridCol w:w="4361"/>
        <w:gridCol w:w="2551"/>
        <w:gridCol w:w="2552"/>
      </w:tblGrid>
      <w:tr>
        <w:trPr>
          <w:trHeight w:val="1020"/>
        </w:trPr>
        <w:tc>
          <w:tcPr>
            <w:tcW w:w="4361" w:type="dxa"/>
            <w:noWrap/>
          </w:tcPr>
          <w:p>
            <w:pPr>
              <w:spacing w:line="360" w:lineRule="auto"/>
              <w:jc w:val="both"/>
              <w:rPr>
                <w:b/>
                <w:noProof/>
              </w:rPr>
            </w:pPr>
            <w:r>
              <w:rPr>
                <w:b/>
                <w:noProof/>
              </w:rPr>
              <w:t>Είδος χρηματοδοτικού μηχανισμού</w:t>
            </w:r>
          </w:p>
        </w:tc>
        <w:tc>
          <w:tcPr>
            <w:tcW w:w="2551" w:type="dxa"/>
            <w:noWrap/>
          </w:tcPr>
          <w:p>
            <w:pPr>
              <w:spacing w:line="360" w:lineRule="auto"/>
              <w:jc w:val="both"/>
              <w:rPr>
                <w:b/>
                <w:noProof/>
              </w:rPr>
            </w:pPr>
            <w:r>
              <w:rPr>
                <w:b/>
                <w:noProof/>
              </w:rPr>
              <w:t>Εκτέλεση (EUR)</w:t>
            </w:r>
          </w:p>
        </w:tc>
        <w:tc>
          <w:tcPr>
            <w:tcW w:w="2552" w:type="dxa"/>
            <w:noWrap/>
          </w:tcPr>
          <w:p>
            <w:pPr>
              <w:spacing w:line="360" w:lineRule="auto"/>
              <w:rPr>
                <w:b/>
                <w:noProof/>
              </w:rPr>
            </w:pPr>
            <w:r>
              <w:rPr>
                <w:b/>
                <w:noProof/>
              </w:rPr>
              <w:t xml:space="preserve">Αναλογία του μηχανισμού στο σύνολο του προϋπολογισμού που εκτελέστηκε </w:t>
            </w:r>
          </w:p>
        </w:tc>
      </w:tr>
      <w:tr>
        <w:trPr>
          <w:trHeight w:val="340"/>
        </w:trPr>
        <w:tc>
          <w:tcPr>
            <w:tcW w:w="4361" w:type="dxa"/>
            <w:noWrap/>
          </w:tcPr>
          <w:p>
            <w:pPr>
              <w:spacing w:line="360" w:lineRule="auto"/>
              <w:jc w:val="both"/>
              <w:rPr>
                <w:b/>
                <w:noProof/>
              </w:rPr>
            </w:pPr>
            <w:r>
              <w:rPr>
                <w:b/>
                <w:noProof/>
              </w:rPr>
              <w:t>Προσκλήσεις υποβολής προτάσεων:</w:t>
            </w:r>
          </w:p>
        </w:tc>
        <w:tc>
          <w:tcPr>
            <w:tcW w:w="2551" w:type="dxa"/>
            <w:noWrap/>
          </w:tcPr>
          <w:p>
            <w:pPr>
              <w:spacing w:line="360" w:lineRule="auto"/>
              <w:jc w:val="right"/>
              <w:rPr>
                <w:b/>
                <w:noProof/>
              </w:rPr>
            </w:pPr>
            <w:r>
              <w:rPr>
                <w:b/>
                <w:noProof/>
              </w:rPr>
              <w:t>18 323 884,19</w:t>
            </w:r>
          </w:p>
        </w:tc>
        <w:tc>
          <w:tcPr>
            <w:tcW w:w="2552" w:type="dxa"/>
            <w:noWrap/>
          </w:tcPr>
          <w:p>
            <w:pPr>
              <w:tabs>
                <w:tab w:val="decimal" w:pos="792"/>
              </w:tabs>
              <w:spacing w:line="360" w:lineRule="auto"/>
              <w:jc w:val="right"/>
              <w:rPr>
                <w:b/>
                <w:noProof/>
              </w:rPr>
            </w:pPr>
            <w:r>
              <w:rPr>
                <w:b/>
                <w:noProof/>
              </w:rPr>
              <w:t>32,3 %</w:t>
            </w:r>
          </w:p>
        </w:tc>
      </w:tr>
      <w:tr>
        <w:trPr>
          <w:trHeight w:val="340"/>
        </w:trPr>
        <w:tc>
          <w:tcPr>
            <w:tcW w:w="4361" w:type="dxa"/>
            <w:noWrap/>
          </w:tcPr>
          <w:p>
            <w:pPr>
              <w:spacing w:line="360" w:lineRule="auto"/>
              <w:jc w:val="both"/>
              <w:rPr>
                <w:bCs/>
                <w:noProof/>
              </w:rPr>
            </w:pPr>
            <w:r>
              <w:rPr>
                <w:noProof/>
              </w:rPr>
              <w:t>Επιχορηγήσεις σχεδίων</w:t>
            </w:r>
          </w:p>
        </w:tc>
        <w:tc>
          <w:tcPr>
            <w:tcW w:w="2551" w:type="dxa"/>
            <w:noWrap/>
          </w:tcPr>
          <w:p>
            <w:pPr>
              <w:spacing w:line="360" w:lineRule="auto"/>
              <w:jc w:val="right"/>
              <w:rPr>
                <w:bCs/>
                <w:noProof/>
              </w:rPr>
            </w:pPr>
            <w:r>
              <w:rPr>
                <w:noProof/>
              </w:rPr>
              <w:t>8 795 212,04</w:t>
            </w:r>
          </w:p>
        </w:tc>
        <w:tc>
          <w:tcPr>
            <w:tcW w:w="2552" w:type="dxa"/>
            <w:noWrap/>
          </w:tcPr>
          <w:p>
            <w:pPr>
              <w:tabs>
                <w:tab w:val="decimal" w:pos="792"/>
              </w:tabs>
              <w:spacing w:line="360" w:lineRule="auto"/>
              <w:jc w:val="right"/>
              <w:rPr>
                <w:noProof/>
              </w:rPr>
            </w:pPr>
            <w:r>
              <w:rPr>
                <w:noProof/>
              </w:rPr>
              <w:t xml:space="preserve">15,5 % </w:t>
            </w:r>
          </w:p>
        </w:tc>
      </w:tr>
      <w:tr>
        <w:trPr>
          <w:trHeight w:val="340"/>
        </w:trPr>
        <w:tc>
          <w:tcPr>
            <w:tcW w:w="4361" w:type="dxa"/>
            <w:noWrap/>
          </w:tcPr>
          <w:p>
            <w:pPr>
              <w:spacing w:line="360" w:lineRule="auto"/>
              <w:jc w:val="both"/>
              <w:rPr>
                <w:bCs/>
                <w:noProof/>
              </w:rPr>
            </w:pPr>
            <w:r>
              <w:rPr>
                <w:noProof/>
              </w:rPr>
              <w:t>ΕΣΕ ευρωπαϊκού δικτύου αναφοράς (ΕΔΑ) στο πλαίσιο ΣΠΕΣ ανά στόχο</w:t>
            </w:r>
          </w:p>
        </w:tc>
        <w:tc>
          <w:tcPr>
            <w:tcW w:w="2551" w:type="dxa"/>
            <w:noWrap/>
          </w:tcPr>
          <w:p>
            <w:pPr>
              <w:spacing w:line="360" w:lineRule="auto"/>
              <w:jc w:val="right"/>
              <w:rPr>
                <w:bCs/>
                <w:noProof/>
              </w:rPr>
            </w:pPr>
            <w:r>
              <w:rPr>
                <w:noProof/>
              </w:rPr>
              <w:t>4 386 344,15</w:t>
            </w:r>
          </w:p>
        </w:tc>
        <w:tc>
          <w:tcPr>
            <w:tcW w:w="2552" w:type="dxa"/>
            <w:noWrap/>
          </w:tcPr>
          <w:p>
            <w:pPr>
              <w:tabs>
                <w:tab w:val="decimal" w:pos="792"/>
              </w:tabs>
              <w:spacing w:line="360" w:lineRule="auto"/>
              <w:jc w:val="right"/>
              <w:rPr>
                <w:noProof/>
              </w:rPr>
            </w:pPr>
            <w:r>
              <w:rPr>
                <w:noProof/>
              </w:rPr>
              <w:t>7,7 %</w:t>
            </w:r>
          </w:p>
        </w:tc>
      </w:tr>
      <w:tr>
        <w:trPr>
          <w:trHeight w:val="340"/>
        </w:trPr>
        <w:tc>
          <w:tcPr>
            <w:tcW w:w="4361" w:type="dxa"/>
            <w:noWrap/>
          </w:tcPr>
          <w:p>
            <w:pPr>
              <w:spacing w:line="360" w:lineRule="auto"/>
              <w:jc w:val="both"/>
              <w:rPr>
                <w:bCs/>
                <w:noProof/>
              </w:rPr>
            </w:pPr>
            <w:r>
              <w:rPr>
                <w:noProof/>
              </w:rPr>
              <w:t>Επιχορηγήσεις λειτουργίας</w:t>
            </w:r>
          </w:p>
        </w:tc>
        <w:tc>
          <w:tcPr>
            <w:tcW w:w="2551" w:type="dxa"/>
            <w:noWrap/>
          </w:tcPr>
          <w:p>
            <w:pPr>
              <w:spacing w:line="360" w:lineRule="auto"/>
              <w:jc w:val="right"/>
              <w:rPr>
                <w:bCs/>
                <w:noProof/>
              </w:rPr>
            </w:pPr>
            <w:r>
              <w:rPr>
                <w:noProof/>
              </w:rPr>
              <w:t>5 142 328,00</w:t>
            </w:r>
          </w:p>
        </w:tc>
        <w:tc>
          <w:tcPr>
            <w:tcW w:w="2552" w:type="dxa"/>
            <w:noWrap/>
          </w:tcPr>
          <w:p>
            <w:pPr>
              <w:tabs>
                <w:tab w:val="decimal" w:pos="792"/>
              </w:tabs>
              <w:spacing w:line="360" w:lineRule="auto"/>
              <w:jc w:val="right"/>
              <w:rPr>
                <w:noProof/>
              </w:rPr>
            </w:pPr>
            <w:r>
              <w:rPr>
                <w:noProof/>
              </w:rPr>
              <w:t>9,1 %</w:t>
            </w:r>
          </w:p>
        </w:tc>
      </w:tr>
      <w:tr>
        <w:trPr>
          <w:trHeight w:val="376"/>
        </w:trPr>
        <w:tc>
          <w:tcPr>
            <w:tcW w:w="4361" w:type="dxa"/>
            <w:noWrap/>
          </w:tcPr>
          <w:p>
            <w:pPr>
              <w:spacing w:line="360" w:lineRule="auto"/>
              <w:jc w:val="both"/>
              <w:rPr>
                <w:b/>
                <w:bCs/>
                <w:noProof/>
              </w:rPr>
            </w:pPr>
            <w:r>
              <w:rPr>
                <w:b/>
                <w:noProof/>
              </w:rPr>
              <w:t>Επιχορηγήσεις για κοινές δράσεις</w:t>
            </w:r>
          </w:p>
        </w:tc>
        <w:tc>
          <w:tcPr>
            <w:tcW w:w="2551" w:type="dxa"/>
            <w:noWrap/>
          </w:tcPr>
          <w:p>
            <w:pPr>
              <w:spacing w:line="360" w:lineRule="auto"/>
              <w:jc w:val="right"/>
              <w:rPr>
                <w:b/>
                <w:bCs/>
                <w:noProof/>
              </w:rPr>
            </w:pPr>
            <w:r>
              <w:rPr>
                <w:b/>
                <w:noProof/>
              </w:rPr>
              <w:t>14 376 881,83</w:t>
            </w:r>
          </w:p>
        </w:tc>
        <w:tc>
          <w:tcPr>
            <w:tcW w:w="2552" w:type="dxa"/>
            <w:noWrap/>
          </w:tcPr>
          <w:p>
            <w:pPr>
              <w:tabs>
                <w:tab w:val="decimal" w:pos="792"/>
              </w:tabs>
              <w:spacing w:line="360" w:lineRule="auto"/>
              <w:jc w:val="right"/>
              <w:rPr>
                <w:b/>
                <w:noProof/>
              </w:rPr>
            </w:pPr>
            <w:r>
              <w:rPr>
                <w:b/>
                <w:noProof/>
              </w:rPr>
              <w:t>25,4 %</w:t>
            </w:r>
          </w:p>
        </w:tc>
      </w:tr>
      <w:tr>
        <w:trPr>
          <w:trHeight w:val="517"/>
        </w:trPr>
        <w:tc>
          <w:tcPr>
            <w:tcW w:w="4361" w:type="dxa"/>
            <w:noWrap/>
          </w:tcPr>
          <w:p>
            <w:pPr>
              <w:spacing w:line="360" w:lineRule="auto"/>
              <w:rPr>
                <w:b/>
                <w:bCs/>
                <w:noProof/>
              </w:rPr>
            </w:pPr>
            <w:r>
              <w:rPr>
                <w:b/>
                <w:noProof/>
              </w:rPr>
              <w:t>Επιχορηγήσεις διασκέψεων στα κράτη μέλη που ασκούν την προεδρία της ΕΕ</w:t>
            </w:r>
          </w:p>
        </w:tc>
        <w:tc>
          <w:tcPr>
            <w:tcW w:w="2551" w:type="dxa"/>
            <w:noWrap/>
          </w:tcPr>
          <w:p>
            <w:pPr>
              <w:spacing w:line="360" w:lineRule="auto"/>
              <w:jc w:val="right"/>
              <w:rPr>
                <w:b/>
                <w:noProof/>
              </w:rPr>
            </w:pPr>
            <w:r>
              <w:rPr>
                <w:b/>
                <w:noProof/>
              </w:rPr>
              <w:t>141 780,43</w:t>
            </w:r>
          </w:p>
        </w:tc>
        <w:tc>
          <w:tcPr>
            <w:tcW w:w="2552" w:type="dxa"/>
            <w:noWrap/>
          </w:tcPr>
          <w:p>
            <w:pPr>
              <w:tabs>
                <w:tab w:val="decimal" w:pos="792"/>
              </w:tabs>
              <w:spacing w:line="360" w:lineRule="auto"/>
              <w:jc w:val="right"/>
              <w:rPr>
                <w:b/>
                <w:noProof/>
              </w:rPr>
            </w:pPr>
            <w:r>
              <w:rPr>
                <w:b/>
                <w:noProof/>
              </w:rPr>
              <w:t>0,3 %</w:t>
            </w:r>
          </w:p>
        </w:tc>
      </w:tr>
      <w:tr>
        <w:trPr>
          <w:trHeight w:val="340"/>
        </w:trPr>
        <w:tc>
          <w:tcPr>
            <w:tcW w:w="4361" w:type="dxa"/>
            <w:noWrap/>
          </w:tcPr>
          <w:p>
            <w:pPr>
              <w:spacing w:line="360" w:lineRule="auto"/>
              <w:jc w:val="both"/>
              <w:rPr>
                <w:b/>
                <w:bCs/>
                <w:noProof/>
              </w:rPr>
            </w:pPr>
            <w:r>
              <w:rPr>
                <w:b/>
                <w:noProof/>
              </w:rPr>
              <w:t>Συμφωνίες άμεσης επιχορήγησης</w:t>
            </w:r>
          </w:p>
        </w:tc>
        <w:tc>
          <w:tcPr>
            <w:tcW w:w="2551" w:type="dxa"/>
            <w:noWrap/>
          </w:tcPr>
          <w:p>
            <w:pPr>
              <w:jc w:val="right"/>
              <w:rPr>
                <w:b/>
                <w:noProof/>
                <w:color w:val="000000"/>
              </w:rPr>
            </w:pPr>
            <w:r>
              <w:rPr>
                <w:b/>
                <w:noProof/>
                <w:color w:val="000000"/>
              </w:rPr>
              <w:t>4 450 000,00</w:t>
            </w:r>
          </w:p>
        </w:tc>
        <w:tc>
          <w:tcPr>
            <w:tcW w:w="2552" w:type="dxa"/>
            <w:noWrap/>
          </w:tcPr>
          <w:p>
            <w:pPr>
              <w:tabs>
                <w:tab w:val="decimal" w:pos="792"/>
              </w:tabs>
              <w:spacing w:line="360" w:lineRule="auto"/>
              <w:jc w:val="right"/>
              <w:rPr>
                <w:b/>
                <w:noProof/>
              </w:rPr>
            </w:pPr>
            <w:r>
              <w:rPr>
                <w:b/>
                <w:noProof/>
              </w:rPr>
              <w:t>7,8 %</w:t>
            </w:r>
          </w:p>
        </w:tc>
      </w:tr>
      <w:tr>
        <w:trPr>
          <w:trHeight w:val="631"/>
        </w:trPr>
        <w:tc>
          <w:tcPr>
            <w:tcW w:w="4361" w:type="dxa"/>
            <w:noWrap/>
          </w:tcPr>
          <w:p>
            <w:pPr>
              <w:spacing w:line="360" w:lineRule="auto"/>
              <w:jc w:val="both"/>
              <w:rPr>
                <w:b/>
                <w:bCs/>
                <w:noProof/>
              </w:rPr>
            </w:pPr>
            <w:r>
              <w:rPr>
                <w:b/>
                <w:noProof/>
              </w:rPr>
              <w:t>Δημόσιες συμβάσεις (υπηρεσιών)</w:t>
            </w:r>
          </w:p>
        </w:tc>
        <w:tc>
          <w:tcPr>
            <w:tcW w:w="2551" w:type="dxa"/>
            <w:noWrap/>
          </w:tcPr>
          <w:p>
            <w:pPr>
              <w:spacing w:line="360" w:lineRule="auto"/>
              <w:jc w:val="right"/>
              <w:rPr>
                <w:b/>
                <w:bCs/>
                <w:noProof/>
              </w:rPr>
            </w:pPr>
            <w:r>
              <w:rPr>
                <w:b/>
                <w:noProof/>
              </w:rPr>
              <w:t>16 089 842,38</w:t>
            </w:r>
          </w:p>
        </w:tc>
        <w:tc>
          <w:tcPr>
            <w:tcW w:w="2552" w:type="dxa"/>
            <w:noWrap/>
          </w:tcPr>
          <w:p>
            <w:pPr>
              <w:tabs>
                <w:tab w:val="decimal" w:pos="792"/>
              </w:tabs>
              <w:spacing w:line="360" w:lineRule="auto"/>
              <w:jc w:val="right"/>
              <w:rPr>
                <w:b/>
                <w:noProof/>
              </w:rPr>
            </w:pPr>
            <w:r>
              <w:rPr>
                <w:b/>
                <w:noProof/>
              </w:rPr>
              <w:t>28,3 %</w:t>
            </w:r>
          </w:p>
        </w:tc>
      </w:tr>
      <w:tr>
        <w:trPr>
          <w:trHeight w:val="340"/>
        </w:trPr>
        <w:tc>
          <w:tcPr>
            <w:tcW w:w="4361" w:type="dxa"/>
            <w:noWrap/>
          </w:tcPr>
          <w:p>
            <w:pPr>
              <w:spacing w:line="360" w:lineRule="auto"/>
              <w:jc w:val="right"/>
              <w:rPr>
                <w:b/>
                <w:bCs/>
                <w:i/>
                <w:noProof/>
              </w:rPr>
            </w:pPr>
            <w:r>
              <w:rPr>
                <w:b/>
                <w:i/>
                <w:noProof/>
              </w:rPr>
              <w:t>Διαχείριση από τον Chafea</w:t>
            </w:r>
          </w:p>
        </w:tc>
        <w:tc>
          <w:tcPr>
            <w:tcW w:w="2551" w:type="dxa"/>
            <w:noWrap/>
          </w:tcPr>
          <w:p>
            <w:pPr>
              <w:spacing w:line="360" w:lineRule="auto"/>
              <w:jc w:val="right"/>
              <w:rPr>
                <w:noProof/>
              </w:rPr>
            </w:pPr>
            <w:r>
              <w:rPr>
                <w:noProof/>
              </w:rPr>
              <w:t>10 456 063,54</w:t>
            </w:r>
          </w:p>
        </w:tc>
        <w:tc>
          <w:tcPr>
            <w:tcW w:w="2552" w:type="dxa"/>
            <w:noWrap/>
          </w:tcPr>
          <w:p>
            <w:pPr>
              <w:tabs>
                <w:tab w:val="decimal" w:pos="792"/>
              </w:tabs>
              <w:spacing w:line="360" w:lineRule="auto"/>
              <w:jc w:val="right"/>
              <w:rPr>
                <w:noProof/>
              </w:rPr>
            </w:pPr>
            <w:r>
              <w:rPr>
                <w:noProof/>
              </w:rPr>
              <w:t>18,4 %</w:t>
            </w:r>
          </w:p>
        </w:tc>
      </w:tr>
      <w:tr>
        <w:trPr>
          <w:trHeight w:val="340"/>
        </w:trPr>
        <w:tc>
          <w:tcPr>
            <w:tcW w:w="4361" w:type="dxa"/>
            <w:noWrap/>
          </w:tcPr>
          <w:p>
            <w:pPr>
              <w:spacing w:line="360" w:lineRule="auto"/>
              <w:jc w:val="right"/>
              <w:rPr>
                <w:b/>
                <w:bCs/>
                <w:i/>
                <w:noProof/>
              </w:rPr>
            </w:pPr>
            <w:r>
              <w:rPr>
                <w:b/>
                <w:i/>
                <w:noProof/>
              </w:rPr>
              <w:t>Διαχείριση από τη ΓΔ SANTE</w:t>
            </w:r>
          </w:p>
        </w:tc>
        <w:tc>
          <w:tcPr>
            <w:tcW w:w="2551" w:type="dxa"/>
            <w:noWrap/>
          </w:tcPr>
          <w:p>
            <w:pPr>
              <w:spacing w:line="360" w:lineRule="auto"/>
              <w:jc w:val="right"/>
              <w:rPr>
                <w:noProof/>
              </w:rPr>
            </w:pPr>
            <w:r>
              <w:rPr>
                <w:noProof/>
              </w:rPr>
              <w:t>5 633 778,84</w:t>
            </w:r>
          </w:p>
        </w:tc>
        <w:tc>
          <w:tcPr>
            <w:tcW w:w="2552" w:type="dxa"/>
            <w:noWrap/>
          </w:tcPr>
          <w:p>
            <w:pPr>
              <w:tabs>
                <w:tab w:val="decimal" w:pos="792"/>
              </w:tabs>
              <w:spacing w:line="360" w:lineRule="auto"/>
              <w:jc w:val="right"/>
              <w:rPr>
                <w:noProof/>
              </w:rPr>
            </w:pPr>
            <w:r>
              <w:rPr>
                <w:noProof/>
              </w:rPr>
              <w:t>9,9 %</w:t>
            </w:r>
          </w:p>
        </w:tc>
      </w:tr>
      <w:tr>
        <w:trPr>
          <w:trHeight w:val="425"/>
        </w:trPr>
        <w:tc>
          <w:tcPr>
            <w:tcW w:w="4361" w:type="dxa"/>
            <w:noWrap/>
          </w:tcPr>
          <w:p>
            <w:pPr>
              <w:spacing w:line="360" w:lineRule="auto"/>
              <w:rPr>
                <w:b/>
                <w:bCs/>
                <w:noProof/>
              </w:rPr>
            </w:pPr>
            <w:r>
              <w:rPr>
                <w:b/>
                <w:noProof/>
              </w:rPr>
              <w:t xml:space="preserve">Άλλες δράσεις </w:t>
            </w:r>
          </w:p>
        </w:tc>
        <w:tc>
          <w:tcPr>
            <w:tcW w:w="2551" w:type="dxa"/>
            <w:noWrap/>
          </w:tcPr>
          <w:p>
            <w:pPr>
              <w:spacing w:line="360" w:lineRule="auto"/>
              <w:jc w:val="right"/>
              <w:rPr>
                <w:b/>
                <w:noProof/>
              </w:rPr>
            </w:pPr>
            <w:r>
              <w:rPr>
                <w:b/>
                <w:noProof/>
              </w:rPr>
              <w:t>3 313 500</w:t>
            </w:r>
          </w:p>
        </w:tc>
        <w:tc>
          <w:tcPr>
            <w:tcW w:w="2552" w:type="dxa"/>
            <w:noWrap/>
          </w:tcPr>
          <w:p>
            <w:pPr>
              <w:tabs>
                <w:tab w:val="decimal" w:pos="792"/>
              </w:tabs>
              <w:spacing w:line="360" w:lineRule="auto"/>
              <w:jc w:val="right"/>
              <w:rPr>
                <w:b/>
                <w:noProof/>
              </w:rPr>
            </w:pPr>
            <w:r>
              <w:rPr>
                <w:b/>
                <w:noProof/>
              </w:rPr>
              <w:t>5,9 %</w:t>
            </w:r>
          </w:p>
        </w:tc>
      </w:tr>
      <w:tr>
        <w:trPr>
          <w:trHeight w:val="275"/>
        </w:trPr>
        <w:tc>
          <w:tcPr>
            <w:tcW w:w="4361" w:type="dxa"/>
            <w:noWrap/>
          </w:tcPr>
          <w:p>
            <w:pPr>
              <w:spacing w:line="360" w:lineRule="auto"/>
              <w:jc w:val="right"/>
              <w:rPr>
                <w:b/>
                <w:bCs/>
                <w:noProof/>
              </w:rPr>
            </w:pPr>
            <w:r>
              <w:rPr>
                <w:b/>
                <w:i/>
                <w:noProof/>
              </w:rPr>
              <w:t>Διαχείριση από τον Chafea</w:t>
            </w:r>
          </w:p>
        </w:tc>
        <w:tc>
          <w:tcPr>
            <w:tcW w:w="2551" w:type="dxa"/>
            <w:noWrap/>
          </w:tcPr>
          <w:p>
            <w:pPr>
              <w:spacing w:line="360" w:lineRule="auto"/>
              <w:jc w:val="right"/>
              <w:rPr>
                <w:bCs/>
                <w:noProof/>
              </w:rPr>
            </w:pPr>
            <w:r>
              <w:rPr>
                <w:noProof/>
              </w:rPr>
              <w:t>500 000,00</w:t>
            </w:r>
          </w:p>
        </w:tc>
        <w:tc>
          <w:tcPr>
            <w:tcW w:w="2552" w:type="dxa"/>
            <w:noWrap/>
          </w:tcPr>
          <w:p>
            <w:pPr>
              <w:tabs>
                <w:tab w:val="decimal" w:pos="792"/>
              </w:tabs>
              <w:spacing w:line="360" w:lineRule="auto"/>
              <w:jc w:val="right"/>
              <w:rPr>
                <w:bCs/>
                <w:noProof/>
              </w:rPr>
            </w:pPr>
            <w:r>
              <w:rPr>
                <w:noProof/>
              </w:rPr>
              <w:t>0,9 %</w:t>
            </w:r>
          </w:p>
        </w:tc>
      </w:tr>
      <w:tr>
        <w:trPr>
          <w:trHeight w:val="337"/>
        </w:trPr>
        <w:tc>
          <w:tcPr>
            <w:tcW w:w="4361" w:type="dxa"/>
            <w:noWrap/>
          </w:tcPr>
          <w:p>
            <w:pPr>
              <w:spacing w:line="360" w:lineRule="auto"/>
              <w:jc w:val="right"/>
              <w:rPr>
                <w:b/>
                <w:bCs/>
                <w:noProof/>
              </w:rPr>
            </w:pPr>
            <w:r>
              <w:rPr>
                <w:b/>
                <w:i/>
                <w:noProof/>
              </w:rPr>
              <w:t>Διαχείριση από τη ΓΔ SANTE</w:t>
            </w:r>
          </w:p>
        </w:tc>
        <w:tc>
          <w:tcPr>
            <w:tcW w:w="2551" w:type="dxa"/>
            <w:noWrap/>
          </w:tcPr>
          <w:p>
            <w:pPr>
              <w:spacing w:line="360" w:lineRule="auto"/>
              <w:jc w:val="right"/>
              <w:rPr>
                <w:bCs/>
                <w:noProof/>
              </w:rPr>
            </w:pPr>
            <w:r>
              <w:rPr>
                <w:noProof/>
              </w:rPr>
              <w:t>2 813 500,00</w:t>
            </w:r>
          </w:p>
        </w:tc>
        <w:tc>
          <w:tcPr>
            <w:tcW w:w="2552" w:type="dxa"/>
            <w:noWrap/>
          </w:tcPr>
          <w:p>
            <w:pPr>
              <w:tabs>
                <w:tab w:val="decimal" w:pos="792"/>
              </w:tabs>
              <w:spacing w:line="360" w:lineRule="auto"/>
              <w:jc w:val="right"/>
              <w:rPr>
                <w:bCs/>
                <w:noProof/>
              </w:rPr>
            </w:pPr>
            <w:r>
              <w:rPr>
                <w:noProof/>
              </w:rPr>
              <w:t>5 %</w:t>
            </w:r>
          </w:p>
        </w:tc>
      </w:tr>
      <w:tr>
        <w:trPr>
          <w:trHeight w:val="340"/>
        </w:trPr>
        <w:tc>
          <w:tcPr>
            <w:tcW w:w="4361" w:type="dxa"/>
            <w:noWrap/>
          </w:tcPr>
          <w:p>
            <w:pPr>
              <w:spacing w:line="360" w:lineRule="auto"/>
              <w:jc w:val="both"/>
              <w:rPr>
                <w:b/>
                <w:bCs/>
                <w:noProof/>
              </w:rPr>
            </w:pPr>
            <w:r>
              <w:rPr>
                <w:b/>
                <w:noProof/>
              </w:rPr>
              <w:t>Προϋπολογισμός που εκτελέστηκε για το ετήσιο πρόγραμμα εργασίας του 2016</w:t>
            </w:r>
          </w:p>
        </w:tc>
        <w:tc>
          <w:tcPr>
            <w:tcW w:w="2551" w:type="dxa"/>
            <w:noWrap/>
          </w:tcPr>
          <w:p>
            <w:pPr>
              <w:spacing w:line="360" w:lineRule="auto"/>
              <w:jc w:val="right"/>
              <w:rPr>
                <w:b/>
                <w:noProof/>
              </w:rPr>
            </w:pPr>
            <w:r>
              <w:rPr>
                <w:b/>
                <w:noProof/>
              </w:rPr>
              <w:t>56 695 888,83</w:t>
            </w:r>
          </w:p>
        </w:tc>
        <w:tc>
          <w:tcPr>
            <w:tcW w:w="2552" w:type="dxa"/>
            <w:noWrap/>
          </w:tcPr>
          <w:p>
            <w:pPr>
              <w:tabs>
                <w:tab w:val="decimal" w:pos="792"/>
              </w:tabs>
              <w:spacing w:line="360" w:lineRule="auto"/>
              <w:jc w:val="right"/>
              <w:rPr>
                <w:noProof/>
              </w:rPr>
            </w:pPr>
            <w:r>
              <w:rPr>
                <w:noProof/>
              </w:rPr>
              <w:t>97,76 %</w:t>
            </w:r>
          </w:p>
        </w:tc>
      </w:tr>
      <w:tr>
        <w:trPr>
          <w:trHeight w:val="340"/>
        </w:trPr>
        <w:tc>
          <w:tcPr>
            <w:tcW w:w="4361" w:type="dxa"/>
            <w:noWrap/>
          </w:tcPr>
          <w:p>
            <w:pPr>
              <w:spacing w:line="360" w:lineRule="auto"/>
              <w:jc w:val="both"/>
              <w:rPr>
                <w:b/>
                <w:bCs/>
                <w:noProof/>
              </w:rPr>
            </w:pPr>
            <w:r>
              <w:rPr>
                <w:b/>
                <w:noProof/>
              </w:rPr>
              <w:t>Σύνολο διαθέσιμου προϋπολογισμού για το ετήσιο πρόγραμμα εργασίας του 2016</w:t>
            </w:r>
          </w:p>
        </w:tc>
        <w:tc>
          <w:tcPr>
            <w:tcW w:w="2551" w:type="dxa"/>
            <w:noWrap/>
          </w:tcPr>
          <w:p>
            <w:pPr>
              <w:spacing w:line="360" w:lineRule="auto"/>
              <w:ind w:left="-108"/>
              <w:jc w:val="right"/>
              <w:rPr>
                <w:b/>
                <w:noProof/>
              </w:rPr>
            </w:pPr>
            <w:r>
              <w:rPr>
                <w:b/>
                <w:noProof/>
              </w:rPr>
              <w:t>57 992 112,00</w:t>
            </w:r>
          </w:p>
        </w:tc>
        <w:tc>
          <w:tcPr>
            <w:tcW w:w="2552" w:type="dxa"/>
            <w:noWrap/>
          </w:tcPr>
          <w:p>
            <w:pPr>
              <w:spacing w:line="360" w:lineRule="auto"/>
              <w:jc w:val="both"/>
              <w:rPr>
                <w:noProof/>
              </w:rPr>
            </w:pPr>
          </w:p>
        </w:tc>
      </w:tr>
      <w:tr>
        <w:trPr>
          <w:trHeight w:val="255"/>
        </w:trPr>
        <w:tc>
          <w:tcPr>
            <w:tcW w:w="4361" w:type="dxa"/>
            <w:noWrap/>
          </w:tcPr>
          <w:p>
            <w:pPr>
              <w:spacing w:line="360" w:lineRule="auto"/>
              <w:jc w:val="both"/>
              <w:rPr>
                <w:bCs/>
                <w:noProof/>
              </w:rPr>
            </w:pPr>
            <w:r>
              <w:rPr>
                <w:b/>
                <w:noProof/>
              </w:rPr>
              <w:t>Πιστώσεις που δεν χρησιμοποιήθηκαν</w:t>
            </w:r>
            <w:r>
              <w:rPr>
                <w:rStyle w:val="FootnoteReference"/>
                <w:noProof/>
              </w:rPr>
              <w:footnoteReference w:id="15"/>
            </w:r>
            <w:r>
              <w:rPr>
                <w:noProof/>
              </w:rPr>
              <w:t xml:space="preserve"> </w:t>
            </w:r>
          </w:p>
        </w:tc>
        <w:tc>
          <w:tcPr>
            <w:tcW w:w="2551" w:type="dxa"/>
            <w:noWrap/>
          </w:tcPr>
          <w:p>
            <w:pPr>
              <w:spacing w:line="360" w:lineRule="auto"/>
              <w:jc w:val="right"/>
              <w:rPr>
                <w:b/>
                <w:noProof/>
              </w:rPr>
            </w:pPr>
          </w:p>
        </w:tc>
        <w:tc>
          <w:tcPr>
            <w:tcW w:w="2552" w:type="dxa"/>
            <w:noWrap/>
          </w:tcPr>
          <w:p>
            <w:pPr>
              <w:spacing w:line="360" w:lineRule="auto"/>
              <w:jc w:val="both"/>
              <w:rPr>
                <w:noProof/>
              </w:rPr>
            </w:pPr>
          </w:p>
        </w:tc>
      </w:tr>
      <w:tr>
        <w:trPr>
          <w:trHeight w:val="517"/>
        </w:trPr>
        <w:tc>
          <w:tcPr>
            <w:tcW w:w="4361" w:type="dxa"/>
            <w:noWrap/>
          </w:tcPr>
          <w:p>
            <w:pPr>
              <w:spacing w:line="360" w:lineRule="auto"/>
              <w:jc w:val="right"/>
              <w:rPr>
                <w:b/>
                <w:bCs/>
                <w:noProof/>
              </w:rPr>
            </w:pPr>
            <w:r>
              <w:rPr>
                <w:b/>
                <w:i/>
                <w:noProof/>
              </w:rPr>
              <w:t>από τον Chafea</w:t>
            </w:r>
          </w:p>
        </w:tc>
        <w:tc>
          <w:tcPr>
            <w:tcW w:w="2551" w:type="dxa"/>
            <w:noWrap/>
          </w:tcPr>
          <w:p>
            <w:pPr>
              <w:spacing w:line="360" w:lineRule="auto"/>
              <w:jc w:val="right"/>
              <w:rPr>
                <w:bCs/>
                <w:noProof/>
              </w:rPr>
            </w:pPr>
            <w:r>
              <w:rPr>
                <w:noProof/>
              </w:rPr>
              <w:t>1 282 128,59</w:t>
            </w:r>
          </w:p>
        </w:tc>
        <w:tc>
          <w:tcPr>
            <w:tcW w:w="2552" w:type="dxa"/>
            <w:noWrap/>
          </w:tcPr>
          <w:p>
            <w:pPr>
              <w:tabs>
                <w:tab w:val="decimal" w:pos="792"/>
              </w:tabs>
              <w:spacing w:line="360" w:lineRule="auto"/>
              <w:jc w:val="right"/>
              <w:rPr>
                <w:bCs/>
                <w:noProof/>
              </w:rPr>
            </w:pPr>
            <w:r>
              <w:rPr>
                <w:noProof/>
              </w:rPr>
              <w:t>2,22 %</w:t>
            </w:r>
          </w:p>
        </w:tc>
      </w:tr>
      <w:tr>
        <w:trPr>
          <w:trHeight w:val="517"/>
        </w:trPr>
        <w:tc>
          <w:tcPr>
            <w:tcW w:w="4361" w:type="dxa"/>
            <w:noWrap/>
          </w:tcPr>
          <w:p>
            <w:pPr>
              <w:spacing w:line="360" w:lineRule="auto"/>
              <w:jc w:val="right"/>
              <w:rPr>
                <w:b/>
                <w:bCs/>
                <w:noProof/>
              </w:rPr>
            </w:pPr>
            <w:r>
              <w:rPr>
                <w:b/>
                <w:i/>
                <w:noProof/>
              </w:rPr>
              <w:t>από τη ΓΔ SANTE</w:t>
            </w:r>
          </w:p>
        </w:tc>
        <w:tc>
          <w:tcPr>
            <w:tcW w:w="2551" w:type="dxa"/>
            <w:noWrap/>
          </w:tcPr>
          <w:p>
            <w:pPr>
              <w:spacing w:line="360" w:lineRule="auto"/>
              <w:jc w:val="right"/>
              <w:rPr>
                <w:bCs/>
                <w:noProof/>
              </w:rPr>
            </w:pPr>
            <w:r>
              <w:rPr>
                <w:noProof/>
              </w:rPr>
              <w:t>14 094,58</w:t>
            </w:r>
          </w:p>
        </w:tc>
        <w:tc>
          <w:tcPr>
            <w:tcW w:w="2552" w:type="dxa"/>
            <w:noWrap/>
          </w:tcPr>
          <w:p>
            <w:pPr>
              <w:tabs>
                <w:tab w:val="decimal" w:pos="792"/>
              </w:tabs>
              <w:spacing w:line="360" w:lineRule="auto"/>
              <w:jc w:val="right"/>
              <w:rPr>
                <w:bCs/>
                <w:noProof/>
              </w:rPr>
            </w:pPr>
            <w:r>
              <w:rPr>
                <w:noProof/>
              </w:rPr>
              <w:t>0,02 %</w:t>
            </w:r>
          </w:p>
        </w:tc>
      </w:tr>
    </w:tbl>
    <w:p>
      <w:pPr>
        <w:spacing w:line="360" w:lineRule="auto"/>
        <w:jc w:val="both"/>
        <w:rPr>
          <w:rFonts w:cs="Times New Roman"/>
          <w:noProof/>
        </w:rPr>
      </w:pPr>
    </w:p>
    <w:p>
      <w:pPr>
        <w:pStyle w:val="ManualHeading2"/>
        <w:rPr>
          <w:noProof/>
        </w:rPr>
      </w:pPr>
      <w:bookmarkStart w:id="37" w:name="_Toc10472515"/>
      <w:bookmarkStart w:id="38" w:name="_Toc13161781"/>
      <w:r>
        <w:t>4.</w:t>
      </w:r>
      <w:r>
        <w:tab/>
      </w:r>
      <w:r>
        <w:rPr>
          <w:noProof/>
        </w:rPr>
        <w:t>Δικαιούχοι</w:t>
      </w:r>
      <w:bookmarkEnd w:id="37"/>
      <w:bookmarkEnd w:id="38"/>
    </w:p>
    <w:p>
      <w:pPr>
        <w:spacing w:line="360" w:lineRule="auto"/>
        <w:jc w:val="both"/>
        <w:rPr>
          <w:rFonts w:cs="Times New Roman"/>
          <w:noProof/>
        </w:rPr>
      </w:pPr>
      <w:r>
        <w:rPr>
          <w:noProof/>
        </w:rPr>
        <w:t>Το 2016 υπογράφηκαν περισσότερες από 200</w:t>
      </w:r>
      <w:r>
        <w:rPr>
          <w:rStyle w:val="FootnoteReference"/>
          <w:noProof/>
        </w:rPr>
        <w:footnoteReference w:id="16"/>
      </w:r>
      <w:r>
        <w:rPr>
          <w:noProof/>
        </w:rPr>
        <w:t xml:space="preserve"> διαφορετικές επιχορηγήσεις και συμβάσεις με διάφορες κατηγορίες δικαιούχων και παρόχων υπηρεσιών, από κυβερνητικούς οργανισμούς και μη κυβερνητικές οργανώσεις μέχρι πανεπιστημιακά ιδρύματα και ιδιωτικές εταιρείες.</w:t>
      </w:r>
    </w:p>
    <w:p>
      <w:pPr>
        <w:spacing w:line="360" w:lineRule="auto"/>
        <w:jc w:val="both"/>
        <w:rPr>
          <w:rFonts w:cs="Times New Roman"/>
          <w:noProof/>
        </w:rPr>
      </w:pPr>
      <w:r>
        <w:rPr>
          <w:noProof/>
        </w:rPr>
        <w:t>Η κατηγορία «άλλοι» περιλαμβάνει δικαιούχους όπως οι πάροχοι υγειονομικής περίθαλψης και οι διεθνείς οργανισμοί. Το σχήμα 3 παρέχει μια επισκόπηση των διαφορετικών ομάδων δικαιούχων.</w:t>
      </w:r>
    </w:p>
    <w:p>
      <w:pPr>
        <w:spacing w:before="120" w:after="120" w:line="360" w:lineRule="auto"/>
        <w:jc w:val="center"/>
        <w:rPr>
          <w:rFonts w:cs="Times New Roman"/>
          <w:b/>
          <w:noProof/>
        </w:rPr>
      </w:pPr>
    </w:p>
    <w:p>
      <w:pPr>
        <w:spacing w:before="120" w:after="120" w:line="360" w:lineRule="auto"/>
        <w:jc w:val="center"/>
        <w:rPr>
          <w:rFonts w:cs="Times New Roman"/>
          <w:b/>
          <w:noProof/>
        </w:rPr>
      </w:pPr>
      <w:r>
        <w:rPr>
          <w:b/>
          <w:noProof/>
        </w:rPr>
        <w:t>Σχήμα 3: Κατηγορίες δικαιούχων του τρίτου προγράμματος για την υγεία το 2016</w:t>
      </w:r>
    </w:p>
    <w:p>
      <w:pPr>
        <w:spacing w:line="360" w:lineRule="auto"/>
        <w:rPr>
          <w:rFonts w:cs="Times New Roman"/>
          <w:noProof/>
        </w:rPr>
      </w:pPr>
      <w:r>
        <w:rPr>
          <w:noProof/>
          <w:lang w:val="en-GB" w:eastAsia="en-GB" w:bidi="ar-SA"/>
        </w:rPr>
        <w:drawing>
          <wp:inline distT="0" distB="0" distL="0" distR="0">
            <wp:extent cx="5715156" cy="333000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5156" cy="3330000"/>
                    </a:xfrm>
                    <a:prstGeom prst="rect">
                      <a:avLst/>
                    </a:prstGeom>
                    <a:noFill/>
                    <a:ln>
                      <a:noFill/>
                    </a:ln>
                  </pic:spPr>
                </pic:pic>
              </a:graphicData>
            </a:graphic>
          </wp:inline>
        </w:drawing>
      </w:r>
    </w:p>
    <w:p>
      <w:pPr>
        <w:pStyle w:val="Heading1"/>
        <w:spacing w:before="240"/>
        <w:rPr>
          <w:rFonts w:eastAsia="Calibri"/>
          <w:noProof/>
        </w:rPr>
      </w:pPr>
      <w:bookmarkStart w:id="39" w:name="_Toc472077576"/>
      <w:bookmarkStart w:id="40" w:name="_Toc10472516"/>
      <w:bookmarkStart w:id="41" w:name="_Toc13161782"/>
      <w:r>
        <w:rPr>
          <w:noProof/>
          <w:sz w:val="28"/>
        </w:rPr>
        <w:t>Βελτιώσεις</w:t>
      </w:r>
      <w:bookmarkEnd w:id="39"/>
      <w:bookmarkEnd w:id="40"/>
      <w:bookmarkEnd w:id="41"/>
    </w:p>
    <w:p>
      <w:pPr>
        <w:spacing w:before="240" w:line="360" w:lineRule="auto"/>
        <w:jc w:val="both"/>
        <w:rPr>
          <w:rFonts w:cs="Times New Roman"/>
          <w:noProof/>
        </w:rPr>
      </w:pPr>
      <w:r>
        <w:rPr>
          <w:noProof/>
        </w:rPr>
        <w:t>Η στήριξη που παρέχεται στα ΕΔΑ από το πρόγραμμα έχει ενθαρρύνει την καινοτομία στην παροχή υγειονομικής περίθαλψης και έχει αυξήσει την πρόσβαση σε ποιοτική περίθαλψη σε ολόκληρη την ΕΕ.</w:t>
      </w:r>
    </w:p>
    <w:p>
      <w:pPr>
        <w:spacing w:before="240" w:line="360" w:lineRule="auto"/>
        <w:jc w:val="both"/>
        <w:rPr>
          <w:rFonts w:cs="Times New Roman"/>
          <w:noProof/>
        </w:rPr>
      </w:pPr>
      <w:r>
        <w:rPr>
          <w:noProof/>
        </w:rPr>
        <w:t>Ο Chafea χρησιμοποίησε όλα τα εργαλεία απλούστευσης που έχει στη διάθεσή του για τον εξορθολογισμό της χρηματοδοτικής συνεισφοράς της ΕΕ στα ΕΔΑ. Η σύναψη ΣΠΕΣ και η επακόλουθη παροχή ειδικών επιχορηγήσεων θα διευκολύνουν την εφαρμογή και την υποβολή εκθέσεων και θα παράσχουν στα ΕΔΑ ένα σταθερό πλαίσιο λειτουργίας.</w:t>
      </w:r>
    </w:p>
    <w:p>
      <w:pPr>
        <w:spacing w:before="240" w:line="360" w:lineRule="auto"/>
        <w:jc w:val="both"/>
        <w:rPr>
          <w:rFonts w:cs="Times New Roman"/>
          <w:noProof/>
        </w:rPr>
      </w:pPr>
      <w:r>
        <w:rPr>
          <w:noProof/>
        </w:rPr>
        <w:t>Βασικές δράσεις στο πλαίσιο του στόχου του προγράμματος για την προαγωγή της υγείας και την πρόληψη των νόσων συγχρηματοδοτήθηκαν από τις αρμόδιες αρχές των κρατών μελών (κοινές δράσεις). Ο αριθμός των συμμετεχόντων σε αυτές τις κοινές δράσεις</w:t>
      </w:r>
      <w:r>
        <w:rPr>
          <w:rStyle w:val="FootnoteReference"/>
          <w:noProof/>
        </w:rPr>
        <w:footnoteReference w:id="17"/>
      </w:r>
      <w:r>
        <w:rPr>
          <w:noProof/>
        </w:rPr>
        <w:t xml:space="preserve"> αντικατοπτρίζει το ενδιαφέρον των κρατών μελών να συμμετέχουν ενεργά σε κοινές πρωτοβουλίες στους τομείς της καταπολέμησης του καπνίσματος, της πρόληψης του ιού HIV/AIDS, της φυματίωσης και της ιογενούς ηπατίτιδας, καθώς και των χρόνιων νοσημάτων.</w:t>
      </w:r>
    </w:p>
    <w:p>
      <w:pPr>
        <w:spacing w:line="360" w:lineRule="auto"/>
        <w:jc w:val="both"/>
        <w:rPr>
          <w:rFonts w:cs="Times New Roman"/>
          <w:noProof/>
        </w:rPr>
      </w:pPr>
      <w:r>
        <w:rPr>
          <w:noProof/>
        </w:rPr>
        <w:t>Σε συνέχεια του έργου που επιτελέστηκε το 2015, ο Chafea εξακολούθησε να επενδύει σημαντικά σε δραστηριότητες πληροφόρησης και διάδοσης, σε στενή συνεργασία με τη ΓΔ SANTE και το δίκτυο εθνικών σημείων επαφής του προγράμματος για την υγεία. Ο Chafea διοργάνωσε διάφορες συναντήσεις εργασίας, συνεργάστηκε στο πλαίσιο εθνικών και διεθνών συνεδρίων μεγάλης εμβέλειας, ενώ οργάνωσε επίσης μεμονωμένες εκδηλώσεις σε συνεργασία με εθνικές αρχές των χωρών της ΕΕ. Επιπλέον, κατάρτισε σειρά φυλλαδίων και ενημερωτικών δελτίων σχετικά με βασικούς τομείς προτεραιότητας του προγράμματος για την υγεία. Περαιτέρω λεπτομέρειες σχετικά με τις δραστηριότητες διάδοσης που υλοποιήθηκαν το 2016 παρέχονται στο έγγραφο εργασίας των υπηρεσιών της Επιτροπής.</w:t>
      </w:r>
    </w:p>
    <w:p>
      <w:pPr>
        <w:spacing w:line="360" w:lineRule="auto"/>
        <w:jc w:val="both"/>
        <w:rPr>
          <w:rFonts w:cs="Times New Roman"/>
          <w:noProof/>
        </w:rPr>
      </w:pPr>
      <w:r>
        <w:rPr>
          <w:noProof/>
        </w:rPr>
        <w:t>Προκειμένου να διασφαλιστεί η παρακολούθηση της υλοποίησης του προγράμματος για την υγεία, μετά την επιτευχθείσα πρόοδο προόδου βάσει του συστήματος CORDA</w:t>
      </w:r>
      <w:r>
        <w:rPr>
          <w:rStyle w:val="FootnoteReference"/>
          <w:noProof/>
        </w:rPr>
        <w:footnoteReference w:id="18"/>
      </w:r>
      <w:r>
        <w:rPr>
          <w:noProof/>
        </w:rPr>
        <w:t xml:space="preserve"> θα ακολουθήσει ανάλυση των σχολίων σχετικά με τα αποτελέσματα και τον δυνητικό αντίκτυπο του προγράμματος.</w:t>
      </w:r>
    </w:p>
    <w:p>
      <w:pPr>
        <w:spacing w:line="360" w:lineRule="auto"/>
        <w:jc w:val="both"/>
        <w:rPr>
          <w:rFonts w:cs="Times New Roman"/>
          <w:noProof/>
          <w:sz w:val="36"/>
          <w:highlight w:val="yellow"/>
        </w:rPr>
      </w:pPr>
      <w:r>
        <w:rPr>
          <w:noProof/>
        </w:rPr>
        <w:t>Δεδομένου ότι οι περισσότερες δράσεις βρίσκονται ακόμη σε πρώιμο στάδιο, δεν υπάρχουν ακόμη διαθέσιμα απτά αποτελέσματα. Πιο εμπεριστατωμένες πληροφορίες σχετικά τον συνολικό αντίκτυπο του προγράμματος θα είναι διαθέσιμες μόνο μετά την ολοκλήρωση της πρώτης γενιάς των συγχρηματοδοτούμενων δράσεων. Ωστόσο, το πολυετές σχέδιο που αναπτύχθηκε κατά την έναρξη του τρίτου προγράμματος για την υγεία διασφαλίζει τη συνέχεια και τη συνοχή μεταξύ των διαφόρων ειδών χρηματοδοτικών μέσων που είναι διαθέσιμα. Τα ΕΔΑ αποτελούν αντιπροσωπευτικό παράδειγμα, δεδομένου ότι η στήριξη που παρέχεται σε αυτά έχει βελτιστοποιηθεί με την εναρμόνιση των δημόσιων συμβάσεων (αξιολόγηση των παρόχων υγειονομικής περίθαλψης και των ΕΔΑ), των επιχορηγήσεων σχεδίων (για τις εργασίες των μητρώων ασθενών), των κοινών δράσεων (για τις σπάνιες νόσους και το ORPHANET) και των ειδικών επιχορηγήσεων βάσει ΣΠΕΣ για τον συντονισμό των δικτύων.</w:t>
      </w:r>
    </w:p>
    <w:sectPr>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993" w:left="1417" w:header="708" w:footer="70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EL</w:t>
    </w:r>
    <w:r>
      <w:rPr>
        <w:rFonts w:ascii="Arial" w:hAnsi="Arial" w:cs="Arial"/>
        <w:b/>
        <w:sz w:val="48"/>
      </w:rPr>
      <w:tab/>
    </w:r>
    <w:r>
      <w:rPr>
        <w:rFonts w:ascii="Arial" w:hAnsi="Arial" w:cs="Arial"/>
        <w:b/>
        <w:sz w:val="48"/>
      </w:rPr>
      <w:tab/>
    </w:r>
    <w:r>
      <w:tab/>
    </w:r>
    <w:r>
      <w:rPr>
        <w:rFonts w:ascii="Arial" w:hAnsi="Arial" w:cs="Arial"/>
        <w:b/>
        <w:sz w:val="48"/>
      </w:rPr>
      <w:t>EL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4097951"/>
      <w:docPartObj>
        <w:docPartGallery w:val="Page Numbers (Bottom of Page)"/>
        <w:docPartUnique/>
      </w:docPartObj>
    </w:sdtPr>
    <w:sdtEndPr>
      <w:rPr>
        <w:sz w:val="16"/>
      </w:rPr>
    </w:sdtEndPr>
    <w:sdtContent>
      <w:p>
        <w:pPr>
          <w:pStyle w:val="Footer"/>
          <w:jc w:val="right"/>
          <w:rPr>
            <w:sz w:val="16"/>
          </w:rPr>
        </w:pPr>
        <w:r>
          <w:rPr>
            <w:sz w:val="16"/>
          </w:rPr>
          <w:fldChar w:fldCharType="begin"/>
        </w:r>
        <w:r>
          <w:rPr>
            <w:sz w:val="16"/>
          </w:rPr>
          <w:instrText xml:space="preserve"> PAGE   \* MERGEFORMAT </w:instrText>
        </w:r>
        <w:r>
          <w:rPr>
            <w:sz w:val="16"/>
          </w:rPr>
          <w:fldChar w:fldCharType="separate"/>
        </w:r>
        <w:r>
          <w:rPr>
            <w:noProof/>
            <w:sz w:val="16"/>
          </w:rPr>
          <w:t>3</w:t>
        </w:r>
        <w:r>
          <w:rPr>
            <w:sz w:val="16"/>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spacing w:after="0"/>
        <w:contextualSpacing/>
        <w:rPr>
          <w:rFonts w:ascii="Times New Roman" w:hAnsi="Times New Roman"/>
          <w:sz w:val="16"/>
        </w:rPr>
      </w:pPr>
      <w:r>
        <w:rPr>
          <w:rStyle w:val="FootnoteReference"/>
          <w:rFonts w:ascii="Times New Roman" w:hAnsi="Times New Roman"/>
          <w:sz w:val="16"/>
        </w:rPr>
        <w:footnoteRef/>
      </w:r>
      <w:r>
        <w:tab/>
      </w:r>
      <w:r>
        <w:rPr>
          <w:rFonts w:ascii="Times New Roman" w:hAnsi="Times New Roman"/>
          <w:sz w:val="16"/>
        </w:rPr>
        <w:t>ΕΕ L 86 της 21.3.2014, σ. 1.</w:t>
      </w:r>
    </w:p>
  </w:footnote>
  <w:footnote w:id="2">
    <w:p>
      <w:pPr>
        <w:pStyle w:val="FootnoteText"/>
        <w:spacing w:after="0"/>
        <w:contextualSpacing/>
        <w:rPr>
          <w:rFonts w:ascii="Times New Roman" w:hAnsi="Times New Roman"/>
          <w:sz w:val="16"/>
        </w:rPr>
      </w:pPr>
      <w:r>
        <w:rPr>
          <w:rStyle w:val="FootnoteReference"/>
          <w:rFonts w:ascii="Times New Roman" w:hAnsi="Times New Roman"/>
          <w:sz w:val="16"/>
        </w:rPr>
        <w:footnoteRef/>
      </w:r>
      <w:r>
        <w:tab/>
      </w:r>
      <w:r>
        <w:rPr>
          <w:rFonts w:ascii="Times New Roman" w:hAnsi="Times New Roman"/>
          <w:sz w:val="16"/>
        </w:rPr>
        <w:t>ΕΕ L 301 της 20.11.2007, σ. 3.</w:t>
      </w:r>
    </w:p>
  </w:footnote>
  <w:footnote w:id="3">
    <w:p>
      <w:pPr>
        <w:pStyle w:val="FootnoteText"/>
        <w:contextualSpacing/>
        <w:rPr>
          <w:rFonts w:ascii="Times New Roman" w:hAnsi="Times New Roman"/>
          <w:sz w:val="16"/>
        </w:rPr>
      </w:pPr>
      <w:r>
        <w:rPr>
          <w:rStyle w:val="FootnoteReference"/>
          <w:rFonts w:ascii="Times New Roman" w:hAnsi="Times New Roman"/>
          <w:sz w:val="16"/>
        </w:rPr>
        <w:footnoteRef/>
      </w:r>
      <w:r>
        <w:tab/>
      </w:r>
      <w:hyperlink r:id="rId1">
        <w:r>
          <w:rPr>
            <w:rStyle w:val="Hyperlink"/>
            <w:lang w:val="pl-PL"/>
          </w:rPr>
          <w:t>http</w:t>
        </w:r>
        <w:r>
          <w:rPr>
            <w:rStyle w:val="Hyperlink"/>
          </w:rPr>
          <w:t>://</w:t>
        </w:r>
        <w:r>
          <w:rPr>
            <w:rStyle w:val="Hyperlink"/>
            <w:lang w:val="pl-PL"/>
          </w:rPr>
          <w:t>ec</w:t>
        </w:r>
        <w:r>
          <w:rPr>
            <w:rStyle w:val="Hyperlink"/>
          </w:rPr>
          <w:t>.</w:t>
        </w:r>
        <w:r>
          <w:rPr>
            <w:rStyle w:val="Hyperlink"/>
            <w:lang w:val="pl-PL"/>
          </w:rPr>
          <w:t>europa</w:t>
        </w:r>
        <w:r>
          <w:rPr>
            <w:rStyle w:val="Hyperlink"/>
          </w:rPr>
          <w:t>.</w:t>
        </w:r>
        <w:r>
          <w:rPr>
            <w:rStyle w:val="Hyperlink"/>
            <w:lang w:val="pl-PL"/>
          </w:rPr>
          <w:t>eu</w:t>
        </w:r>
        <w:r>
          <w:rPr>
            <w:rStyle w:val="Hyperlink"/>
          </w:rPr>
          <w:t>/</w:t>
        </w:r>
        <w:r>
          <w:rPr>
            <w:rStyle w:val="Hyperlink"/>
            <w:lang w:val="pl-PL"/>
          </w:rPr>
          <w:t>health</w:t>
        </w:r>
        <w:r>
          <w:rPr>
            <w:rStyle w:val="Hyperlink"/>
          </w:rPr>
          <w:t>/</w:t>
        </w:r>
        <w:r>
          <w:rPr>
            <w:rStyle w:val="Hyperlink"/>
            <w:lang w:val="pl-PL"/>
          </w:rPr>
          <w:t>ern</w:t>
        </w:r>
        <w:r>
          <w:rPr>
            <w:rStyle w:val="Hyperlink"/>
          </w:rPr>
          <w:t>/</w:t>
        </w:r>
        <w:r>
          <w:rPr>
            <w:rStyle w:val="Hyperlink"/>
            <w:lang w:val="pl-PL"/>
          </w:rPr>
          <w:t>networks</w:t>
        </w:r>
        <w:r>
          <w:rPr>
            <w:rStyle w:val="Hyperlink"/>
          </w:rPr>
          <w:t>_</w:t>
        </w:r>
        <w:r>
          <w:rPr>
            <w:rStyle w:val="Hyperlink"/>
            <w:lang w:val="pl-PL"/>
          </w:rPr>
          <w:t>el</w:t>
        </w:r>
      </w:hyperlink>
    </w:p>
  </w:footnote>
  <w:footnote w:id="4">
    <w:p>
      <w:pPr>
        <w:pStyle w:val="FootnoteText"/>
        <w:contextualSpacing/>
        <w:rPr>
          <w:rFonts w:ascii="Times New Roman" w:hAnsi="Times New Roman"/>
          <w:sz w:val="16"/>
        </w:rPr>
      </w:pPr>
      <w:r>
        <w:rPr>
          <w:rStyle w:val="FootnoteReference"/>
          <w:rFonts w:ascii="Times New Roman" w:hAnsi="Times New Roman"/>
          <w:sz w:val="16"/>
        </w:rPr>
        <w:footnoteRef/>
      </w:r>
      <w:r>
        <w:tab/>
      </w:r>
      <w:r>
        <w:rPr>
          <w:rFonts w:ascii="Times New Roman" w:hAnsi="Times New Roman"/>
          <w:sz w:val="16"/>
        </w:rPr>
        <w:t>ΕΕ L 88 της 4.4.2011, σ. 45-65.</w:t>
      </w:r>
    </w:p>
  </w:footnote>
  <w:footnote w:id="5">
    <w:p>
      <w:pPr>
        <w:pStyle w:val="FootnoteText"/>
      </w:pPr>
      <w:r>
        <w:rPr>
          <w:rStyle w:val="FootnoteReference"/>
        </w:rPr>
        <w:footnoteRef/>
      </w:r>
      <w:r>
        <w:tab/>
      </w:r>
      <w:hyperlink r:id="rId2">
        <w:r>
          <w:rPr>
            <w:rStyle w:val="Hyperlink"/>
            <w:rFonts w:ascii="Times New Roman" w:hAnsi="Times New Roman"/>
            <w:sz w:val="16"/>
          </w:rPr>
          <w:t>https://ec.europa.eu/commission/sites/beta-political/files/juncker-political-guidelines-speech_el.pdf</w:t>
        </w:r>
      </w:hyperlink>
    </w:p>
  </w:footnote>
  <w:footnote w:id="6">
    <w:p>
      <w:pPr>
        <w:pStyle w:val="FootnoteText"/>
      </w:pPr>
      <w:r>
        <w:rPr>
          <w:rStyle w:val="FootnoteReference"/>
        </w:rPr>
        <w:footnoteRef/>
      </w:r>
      <w:r>
        <w:tab/>
      </w:r>
      <w:hyperlink r:id="rId3">
        <w:r>
          <w:rPr>
            <w:rStyle w:val="Hyperlink"/>
            <w:rFonts w:ascii="Times New Roman" w:hAnsi="Times New Roman"/>
            <w:sz w:val="16"/>
            <w:lang w:val="pl-PL"/>
          </w:rPr>
          <w:t>https</w:t>
        </w:r>
        <w:r>
          <w:rPr>
            <w:rStyle w:val="Hyperlink"/>
            <w:rFonts w:ascii="Times New Roman" w:hAnsi="Times New Roman"/>
            <w:sz w:val="16"/>
          </w:rPr>
          <w:t>://</w:t>
        </w:r>
        <w:r>
          <w:rPr>
            <w:rStyle w:val="Hyperlink"/>
            <w:rFonts w:ascii="Times New Roman" w:hAnsi="Times New Roman"/>
            <w:sz w:val="16"/>
            <w:lang w:val="pl-PL"/>
          </w:rPr>
          <w:t>ec</w:t>
        </w:r>
        <w:r>
          <w:rPr>
            <w:rStyle w:val="Hyperlink"/>
            <w:rFonts w:ascii="Times New Roman" w:hAnsi="Times New Roman"/>
            <w:sz w:val="16"/>
          </w:rPr>
          <w:t>.</w:t>
        </w:r>
        <w:r>
          <w:rPr>
            <w:rStyle w:val="Hyperlink"/>
            <w:rFonts w:ascii="Times New Roman" w:hAnsi="Times New Roman"/>
            <w:sz w:val="16"/>
            <w:lang w:val="pl-PL"/>
          </w:rPr>
          <w:t>europa</w:t>
        </w:r>
        <w:r>
          <w:rPr>
            <w:rStyle w:val="Hyperlink"/>
            <w:rFonts w:ascii="Times New Roman" w:hAnsi="Times New Roman"/>
            <w:sz w:val="16"/>
          </w:rPr>
          <w:t>.</w:t>
        </w:r>
        <w:r>
          <w:rPr>
            <w:rStyle w:val="Hyperlink"/>
            <w:rFonts w:ascii="Times New Roman" w:hAnsi="Times New Roman"/>
            <w:sz w:val="16"/>
            <w:lang w:val="pl-PL"/>
          </w:rPr>
          <w:t>eu</w:t>
        </w:r>
        <w:r>
          <w:rPr>
            <w:rStyle w:val="Hyperlink"/>
            <w:rFonts w:ascii="Times New Roman" w:hAnsi="Times New Roman"/>
            <w:sz w:val="16"/>
          </w:rPr>
          <w:t>/</w:t>
        </w:r>
        <w:r>
          <w:rPr>
            <w:rStyle w:val="Hyperlink"/>
            <w:rFonts w:ascii="Times New Roman" w:hAnsi="Times New Roman"/>
            <w:sz w:val="16"/>
            <w:lang w:val="pl-PL"/>
          </w:rPr>
          <w:t>commission</w:t>
        </w:r>
        <w:r>
          <w:rPr>
            <w:rStyle w:val="Hyperlink"/>
            <w:rFonts w:ascii="Times New Roman" w:hAnsi="Times New Roman"/>
            <w:sz w:val="16"/>
          </w:rPr>
          <w:t>/</w:t>
        </w:r>
        <w:r>
          <w:rPr>
            <w:rStyle w:val="Hyperlink"/>
            <w:rFonts w:ascii="Times New Roman" w:hAnsi="Times New Roman"/>
            <w:sz w:val="16"/>
            <w:lang w:val="pl-PL"/>
          </w:rPr>
          <w:t>commissioners</w:t>
        </w:r>
        <w:r>
          <w:rPr>
            <w:rStyle w:val="Hyperlink"/>
            <w:rFonts w:ascii="Times New Roman" w:hAnsi="Times New Roman"/>
            <w:sz w:val="16"/>
          </w:rPr>
          <w:t>/</w:t>
        </w:r>
        <w:r>
          <w:rPr>
            <w:rStyle w:val="Hyperlink"/>
            <w:rFonts w:ascii="Times New Roman" w:hAnsi="Times New Roman"/>
            <w:sz w:val="16"/>
            <w:lang w:val="pl-PL"/>
          </w:rPr>
          <w:t>sites</w:t>
        </w:r>
        <w:r>
          <w:rPr>
            <w:rStyle w:val="Hyperlink"/>
            <w:rFonts w:ascii="Times New Roman" w:hAnsi="Times New Roman"/>
            <w:sz w:val="16"/>
          </w:rPr>
          <w:t>/</w:t>
        </w:r>
        <w:r>
          <w:rPr>
            <w:rStyle w:val="Hyperlink"/>
            <w:rFonts w:ascii="Times New Roman" w:hAnsi="Times New Roman"/>
            <w:sz w:val="16"/>
            <w:lang w:val="pl-PL"/>
          </w:rPr>
          <w:t>cwt</w:t>
        </w:r>
        <w:r>
          <w:rPr>
            <w:rStyle w:val="Hyperlink"/>
            <w:rFonts w:ascii="Times New Roman" w:hAnsi="Times New Roman"/>
            <w:sz w:val="16"/>
          </w:rPr>
          <w:t>/</w:t>
        </w:r>
        <w:r>
          <w:rPr>
            <w:rStyle w:val="Hyperlink"/>
            <w:rFonts w:ascii="Times New Roman" w:hAnsi="Times New Roman"/>
            <w:sz w:val="16"/>
            <w:lang w:val="pl-PL"/>
          </w:rPr>
          <w:t>files</w:t>
        </w:r>
        <w:r>
          <w:rPr>
            <w:rStyle w:val="Hyperlink"/>
            <w:rFonts w:ascii="Times New Roman" w:hAnsi="Times New Roman"/>
            <w:sz w:val="16"/>
          </w:rPr>
          <w:t>/</w:t>
        </w:r>
        <w:r>
          <w:rPr>
            <w:rStyle w:val="Hyperlink"/>
            <w:rFonts w:ascii="Times New Roman" w:hAnsi="Times New Roman"/>
            <w:sz w:val="16"/>
            <w:lang w:val="pl-PL"/>
          </w:rPr>
          <w:t>commissioner</w:t>
        </w:r>
        <w:r>
          <w:rPr>
            <w:rStyle w:val="Hyperlink"/>
            <w:rFonts w:ascii="Times New Roman" w:hAnsi="Times New Roman"/>
            <w:sz w:val="16"/>
          </w:rPr>
          <w:t>_</w:t>
        </w:r>
        <w:r>
          <w:rPr>
            <w:rStyle w:val="Hyperlink"/>
            <w:rFonts w:ascii="Times New Roman" w:hAnsi="Times New Roman"/>
            <w:sz w:val="16"/>
            <w:lang w:val="pl-PL"/>
          </w:rPr>
          <w:t>mission</w:t>
        </w:r>
        <w:r>
          <w:rPr>
            <w:rStyle w:val="Hyperlink"/>
            <w:rFonts w:ascii="Times New Roman" w:hAnsi="Times New Roman"/>
            <w:sz w:val="16"/>
          </w:rPr>
          <w:t>_</w:t>
        </w:r>
        <w:r>
          <w:rPr>
            <w:rStyle w:val="Hyperlink"/>
            <w:rFonts w:ascii="Times New Roman" w:hAnsi="Times New Roman"/>
            <w:sz w:val="16"/>
            <w:lang w:val="pl-PL"/>
          </w:rPr>
          <w:t>letters</w:t>
        </w:r>
        <w:r>
          <w:rPr>
            <w:rStyle w:val="Hyperlink"/>
            <w:rFonts w:ascii="Times New Roman" w:hAnsi="Times New Roman"/>
            <w:sz w:val="16"/>
          </w:rPr>
          <w:t>/</w:t>
        </w:r>
        <w:r>
          <w:rPr>
            <w:rStyle w:val="Hyperlink"/>
            <w:rFonts w:ascii="Times New Roman" w:hAnsi="Times New Roman"/>
            <w:sz w:val="16"/>
            <w:lang w:val="pl-PL"/>
          </w:rPr>
          <w:t>andriukaitis</w:t>
        </w:r>
        <w:r>
          <w:rPr>
            <w:rStyle w:val="Hyperlink"/>
            <w:rFonts w:ascii="Times New Roman" w:hAnsi="Times New Roman"/>
            <w:sz w:val="16"/>
          </w:rPr>
          <w:t>_</w:t>
        </w:r>
        <w:r>
          <w:rPr>
            <w:rStyle w:val="Hyperlink"/>
            <w:rFonts w:ascii="Times New Roman" w:hAnsi="Times New Roman"/>
            <w:sz w:val="16"/>
            <w:lang w:val="pl-PL"/>
          </w:rPr>
          <w:t>en</w:t>
        </w:r>
        <w:r>
          <w:rPr>
            <w:rStyle w:val="Hyperlink"/>
            <w:rFonts w:ascii="Times New Roman" w:hAnsi="Times New Roman"/>
            <w:sz w:val="16"/>
          </w:rPr>
          <w:t>.</w:t>
        </w:r>
        <w:r>
          <w:rPr>
            <w:rStyle w:val="Hyperlink"/>
            <w:rFonts w:ascii="Times New Roman" w:hAnsi="Times New Roman"/>
            <w:sz w:val="16"/>
            <w:lang w:val="pl-PL"/>
          </w:rPr>
          <w:t>pdf</w:t>
        </w:r>
      </w:hyperlink>
    </w:p>
  </w:footnote>
  <w:footnote w:id="7">
    <w:p>
      <w:pPr>
        <w:pStyle w:val="FootnoteText"/>
        <w:spacing w:after="0"/>
        <w:rPr>
          <w:rFonts w:ascii="Times New Roman" w:hAnsi="Times New Roman"/>
          <w:sz w:val="16"/>
          <w:szCs w:val="16"/>
        </w:rPr>
      </w:pPr>
      <w:r>
        <w:rPr>
          <w:rStyle w:val="FootnoteReference"/>
          <w:rFonts w:ascii="Times New Roman" w:hAnsi="Times New Roman"/>
          <w:sz w:val="16"/>
        </w:rPr>
        <w:footnoteRef/>
      </w:r>
      <w:r>
        <w:tab/>
      </w:r>
      <w:r>
        <w:rPr>
          <w:rFonts w:ascii="Times New Roman" w:hAnsi="Times New Roman"/>
          <w:sz w:val="16"/>
        </w:rPr>
        <w:t>ΕΕ L 88 της 4.4.2011, σ. 45-65.</w:t>
      </w:r>
    </w:p>
  </w:footnote>
  <w:footnote w:id="8">
    <w:p>
      <w:pPr>
        <w:pStyle w:val="FootnoteText"/>
        <w:rPr>
          <w:rFonts w:ascii="Times New Roman" w:hAnsi="Times New Roman"/>
          <w:sz w:val="16"/>
          <w:szCs w:val="16"/>
        </w:rPr>
      </w:pPr>
      <w:r>
        <w:rPr>
          <w:rStyle w:val="FootnoteReference"/>
          <w:rFonts w:ascii="Times New Roman" w:hAnsi="Times New Roman"/>
          <w:sz w:val="16"/>
        </w:rPr>
        <w:footnoteRef/>
      </w:r>
      <w:r>
        <w:tab/>
      </w:r>
      <w:r>
        <w:rPr>
          <w:rFonts w:ascii="Times New Roman" w:hAnsi="Times New Roman"/>
          <w:sz w:val="16"/>
        </w:rPr>
        <w:t>ΕΕ L 147 της 17.5.2014, σ. 79-87.</w:t>
      </w:r>
    </w:p>
  </w:footnote>
  <w:footnote w:id="9">
    <w:p>
      <w:pPr>
        <w:pStyle w:val="FootnoteText"/>
      </w:pPr>
      <w:r>
        <w:rPr>
          <w:rStyle w:val="FootnoteReference"/>
          <w:rFonts w:ascii="Times New Roman" w:hAnsi="Times New Roman"/>
          <w:sz w:val="16"/>
        </w:rPr>
        <w:footnoteRef/>
      </w:r>
      <w:r>
        <w:tab/>
      </w:r>
      <w:r>
        <w:rPr>
          <w:rFonts w:ascii="Times New Roman" w:hAnsi="Times New Roman"/>
          <w:sz w:val="16"/>
        </w:rPr>
        <w:t>ΕΕ L 147 της 17.5.2014, σ. 71-78.</w:t>
      </w:r>
    </w:p>
  </w:footnote>
  <w:footnote w:id="10">
    <w:p>
      <w:pPr>
        <w:pStyle w:val="FootnoteText"/>
        <w:spacing w:after="0"/>
        <w:jc w:val="both"/>
      </w:pPr>
      <w:r>
        <w:rPr>
          <w:rStyle w:val="FootnoteReference"/>
          <w:rFonts w:ascii="Times New Roman" w:hAnsi="Times New Roman"/>
          <w:sz w:val="16"/>
        </w:rPr>
        <w:footnoteRef/>
      </w:r>
      <w:r>
        <w:tab/>
      </w:r>
      <w:r>
        <w:rPr>
          <w:rFonts w:ascii="Times New Roman" w:hAnsi="Times New Roman"/>
          <w:sz w:val="16"/>
        </w:rPr>
        <w:t>Βάσει του άρθρου 12 της οδηγίας 2011/24/ΕΕ περί εφαρμογής των δικαιωμάτων των ασθενών στο πλαίσιο της διασυνοριακής υγειονομικής περίθαλψης και σχετικών εκτελεστικών μέτρων, η Ευρωπαϊκή Επιτροπή ανέπτυξε –μέσω σύμβασης υπηρεσιών υπό τη διαχείριση του Chafea– τη μεθοδολογία και τα τεχνικά εργαλεία για την αξιολόγηση των προτάσεων με αντικείμενο «Δίκτυα και πάροχοι υγειονομικής περίθαλψης». Ο ανάδοχος επιλήφθηκε όλων των σταδίων αξιολόγησης, από τη δημοσίευση της πρόσκλησης ενδιαφέροντος για τη δημιουργία δικτύων μέχρι την έγκρισή τους, συμπεριλαμβανομένων του υλικού και των μεθόδων προς χρήση καθώς και των προσδοκώμενων τελικών προϊόντων.</w:t>
      </w:r>
    </w:p>
  </w:footnote>
  <w:footnote w:id="11">
    <w:p>
      <w:pPr>
        <w:pStyle w:val="FootnoteText"/>
        <w:spacing w:after="0"/>
        <w:rPr>
          <w:rFonts w:ascii="Times New Roman" w:hAnsi="Times New Roman"/>
        </w:rPr>
      </w:pPr>
      <w:r>
        <w:rPr>
          <w:rStyle w:val="FootnoteReference"/>
          <w:rFonts w:ascii="Times New Roman" w:hAnsi="Times New Roman"/>
          <w:sz w:val="16"/>
        </w:rPr>
        <w:footnoteRef/>
      </w:r>
      <w:r>
        <w:tab/>
      </w:r>
      <w:r>
        <w:rPr>
          <w:rFonts w:ascii="Times New Roman" w:hAnsi="Times New Roman"/>
          <w:sz w:val="16"/>
        </w:rPr>
        <w:t>Στο ετήσιο πρόγραμμα εργασίας για το 2018 προβλέπεται πολυετής επιχορήγηση για την κάλυψη των 3 τελευταίων ετών της λειτουργίας των δικτύων. Η συγκεκριμένη χρηματοδότηση από την ΕΕ ανέρχεται σε 13 800 000 EUR και η διάρκεια ισχύος της έχει οριστεί έως το τέλος Φεβρουαρίου του 2022.</w:t>
      </w:r>
    </w:p>
  </w:footnote>
  <w:footnote w:id="12">
    <w:p>
      <w:pPr>
        <w:pStyle w:val="FootnoteText"/>
      </w:pPr>
      <w:r>
        <w:rPr>
          <w:rStyle w:val="FootnoteReference"/>
        </w:rPr>
        <w:footnoteRef/>
      </w:r>
      <w:r>
        <w:tab/>
      </w:r>
      <w:r>
        <w:rPr>
          <w:rFonts w:ascii="Times New Roman" w:hAnsi="Times New Roman"/>
          <w:sz w:val="16"/>
        </w:rPr>
        <w:t>Επιχορήγηση λειτουργίας για το δίκτυο ευπάθειας, ΣΠΕΣ 2015-2017.</w:t>
      </w:r>
    </w:p>
  </w:footnote>
  <w:footnote w:id="13">
    <w:p>
      <w:pPr>
        <w:pStyle w:val="FootnoteText"/>
        <w:spacing w:after="0" w:line="240" w:lineRule="auto"/>
        <w:jc w:val="both"/>
        <w:rPr>
          <w:rFonts w:ascii="Times New Roman" w:hAnsi="Times New Roman"/>
          <w:sz w:val="16"/>
        </w:rPr>
      </w:pPr>
      <w:r>
        <w:rPr>
          <w:rStyle w:val="FootnoteReference"/>
          <w:rFonts w:ascii="Times New Roman" w:hAnsi="Times New Roman"/>
          <w:sz w:val="16"/>
        </w:rPr>
        <w:footnoteRef/>
      </w:r>
      <w:r>
        <w:tab/>
      </w:r>
      <w:r>
        <w:rPr>
          <w:rFonts w:ascii="Times New Roman" w:hAnsi="Times New Roman"/>
          <w:sz w:val="16"/>
        </w:rPr>
        <w:t xml:space="preserve">Απόφαση 2004/858/EΚ, της 15ης Δεκεμβρίου 2004 (ΕΕ L 369 της 16.12.2004, σ. 73), όπως τροποποιήθηκε με την απόφαση 2008/544/EΚ της 20ής Ιουνίου 2008 (ΕΕ L 173 της 3.7.2008, σ. 27)· από τον Δεκέμβριο του 2014 ο Chafea έχει αντικαταστήσει τον Εκτελεστικό Οργανισμό για την Υγεία και τους Καταναλωτές (EAHC) με βάση την </w:t>
      </w:r>
      <w:hyperlink r:id="rId4">
        <w:r>
          <w:rPr>
            <w:rStyle w:val="Hyperlink"/>
          </w:rPr>
          <w:t>εκτελεστική απόφαση 2014/927/ΕΕ της Επιτροπής</w:t>
        </w:r>
      </w:hyperlink>
      <w:r>
        <w:rPr>
          <w:rStyle w:val="Hyperlink"/>
          <w:color w:val="auto"/>
          <w:u w:val="none"/>
        </w:rPr>
        <w:t>.</w:t>
      </w:r>
    </w:p>
  </w:footnote>
  <w:footnote w:id="14">
    <w:p>
      <w:pPr>
        <w:pStyle w:val="FootnoteText"/>
      </w:pPr>
      <w:r>
        <w:rPr>
          <w:rStyle w:val="FootnoteReference"/>
          <w:rFonts w:ascii="Times New Roman" w:hAnsi="Times New Roman"/>
          <w:sz w:val="16"/>
        </w:rPr>
        <w:footnoteRef/>
      </w:r>
      <w:r>
        <w:tab/>
      </w:r>
      <w:r>
        <w:rPr>
          <w:rFonts w:ascii="Times New Roman" w:hAnsi="Times New Roman"/>
          <w:sz w:val="16"/>
        </w:rPr>
        <w:t>Εκτελεστική απόφαση C(2016)1158 final της Επιτροπής της 1.3.2016.</w:t>
      </w:r>
    </w:p>
  </w:footnote>
  <w:footnote w:id="15">
    <w:p>
      <w:pPr>
        <w:pStyle w:val="FootnoteText"/>
        <w:spacing w:after="0"/>
        <w:rPr>
          <w:rFonts w:ascii="Times New Roman" w:hAnsi="Times New Roman"/>
          <w:sz w:val="16"/>
        </w:rPr>
      </w:pPr>
      <w:r>
        <w:rPr>
          <w:rStyle w:val="FootnoteReference"/>
          <w:rFonts w:ascii="Times New Roman" w:hAnsi="Times New Roman"/>
          <w:sz w:val="16"/>
        </w:rPr>
        <w:footnoteRef/>
      </w:r>
      <w:r>
        <w:tab/>
      </w:r>
      <w:r>
        <w:rPr>
          <w:rFonts w:ascii="Times New Roman" w:hAnsi="Times New Roman"/>
          <w:sz w:val="16"/>
        </w:rPr>
        <w:t>Διαφορές μεταξύ των πιστώσεων που ήταν διαθέσιμες προς χρήση μόνο το 2016 και των ποσών για τα οποία συνήφθησαν συμβάσεις.</w:t>
      </w:r>
    </w:p>
  </w:footnote>
  <w:footnote w:id="16">
    <w:p>
      <w:pPr>
        <w:pStyle w:val="FootnoteText"/>
        <w:rPr>
          <w:rFonts w:ascii="Times New Roman" w:hAnsi="Times New Roman"/>
          <w:sz w:val="16"/>
        </w:rPr>
      </w:pPr>
      <w:r>
        <w:rPr>
          <w:rStyle w:val="FootnoteReference"/>
          <w:rFonts w:ascii="Times New Roman" w:hAnsi="Times New Roman"/>
          <w:sz w:val="16"/>
        </w:rPr>
        <w:footnoteRef/>
      </w:r>
      <w:r>
        <w:tab/>
      </w:r>
      <w:r>
        <w:rPr>
          <w:rFonts w:ascii="Times New Roman" w:hAnsi="Times New Roman"/>
          <w:sz w:val="16"/>
        </w:rPr>
        <w:t>Εξαιρούνται οι συμβάσεις που υπογράφηκαν με μεμονωμένους εμπειρογνώμονες, π.χ. όσους συμμετέχουν στις επιστημονικές επιτροπές.</w:t>
      </w:r>
    </w:p>
  </w:footnote>
  <w:footnote w:id="17">
    <w:p>
      <w:pPr>
        <w:pStyle w:val="FootnoteText"/>
        <w:spacing w:after="0"/>
        <w:jc w:val="both"/>
        <w:rPr>
          <w:rFonts w:ascii="Times New Roman" w:hAnsi="Times New Roman"/>
          <w:sz w:val="16"/>
          <w:szCs w:val="16"/>
        </w:rPr>
      </w:pPr>
      <w:r>
        <w:rPr>
          <w:rStyle w:val="FootnoteReference"/>
          <w:rFonts w:ascii="Times New Roman" w:hAnsi="Times New Roman"/>
          <w:sz w:val="16"/>
        </w:rPr>
        <w:footnoteRef/>
      </w:r>
      <w:r>
        <w:tab/>
      </w:r>
      <w:r>
        <w:rPr>
          <w:rFonts w:ascii="Times New Roman" w:hAnsi="Times New Roman"/>
          <w:sz w:val="16"/>
        </w:rPr>
        <w:t>Το 2016 ο αριθμός των συμμετεχόντων ανά κοινή δράση κυμαινόταν μεταξύ 27 και 44 εταίρων (δικαιούχοι, μη συμπεριλαμβανομένων των συνδεδεμένων οντοτήτων), μέγεθος που δυσχέραινε τη συνολική διαχείριση και τον συντονισμό τους, δεδομένου ότι όλοι οι εταίροι έπρεπε να υπογράψουν τη συμφωνία επιχορήγησης.</w:t>
      </w:r>
    </w:p>
  </w:footnote>
  <w:footnote w:id="18">
    <w:p>
      <w:pPr>
        <w:pStyle w:val="FootnoteText"/>
        <w:spacing w:after="0"/>
      </w:pPr>
      <w:r>
        <w:rPr>
          <w:rStyle w:val="FootnoteReference"/>
          <w:rFonts w:ascii="Times New Roman" w:hAnsi="Times New Roman"/>
          <w:sz w:val="16"/>
        </w:rPr>
        <w:footnoteRef/>
      </w:r>
      <w:r>
        <w:tab/>
      </w:r>
      <w:r>
        <w:rPr>
          <w:rFonts w:ascii="Times New Roman" w:hAnsi="Times New Roman"/>
          <w:sz w:val="16"/>
        </w:rPr>
        <w:t>Το σύστημα CORDA συγκεντρώνει τα δεδομένα τα οποία συλλέγονται για το σύνολο των δράσεων υπό τη διαχείριση του Chafea και παρακολουθούνται με τη χρήση των ηλεκτρονικών εργαλείων του προγράμματος Η2020. Το σύστημα αυτό, το οποίο τέθηκε σε εφαρμογή από το κοινό κέντρο υποστήριξης του προγράμματος έρευνας και καινοτομίας, αποτελεί τη βασική πηγή πληροφοριών και παρέχει στοιχεία ανατροφοδότησης σχετικά με την εκπλήρωση των στόχων και των προτεραιοτήτων του προγράμματος, καθώς και σχετικά με το είδος των δράσεων και των οργανισμών που έχουν αποτελέσει αντικείμενο συγχρηματοδότησης.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68" w:type="dxa"/>
      <w:tblLayout w:type="fixed"/>
      <w:tblCellMar>
        <w:left w:w="0" w:type="dxa"/>
        <w:right w:w="0" w:type="dxa"/>
      </w:tblCellMar>
      <w:tblLook w:val="0000" w:firstRow="0" w:lastRow="0" w:firstColumn="0" w:lastColumn="0" w:noHBand="0" w:noVBand="0"/>
    </w:tblPr>
    <w:tblGrid>
      <w:gridCol w:w="9468"/>
    </w:tblGrid>
    <w:tr>
      <w:trPr>
        <w:trHeight w:val="426"/>
      </w:trPr>
      <w:tc>
        <w:tcPr>
          <w:tcW w:w="9468" w:type="dxa"/>
          <w:tcBorders>
            <w:top w:val="nil"/>
            <w:left w:val="nil"/>
            <w:bottom w:val="nil"/>
            <w:right w:val="nil"/>
          </w:tcBorders>
        </w:tcPr>
        <w:p>
          <w:pPr>
            <w:widowControl w:val="0"/>
            <w:autoSpaceDE w:val="0"/>
            <w:autoSpaceDN w:val="0"/>
            <w:spacing w:after="0"/>
            <w:ind w:right="85"/>
            <w:jc w:val="center"/>
            <w:rPr>
              <w:rFonts w:ascii="Arial" w:hAnsi="Arial" w:cs="Arial"/>
              <w:sz w:val="16"/>
              <w:szCs w:val="16"/>
            </w:rPr>
          </w:pPr>
        </w:p>
      </w:tc>
    </w:tr>
  </w:tbl>
  <w:p>
    <w:pPr>
      <w:pStyle w:val="Header"/>
    </w:pPr>
    <w:r>
      <w:object w:dxaOrig="9072" w:dyaOrig="124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5.45pt;height:621.05pt" o:ole="">
          <v:imagedata r:id="rId1" o:title=""/>
        </v:shape>
        <o:OLEObject Type="Embed" ProgID="Word.Document.12" ShapeID="_x0000_i1026" DrawAspect="Content" ObjectID="_1625914138" r:id="rId2">
          <o:FieldCodes>\s</o:FieldCodes>
        </o:OLEObject>
      </w:obje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A09AA66C"/>
    <w:lvl w:ilvl="0">
      <w:start w:val="1"/>
      <w:numFmt w:val="decimal"/>
      <w:pStyle w:val="ListNumber4"/>
      <w:lvlText w:val="%1."/>
      <w:lvlJc w:val="left"/>
      <w:pPr>
        <w:tabs>
          <w:tab w:val="num" w:pos="1209"/>
        </w:tabs>
        <w:ind w:left="1209" w:hanging="360"/>
      </w:pPr>
    </w:lvl>
  </w:abstractNum>
  <w:abstractNum w:abstractNumId="1">
    <w:nsid w:val="FFFFFF7E"/>
    <w:multiLevelType w:val="singleLevel"/>
    <w:tmpl w:val="B6FC6470"/>
    <w:lvl w:ilvl="0">
      <w:start w:val="1"/>
      <w:numFmt w:val="decimal"/>
      <w:pStyle w:val="ListNumber3"/>
      <w:lvlText w:val="%1."/>
      <w:lvlJc w:val="left"/>
      <w:pPr>
        <w:tabs>
          <w:tab w:val="num" w:pos="926"/>
        </w:tabs>
        <w:ind w:left="926" w:hanging="360"/>
      </w:pPr>
    </w:lvl>
  </w:abstractNum>
  <w:abstractNum w:abstractNumId="2">
    <w:nsid w:val="FFFFFF7F"/>
    <w:multiLevelType w:val="singleLevel"/>
    <w:tmpl w:val="42A06A8A"/>
    <w:lvl w:ilvl="0">
      <w:start w:val="1"/>
      <w:numFmt w:val="decimal"/>
      <w:pStyle w:val="ListNumber2"/>
      <w:lvlText w:val="%1."/>
      <w:lvlJc w:val="left"/>
      <w:pPr>
        <w:tabs>
          <w:tab w:val="num" w:pos="643"/>
        </w:tabs>
        <w:ind w:left="643" w:hanging="360"/>
      </w:pPr>
    </w:lvl>
  </w:abstractNum>
  <w:abstractNum w:abstractNumId="3">
    <w:nsid w:val="FFFFFF81"/>
    <w:multiLevelType w:val="singleLevel"/>
    <w:tmpl w:val="2F36B926"/>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FFFFFF82"/>
    <w:multiLevelType w:val="singleLevel"/>
    <w:tmpl w:val="288CFC56"/>
    <w:lvl w:ilvl="0">
      <w:start w:val="1"/>
      <w:numFmt w:val="bullet"/>
      <w:pStyle w:val="ListBullet3"/>
      <w:lvlText w:val=""/>
      <w:lvlJc w:val="left"/>
      <w:pPr>
        <w:tabs>
          <w:tab w:val="num" w:pos="926"/>
        </w:tabs>
        <w:ind w:left="926" w:hanging="360"/>
      </w:pPr>
      <w:rPr>
        <w:rFonts w:ascii="Symbol" w:hAnsi="Symbol" w:hint="default"/>
      </w:rPr>
    </w:lvl>
  </w:abstractNum>
  <w:abstractNum w:abstractNumId="5">
    <w:nsid w:val="FFFFFF83"/>
    <w:multiLevelType w:val="singleLevel"/>
    <w:tmpl w:val="4F8CFFA0"/>
    <w:lvl w:ilvl="0">
      <w:start w:val="1"/>
      <w:numFmt w:val="bullet"/>
      <w:pStyle w:val="ListBullet2"/>
      <w:lvlText w:val=""/>
      <w:lvlJc w:val="left"/>
      <w:pPr>
        <w:tabs>
          <w:tab w:val="num" w:pos="643"/>
        </w:tabs>
        <w:ind w:left="643" w:hanging="360"/>
      </w:pPr>
      <w:rPr>
        <w:rFonts w:ascii="Symbol" w:hAnsi="Symbol" w:hint="default"/>
      </w:rPr>
    </w:lvl>
  </w:abstractNum>
  <w:abstractNum w:abstractNumId="6">
    <w:nsid w:val="FFFFFF88"/>
    <w:multiLevelType w:val="singleLevel"/>
    <w:tmpl w:val="31F6387E"/>
    <w:lvl w:ilvl="0">
      <w:start w:val="1"/>
      <w:numFmt w:val="decimal"/>
      <w:pStyle w:val="ListNumber"/>
      <w:lvlText w:val="%1."/>
      <w:lvlJc w:val="left"/>
      <w:pPr>
        <w:tabs>
          <w:tab w:val="num" w:pos="360"/>
        </w:tabs>
        <w:ind w:left="360" w:hanging="360"/>
      </w:pPr>
    </w:lvl>
  </w:abstractNum>
  <w:abstractNum w:abstractNumId="7">
    <w:nsid w:val="FFFFFF89"/>
    <w:multiLevelType w:val="singleLevel"/>
    <w:tmpl w:val="E0329818"/>
    <w:name w:val="0,4131542"/>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02DC5A10"/>
    <w:multiLevelType w:val="hybridMultilevel"/>
    <w:tmpl w:val="CB40EE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7A91BA6"/>
    <w:multiLevelType w:val="hybridMultilevel"/>
    <w:tmpl w:val="CAFE0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7CF4D7F"/>
    <w:multiLevelType w:val="hybridMultilevel"/>
    <w:tmpl w:val="20547F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D300D85"/>
    <w:multiLevelType w:val="hybridMultilevel"/>
    <w:tmpl w:val="B16C0F40"/>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D7F713B"/>
    <w:multiLevelType w:val="hybridMultilevel"/>
    <w:tmpl w:val="4CDCE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08323A3"/>
    <w:multiLevelType w:val="hybridMultilevel"/>
    <w:tmpl w:val="CBA86206"/>
    <w:lvl w:ilvl="0" w:tplc="08090011">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4">
    <w:nsid w:val="128F2C54"/>
    <w:multiLevelType w:val="multilevel"/>
    <w:tmpl w:val="ADECC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16062B06"/>
    <w:multiLevelType w:val="multilevel"/>
    <w:tmpl w:val="7592CA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1A741B3C"/>
    <w:multiLevelType w:val="hybridMultilevel"/>
    <w:tmpl w:val="91B68C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B3C78B8"/>
    <w:multiLevelType w:val="multilevel"/>
    <w:tmpl w:val="2ED4F4D0"/>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8">
    <w:nsid w:val="1C5D40E1"/>
    <w:multiLevelType w:val="hybridMultilevel"/>
    <w:tmpl w:val="722CA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D4922DC"/>
    <w:multiLevelType w:val="hybridMultilevel"/>
    <w:tmpl w:val="6048F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2320986"/>
    <w:multiLevelType w:val="hybridMultilevel"/>
    <w:tmpl w:val="373A0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26A412D5"/>
    <w:multiLevelType w:val="hybridMultilevel"/>
    <w:tmpl w:val="717AE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7132B5D"/>
    <w:multiLevelType w:val="hybridMultilevel"/>
    <w:tmpl w:val="6A6C25EA"/>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282419EC"/>
    <w:multiLevelType w:val="hybridMultilevel"/>
    <w:tmpl w:val="3234604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5">
    <w:nsid w:val="2A0967B8"/>
    <w:multiLevelType w:val="multilevel"/>
    <w:tmpl w:val="5178F132"/>
    <w:lvl w:ilvl="0">
      <w:start w:val="1"/>
      <w:numFmt w:val="decimal"/>
      <w:lvlText w:val="%1"/>
      <w:lvlJc w:val="left"/>
      <w:pPr>
        <w:ind w:left="432" w:hanging="432"/>
      </w:pPr>
      <w:rPr>
        <w:b/>
      </w:rPr>
    </w:lvl>
    <w:lvl w:ilvl="1">
      <w:start w:val="1"/>
      <w:numFmt w:val="decimal"/>
      <w:pStyle w:val="Heading2"/>
      <w:lvlText w:val="%2."/>
      <w:lvlJc w:val="left"/>
      <w:pPr>
        <w:ind w:left="860" w:hanging="576"/>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nsid w:val="2C656211"/>
    <w:multiLevelType w:val="hybridMultilevel"/>
    <w:tmpl w:val="AECAED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7">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28">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29">
    <w:nsid w:val="2F6E5929"/>
    <w:multiLevelType w:val="hybridMultilevel"/>
    <w:tmpl w:val="62B65536"/>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0">
    <w:nsid w:val="32327534"/>
    <w:multiLevelType w:val="hybridMultilevel"/>
    <w:tmpl w:val="4DE81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3545D84"/>
    <w:multiLevelType w:val="hybridMultilevel"/>
    <w:tmpl w:val="D304E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5344427"/>
    <w:multiLevelType w:val="hybridMultilevel"/>
    <w:tmpl w:val="C2108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84D2CF2"/>
    <w:multiLevelType w:val="multilevel"/>
    <w:tmpl w:val="0AACAD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3AC54519"/>
    <w:multiLevelType w:val="multilevel"/>
    <w:tmpl w:val="19FAFD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36">
    <w:nsid w:val="42F02C9E"/>
    <w:multiLevelType w:val="hybridMultilevel"/>
    <w:tmpl w:val="B82CE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38">
    <w:nsid w:val="44DA2072"/>
    <w:multiLevelType w:val="hybridMultilevel"/>
    <w:tmpl w:val="E39C9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40">
    <w:nsid w:val="51B54209"/>
    <w:multiLevelType w:val="hybridMultilevel"/>
    <w:tmpl w:val="145C6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52391591"/>
    <w:multiLevelType w:val="multilevel"/>
    <w:tmpl w:val="C8305900"/>
    <w:styleLink w:val="111111"/>
    <w:lvl w:ilvl="0">
      <w:start w:val="1"/>
      <w:numFmt w:val="decimal"/>
      <w:lvlText w:val="%1."/>
      <w:lvlJc w:val="left"/>
      <w:pPr>
        <w:tabs>
          <w:tab w:val="num" w:pos="360"/>
        </w:tabs>
        <w:ind w:left="360" w:hanging="360"/>
      </w:pPr>
    </w:lvl>
    <w:lvl w:ilvl="1">
      <w:start w:val="1"/>
      <w:numFmt w:val="decimal"/>
      <w:lvlText w:val="%1.%2."/>
      <w:lvlJc w:val="left"/>
      <w:pPr>
        <w:tabs>
          <w:tab w:val="num" w:pos="1260"/>
        </w:tabs>
        <w:ind w:left="97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42">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43">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44">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45">
    <w:nsid w:val="5C4B6584"/>
    <w:multiLevelType w:val="multilevel"/>
    <w:tmpl w:val="9B3CC870"/>
    <w:lvl w:ilvl="0">
      <w:start w:val="1"/>
      <w:numFmt w:val="decimal"/>
      <w:lvlText w:val="%1."/>
      <w:lvlJc w:val="left"/>
      <w:pPr>
        <w:tabs>
          <w:tab w:val="num" w:pos="720"/>
        </w:tabs>
        <w:ind w:left="720" w:hanging="360"/>
      </w:pPr>
      <w:rPr>
        <w:rFonts w:cs="Times New Roman"/>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47">
    <w:nsid w:val="64A12FA4"/>
    <w:multiLevelType w:val="multilevel"/>
    <w:tmpl w:val="E9B68C2E"/>
    <w:lvl w:ilvl="0">
      <w:start w:val="1"/>
      <w:numFmt w:val="decimal"/>
      <w:lvlText w:val="%1"/>
      <w:lvlJc w:val="left"/>
      <w:pPr>
        <w:ind w:left="432" w:hanging="432"/>
      </w:pPr>
      <w:rPr>
        <w:b/>
      </w:rPr>
    </w:lvl>
    <w:lvl w:ilvl="1">
      <w:start w:val="1"/>
      <w:numFmt w:val="decimal"/>
      <w:lvlText w:val="%1.%2"/>
      <w:lvlJc w:val="left"/>
      <w:pPr>
        <w:ind w:left="860" w:hanging="576"/>
      </w:pPr>
      <w:rPr>
        <w:color w:val="auto"/>
        <w:sz w:val="24"/>
        <w:szCs w:val="24"/>
      </w:rPr>
    </w:lvl>
    <w:lvl w:ilvl="2">
      <w:start w:val="1"/>
      <w:numFmt w:val="decimal"/>
      <w:pStyle w:val="Heading3"/>
      <w:lvlText w:val="%1.%2.%3"/>
      <w:lvlJc w:val="left"/>
      <w:pPr>
        <w:ind w:left="720" w:hanging="720"/>
      </w:pPr>
      <w:rPr>
        <w:color w:val="auto"/>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8">
    <w:nsid w:val="663977AF"/>
    <w:multiLevelType w:val="hybridMultilevel"/>
    <w:tmpl w:val="789A437E"/>
    <w:name w:val="0,8244091"/>
    <w:lvl w:ilvl="0" w:tplc="1F86C700">
      <w:start w:val="1"/>
      <w:numFmt w:val="bullet"/>
      <w:lvlRestart w:val="0"/>
      <w:pStyle w:val="ListDash"/>
      <w:lvlText w:val="–"/>
      <w:lvlJc w:val="left"/>
      <w:pPr>
        <w:tabs>
          <w:tab w:val="num" w:pos="283"/>
        </w:tabs>
        <w:ind w:left="283" w:hanging="283"/>
      </w:pPr>
      <w:rPr>
        <w:rFonts w:ascii="Times New Roman" w:hAnsi="Times New Roman"/>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nsid w:val="670D2527"/>
    <w:multiLevelType w:val="hybridMultilevel"/>
    <w:tmpl w:val="B1349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51">
    <w:nsid w:val="6AB15973"/>
    <w:multiLevelType w:val="multilevel"/>
    <w:tmpl w:val="0AF6C76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6F3E6E66"/>
    <w:multiLevelType w:val="hybridMultilevel"/>
    <w:tmpl w:val="1BCA7430"/>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53">
    <w:nsid w:val="7C27490B"/>
    <w:multiLevelType w:val="hybridMultilevel"/>
    <w:tmpl w:val="C00AF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num w:numId="1">
    <w:abstractNumId w:val="47"/>
  </w:num>
  <w:num w:numId="2">
    <w:abstractNumId w:val="46"/>
  </w:num>
  <w:num w:numId="3">
    <w:abstractNumId w:val="35"/>
  </w:num>
  <w:num w:numId="4">
    <w:abstractNumId w:val="50"/>
  </w:num>
  <w:num w:numId="5">
    <w:abstractNumId w:val="28"/>
  </w:num>
  <w:num w:numId="6">
    <w:abstractNumId w:val="37"/>
  </w:num>
  <w:num w:numId="7">
    <w:abstractNumId w:val="21"/>
  </w:num>
  <w:num w:numId="8">
    <w:abstractNumId w:val="39"/>
  </w:num>
  <w:num w:numId="9">
    <w:abstractNumId w:val="43"/>
  </w:num>
  <w:num w:numId="10">
    <w:abstractNumId w:val="44"/>
  </w:num>
  <w:num w:numId="11">
    <w:abstractNumId w:val="27"/>
  </w:num>
  <w:num w:numId="12">
    <w:abstractNumId w:val="42"/>
  </w:num>
  <w:num w:numId="13">
    <w:abstractNumId w:val="54"/>
  </w:num>
  <w:num w:numId="14">
    <w:abstractNumId w:val="7"/>
  </w:num>
  <w:num w:numId="15">
    <w:abstractNumId w:val="5"/>
  </w:num>
  <w:num w:numId="16">
    <w:abstractNumId w:val="4"/>
  </w:num>
  <w:num w:numId="17">
    <w:abstractNumId w:val="3"/>
  </w:num>
  <w:num w:numId="18">
    <w:abstractNumId w:val="48"/>
  </w:num>
  <w:num w:numId="19">
    <w:abstractNumId w:val="41"/>
  </w:num>
  <w:num w:numId="20">
    <w:abstractNumId w:val="17"/>
  </w:num>
  <w:num w:numId="21">
    <w:abstractNumId w:val="6"/>
  </w:num>
  <w:num w:numId="22">
    <w:abstractNumId w:val="2"/>
  </w:num>
  <w:num w:numId="23">
    <w:abstractNumId w:val="1"/>
  </w:num>
  <w:num w:numId="24">
    <w:abstractNumId w:val="0"/>
  </w:num>
  <w:num w:numId="25">
    <w:abstractNumId w:val="51"/>
  </w:num>
  <w:num w:numId="26">
    <w:abstractNumId w:val="20"/>
  </w:num>
  <w:num w:numId="27">
    <w:abstractNumId w:val="9"/>
  </w:num>
  <w:num w:numId="28">
    <w:abstractNumId w:val="52"/>
  </w:num>
  <w:num w:numId="29">
    <w:abstractNumId w:val="23"/>
  </w:num>
  <w:num w:numId="30">
    <w:abstractNumId w:val="30"/>
  </w:num>
  <w:num w:numId="31">
    <w:abstractNumId w:val="24"/>
  </w:num>
  <w:num w:numId="32">
    <w:abstractNumId w:val="8"/>
  </w:num>
  <w:num w:numId="33">
    <w:abstractNumId w:val="29"/>
  </w:num>
  <w:num w:numId="34">
    <w:abstractNumId w:val="16"/>
  </w:num>
  <w:num w:numId="35">
    <w:abstractNumId w:val="25"/>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num>
  <w:num w:numId="39">
    <w:abstractNumId w:val="10"/>
  </w:num>
  <w:num w:numId="40">
    <w:abstractNumId w:val="11"/>
  </w:num>
  <w:num w:numId="41">
    <w:abstractNumId w:val="33"/>
  </w:num>
  <w:num w:numId="42">
    <w:abstractNumId w:val="15"/>
  </w:num>
  <w:num w:numId="43">
    <w:abstractNumId w:val="25"/>
  </w:num>
  <w:num w:numId="44">
    <w:abstractNumId w:val="25"/>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4"/>
  </w:num>
  <w:num w:numId="47">
    <w:abstractNumId w:val="26"/>
  </w:num>
  <w:num w:numId="48">
    <w:abstractNumId w:val="14"/>
  </w:num>
  <w:num w:numId="49">
    <w:abstractNumId w:val="45"/>
    <w:lvlOverride w:ilvl="0">
      <w:startOverride w:val="1"/>
    </w:lvlOverride>
    <w:lvlOverride w:ilvl="1"/>
    <w:lvlOverride w:ilvl="2"/>
    <w:lvlOverride w:ilvl="3"/>
    <w:lvlOverride w:ilvl="4"/>
    <w:lvlOverride w:ilvl="5"/>
    <w:lvlOverride w:ilvl="6"/>
    <w:lvlOverride w:ilvl="7"/>
    <w:lvlOverride w:ilvl="8"/>
  </w:num>
  <w:num w:numId="50">
    <w:abstractNumId w:val="13"/>
  </w:num>
  <w:num w:numId="51">
    <w:abstractNumId w:val="38"/>
  </w:num>
  <w:num w:numId="52">
    <w:abstractNumId w:val="18"/>
  </w:num>
  <w:num w:numId="53">
    <w:abstractNumId w:val="49"/>
  </w:num>
  <w:num w:numId="54">
    <w:abstractNumId w:val="31"/>
  </w:num>
  <w:num w:numId="55">
    <w:abstractNumId w:val="40"/>
  </w:num>
  <w:num w:numId="56">
    <w:abstractNumId w:val="36"/>
  </w:num>
  <w:num w:numId="57">
    <w:abstractNumId w:val="53"/>
  </w:num>
  <w:num w:numId="58">
    <w:abstractNumId w:val="32"/>
  </w:num>
  <w:num w:numId="59">
    <w:abstractNumId w:val="12"/>
  </w:num>
  <w:num w:numId="60">
    <w:abstractNumId w:val="2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36"/>
  <w:removePersonalInformation/>
  <w:removeDateAndTime/>
  <w:hideSpellingErrors/>
  <w:hideGrammaticalErrors/>
  <w:revisionView w:markup="0"/>
  <w:defaultTabStop w:val="720"/>
  <w:hyphenationZone w:val="425"/>
  <w:drawingGridHorizontalSpacing w:val="110"/>
  <w:displayHorizontalDrawingGridEvery w:val="2"/>
  <w:characterSpacingControl w:val="doNotCompress"/>
  <w:hdrShapeDefaults>
    <o:shapedefaults v:ext="edit" spidmax="1638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D8968A79-4F85-44C5-B95B-04C877588F66"/>
    <w:docVar w:name="LW_COVERPAGE_TYPE" w:val="1"/>
    <w:docVar w:name="LW_CROSSREFERENCE" w:val="{SWD(2019) 316 final}"/>
    <w:docVar w:name="LW_DocType" w:val="NORMAL"/>
    <w:docVar w:name="LW_EMISSION" w:val="5.8.2019"/>
    <w:docVar w:name="LW_EMISSION_ISODATE" w:val="2019-08-05"/>
    <w:docVar w:name="LW_EMISSION_LOCATION" w:val="BRX"/>
    <w:docVar w:name="LW_EMISSION_PREFIX" w:val="Βρυξέλλες, "/>
    <w:docVar w:name="LW_EMISSION_SUFFIX" w:val=" "/>
    <w:docVar w:name="LW_ID_DOCTYPE_NONLW" w:val="CP-006"/>
    <w:docVar w:name="LW_INTERETEEE.CP" w:val="&lt;UNUSED&gt;"/>
    <w:docVar w:name="LW_LANGUE" w:val="EL"/>
    <w:docVar w:name="LW_LEVEL_OF_SENSITIVITY" w:val="Standard treatment"/>
    <w:docVar w:name="LW_NOM.INST" w:val="\u917?\u933?\u929?\u937?\u928?\u913?\u938?\u922?\u919? \u917?\u928?\u921?\u932?\u929?\u927?\u928?\u919?"/>
    <w:docVar w:name="LW_NOM.INST_JOINTDOC" w:val="&lt;EMPTY&gt;"/>
    <w:docVar w:name="LW_PART_NBR" w:val="1"/>
    <w:docVar w:name="LW_PART_NBR_TOTAL" w:val="1"/>
    <w:docVar w:name="LW_REF.II.NEW.CP" w:val="&lt;UNUSED&gt;"/>
    <w:docVar w:name="LW_REF.II.NEW.CP_NUMBER" w:val="&lt;UNUSED&gt;"/>
    <w:docVar w:name="LW_REF.II.NEW.CP_YEAR" w:val="2019"/>
    <w:docVar w:name="LW_REF.INST.NEW" w:val="COM"/>
    <w:docVar w:name="LW_REF.INST.NEW_ADOPTED" w:val="final"/>
    <w:docVar w:name="LW_REF.INST.NEW_TEXT" w:val="(2019) 36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OUS.TITRE.OBJ.CP" w:val="&lt;UNUSED&gt;"/>
    <w:docVar w:name="LW_SUPERTITRE" w:val="&lt;UNUSED&gt;"/>
    <w:docVar w:name="LW_TITRE.OBJ.CP" w:val="\u917?\u966?\u945?\u961?\u956?\u959?\u947?\u942? \u964?\u959?\u965? \u964?\u961?\u943?\u964?\u959?\u965? \u960?\u961?\u959?\u947?\u961?\u940?\u956?\u956?\u945?\u964?\u959?\u962? \u947?\u953?\u945? \u964?\u951? \u948?\u961?\u940?\u963?\u951? \u964?\u951?\u962? \u904?\u957?\u969?\u963?\u951?\u962? \u963?\u964?\u959?\u957? \u964?\u959?\u956?\u941?\u945? \u964?\u951?\u962? \u965?\u947?\u949?\u943?\u945?\u962? \u964?\u959? 2016"/>
    <w:docVar w:name="LW_TYPE.DOC.CP" w:val="\u917?\u922?\u920?\u917?\u931?\u919? \u932?\u919?\u931? \u917?\u928?\u921?\u932?\u929?\u927?\u928?\u919?\u931? \u928?\u929?\u927?\u931? \u932?\u927? \u917?\u933?\u929?\u937?\u928?\u913?\u938?\u922?\u927? \u922?\u927?\u921?\u925?\u927?\u914?\u927?\u933?\u923?\u921?\u927? \u922?\u913?\u921? \u932?\u927? \u931?\u933?\u924?\u914?\u927?\u933?\u923?\u921?\u927?"/>
    <w:docVar w:name="Stamp" w:val="\\dossiers.dgt.cec.eu.int\dossiers\SANTE\SANTE-2019-11198\SANTE-2019-11198-00-00-EN-EDT-00.201906021826478571790.DOCX"/>
  </w:docVar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l-GR" w:bidi="el-G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table of figures" w:uiPriority="0"/>
    <w:lsdException w:name="footnote reference" w:uiPriority="0"/>
    <w:lsdException w:name="page number" w:uiPriority="0"/>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rPr>
  </w:style>
  <w:style w:type="paragraph" w:styleId="Heading1">
    <w:name w:val="heading 1"/>
    <w:basedOn w:val="Normal"/>
    <w:next w:val="Normal"/>
    <w:link w:val="Heading1Char"/>
    <w:qFormat/>
    <w:pPr>
      <w:keepNext/>
      <w:spacing w:before="360" w:after="120" w:line="240" w:lineRule="auto"/>
      <w:jc w:val="both"/>
      <w:outlineLvl w:val="0"/>
    </w:pPr>
    <w:rPr>
      <w:rFonts w:eastAsia="Times New Roman" w:cs="Times New Roman"/>
      <w:b/>
      <w:bCs/>
      <w:kern w:val="32"/>
      <w:sz w:val="32"/>
      <w:szCs w:val="32"/>
    </w:rPr>
  </w:style>
  <w:style w:type="paragraph" w:styleId="Heading2">
    <w:name w:val="heading 2"/>
    <w:basedOn w:val="Normal"/>
    <w:next w:val="Normal"/>
    <w:link w:val="Heading2Char"/>
    <w:qFormat/>
    <w:pPr>
      <w:keepNext/>
      <w:numPr>
        <w:ilvl w:val="1"/>
        <w:numId w:val="35"/>
      </w:numPr>
      <w:spacing w:after="240" w:line="240" w:lineRule="auto"/>
      <w:jc w:val="both"/>
      <w:outlineLvl w:val="1"/>
    </w:pPr>
    <w:rPr>
      <w:rFonts w:eastAsia="Times New Roman" w:cs="Times New Roman"/>
      <w:b/>
      <w:bCs/>
      <w:i/>
      <w:iCs/>
      <w:sz w:val="28"/>
      <w:szCs w:val="28"/>
    </w:rPr>
  </w:style>
  <w:style w:type="paragraph" w:styleId="Heading3">
    <w:name w:val="heading 3"/>
    <w:basedOn w:val="Normal"/>
    <w:next w:val="Normal"/>
    <w:link w:val="Heading3Char"/>
    <w:qFormat/>
    <w:pPr>
      <w:keepNext/>
      <w:numPr>
        <w:ilvl w:val="2"/>
        <w:numId w:val="1"/>
      </w:numPr>
      <w:spacing w:before="120" w:after="120" w:line="240" w:lineRule="auto"/>
      <w:jc w:val="both"/>
      <w:outlineLvl w:val="2"/>
    </w:pPr>
    <w:rPr>
      <w:rFonts w:eastAsia="Times New Roman" w:cs="Times New Roman"/>
      <w:bCs/>
      <w:i/>
      <w:sz w:val="24"/>
      <w:szCs w:val="26"/>
    </w:rPr>
  </w:style>
  <w:style w:type="paragraph" w:styleId="Heading4">
    <w:name w:val="heading 4"/>
    <w:basedOn w:val="Normal"/>
    <w:next w:val="Normal"/>
    <w:link w:val="Heading4Char"/>
    <w:qFormat/>
    <w:pPr>
      <w:keepNext/>
      <w:numPr>
        <w:ilvl w:val="3"/>
        <w:numId w:val="1"/>
      </w:numPr>
      <w:spacing w:before="120" w:after="120" w:line="240" w:lineRule="auto"/>
      <w:jc w:val="both"/>
      <w:outlineLvl w:val="3"/>
    </w:pPr>
    <w:rPr>
      <w:rFonts w:eastAsia="Times New Roman" w:cs="Times New Roman"/>
      <w:bCs/>
      <w:sz w:val="24"/>
      <w:szCs w:val="28"/>
    </w:rPr>
  </w:style>
  <w:style w:type="paragraph" w:styleId="Heading5">
    <w:name w:val="heading 5"/>
    <w:basedOn w:val="Normal"/>
    <w:next w:val="Normal"/>
    <w:link w:val="Heading5Char"/>
    <w:uiPriority w:val="9"/>
    <w:semiHidden/>
    <w:unhideWhenUsed/>
    <w:qFormat/>
    <w:pPr>
      <w:numPr>
        <w:ilvl w:val="4"/>
        <w:numId w:val="1"/>
      </w:numPr>
      <w:spacing w:before="240" w:after="6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semiHidden/>
    <w:unhideWhenUsed/>
    <w:qFormat/>
    <w:pPr>
      <w:numPr>
        <w:ilvl w:val="5"/>
        <w:numId w:val="1"/>
      </w:numPr>
      <w:spacing w:before="240" w:after="60"/>
      <w:outlineLvl w:val="5"/>
    </w:pPr>
    <w:rPr>
      <w:rFonts w:ascii="Calibri" w:eastAsia="Times New Roman" w:hAnsi="Calibri" w:cs="Times New Roman"/>
      <w:b/>
      <w:bCs/>
    </w:rPr>
  </w:style>
  <w:style w:type="paragraph" w:styleId="Heading7">
    <w:name w:val="heading 7"/>
    <w:basedOn w:val="Normal"/>
    <w:next w:val="Normal"/>
    <w:link w:val="Heading7Char"/>
    <w:uiPriority w:val="9"/>
    <w:semiHidden/>
    <w:unhideWhenUsed/>
    <w:qFormat/>
    <w:pPr>
      <w:numPr>
        <w:ilvl w:val="6"/>
        <w:numId w:val="1"/>
      </w:numPr>
      <w:spacing w:before="240" w:after="60"/>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pPr>
      <w:numPr>
        <w:ilvl w:val="7"/>
        <w:numId w:val="1"/>
      </w:numPr>
      <w:spacing w:before="240" w:after="60"/>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semiHidden/>
    <w:unhideWhenUsed/>
    <w:qFormat/>
    <w:pPr>
      <w:numPr>
        <w:ilvl w:val="8"/>
        <w:numId w:val="1"/>
      </w:numPr>
      <w:spacing w:before="240" w:after="60"/>
      <w:outlineLvl w:val="8"/>
    </w:pPr>
    <w:rPr>
      <w:rFonts w:ascii="Cambria" w:eastAsia="Times New Roman" w:hAnsi="Cambria"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sz w:val="24"/>
    </w:rPr>
  </w:style>
  <w:style w:type="character" w:customStyle="1" w:styleId="FooterCoverPageChar">
    <w:name w:val="Footer Cover Page Char"/>
    <w:basedOn w:val="DefaultParagraphFont"/>
    <w:link w:val="FooterCoverPage"/>
    <w:rPr>
      <w:rFonts w:ascii="Times New Roman" w:hAnsi="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sz w:val="24"/>
    </w:rPr>
  </w:style>
  <w:style w:type="character" w:customStyle="1" w:styleId="HeaderCoverPageChar">
    <w:name w:val="Header Cover Page Char"/>
    <w:basedOn w:val="DefaultParagraphFont"/>
    <w:link w:val="HeaderCoverPage"/>
    <w:rPr>
      <w:rFonts w:ascii="Times New Roman" w:hAnsi="Times New Roman"/>
      <w:sz w:val="24"/>
    </w:rPr>
  </w:style>
  <w:style w:type="character" w:customStyle="1" w:styleId="Heading1Char">
    <w:name w:val="Heading 1 Char"/>
    <w:basedOn w:val="DefaultParagraphFont"/>
    <w:link w:val="Heading1"/>
    <w:rPr>
      <w:rFonts w:ascii="Times New Roman" w:eastAsia="Times New Roman" w:hAnsi="Times New Roman" w:cs="Times New Roman"/>
      <w:b/>
      <w:bCs/>
      <w:kern w:val="32"/>
      <w:sz w:val="32"/>
      <w:szCs w:val="32"/>
    </w:rPr>
  </w:style>
  <w:style w:type="character" w:customStyle="1" w:styleId="Heading2Char">
    <w:name w:val="Heading 2 Char"/>
    <w:basedOn w:val="DefaultParagraphFont"/>
    <w:link w:val="Heading2"/>
    <w:rPr>
      <w:rFonts w:ascii="Times New Roman" w:eastAsia="Times New Roman" w:hAnsi="Times New Roman" w:cs="Times New Roman"/>
      <w:b/>
      <w:bCs/>
      <w:i/>
      <w:iCs/>
      <w:sz w:val="28"/>
      <w:szCs w:val="28"/>
    </w:rPr>
  </w:style>
  <w:style w:type="character" w:customStyle="1" w:styleId="Heading3Char">
    <w:name w:val="Heading 3 Char"/>
    <w:basedOn w:val="DefaultParagraphFont"/>
    <w:link w:val="Heading3"/>
    <w:rPr>
      <w:rFonts w:ascii="Times New Roman" w:eastAsia="Times New Roman" w:hAnsi="Times New Roman" w:cs="Times New Roman"/>
      <w:bCs/>
      <w:i/>
      <w:sz w:val="24"/>
      <w:szCs w:val="26"/>
    </w:rPr>
  </w:style>
  <w:style w:type="character" w:customStyle="1" w:styleId="Heading4Char">
    <w:name w:val="Heading 4 Char"/>
    <w:basedOn w:val="DefaultParagraphFont"/>
    <w:link w:val="Heading4"/>
    <w:rPr>
      <w:rFonts w:ascii="Times New Roman" w:eastAsia="Times New Roman" w:hAnsi="Times New Roman" w:cs="Times New Roman"/>
      <w:bCs/>
      <w:sz w:val="24"/>
      <w:szCs w:val="28"/>
    </w:rPr>
  </w:style>
  <w:style w:type="character" w:customStyle="1" w:styleId="Heading5Char">
    <w:name w:val="Heading 5 Char"/>
    <w:basedOn w:val="DefaultParagraphFont"/>
    <w:link w:val="Heading5"/>
    <w:uiPriority w:val="9"/>
    <w:semiHidden/>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Pr>
      <w:rFonts w:ascii="Calibri" w:eastAsia="Times New Roman" w:hAnsi="Calibri" w:cs="Times New Roman"/>
      <w:b/>
      <w:bCs/>
    </w:rPr>
  </w:style>
  <w:style w:type="character" w:customStyle="1" w:styleId="Heading7Char">
    <w:name w:val="Heading 7 Char"/>
    <w:basedOn w:val="DefaultParagraphFont"/>
    <w:link w:val="Heading7"/>
    <w:uiPriority w:val="9"/>
    <w:semiHidden/>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Pr>
      <w:rFonts w:ascii="Cambria" w:eastAsia="Times New Roman" w:hAnsi="Cambria" w:cs="Times New Roman"/>
    </w:rPr>
  </w:style>
  <w:style w:type="paragraph" w:styleId="TOC1">
    <w:name w:val="toc 1"/>
    <w:basedOn w:val="Normal"/>
    <w:next w:val="Normal"/>
    <w:autoRedefine/>
    <w:uiPriority w:val="39"/>
    <w:unhideWhenUsed/>
    <w:pPr>
      <w:tabs>
        <w:tab w:val="left" w:pos="440"/>
        <w:tab w:val="right" w:leader="dot" w:pos="9063"/>
      </w:tabs>
    </w:pPr>
    <w:rPr>
      <w:rFonts w:eastAsia="Calibri" w:cs="Times New Roman"/>
      <w:noProof/>
      <w:sz w:val="24"/>
      <w:szCs w:val="24"/>
    </w:rPr>
  </w:style>
  <w:style w:type="paragraph" w:styleId="TOC3">
    <w:name w:val="toc 3"/>
    <w:basedOn w:val="Normal"/>
    <w:next w:val="Normal"/>
    <w:autoRedefine/>
    <w:uiPriority w:val="39"/>
    <w:unhideWhenUsed/>
    <w:pPr>
      <w:ind w:left="440"/>
    </w:pPr>
    <w:rPr>
      <w:rFonts w:ascii="Calibri" w:eastAsia="Calibri" w:hAnsi="Calibri" w:cs="Times New Roman"/>
    </w:rPr>
  </w:style>
  <w:style w:type="paragraph" w:styleId="TOC2">
    <w:name w:val="toc 2"/>
    <w:basedOn w:val="Normal"/>
    <w:next w:val="Normal"/>
    <w:autoRedefine/>
    <w:uiPriority w:val="39"/>
    <w:unhideWhenUsed/>
    <w:pPr>
      <w:tabs>
        <w:tab w:val="left" w:pos="880"/>
        <w:tab w:val="right" w:leader="dot" w:pos="9063"/>
      </w:tabs>
      <w:spacing w:after="100"/>
      <w:ind w:left="142"/>
    </w:pPr>
    <w:rPr>
      <w:rFonts w:eastAsia="Arial Unicode MS" w:cs="Times New Roman"/>
      <w:noProof/>
      <w:sz w:val="24"/>
      <w:szCs w:val="24"/>
    </w:rPr>
  </w:style>
  <w:style w:type="paragraph" w:styleId="TOC4">
    <w:name w:val="toc 4"/>
    <w:basedOn w:val="Normal"/>
    <w:next w:val="Normal"/>
    <w:autoRedefine/>
    <w:uiPriority w:val="39"/>
    <w:unhideWhenUsed/>
    <w:pPr>
      <w:spacing w:after="100"/>
      <w:ind w:left="660"/>
    </w:pPr>
    <w:rPr>
      <w:rFonts w:ascii="Calibri" w:eastAsia="Times New Roman" w:hAnsi="Calibri" w:cs="Times New Roman"/>
    </w:rPr>
  </w:style>
  <w:style w:type="paragraph" w:styleId="TOC5">
    <w:name w:val="toc 5"/>
    <w:basedOn w:val="Normal"/>
    <w:next w:val="Normal"/>
    <w:autoRedefine/>
    <w:uiPriority w:val="39"/>
    <w:unhideWhenUsed/>
    <w:pPr>
      <w:spacing w:after="100"/>
      <w:ind w:left="880"/>
    </w:pPr>
    <w:rPr>
      <w:rFonts w:ascii="Calibri" w:eastAsia="Times New Roman" w:hAnsi="Calibri" w:cs="Times New Roman"/>
    </w:rPr>
  </w:style>
  <w:style w:type="paragraph" w:styleId="TOC6">
    <w:name w:val="toc 6"/>
    <w:basedOn w:val="Normal"/>
    <w:next w:val="Normal"/>
    <w:autoRedefine/>
    <w:uiPriority w:val="39"/>
    <w:unhideWhenUsed/>
    <w:pPr>
      <w:spacing w:after="100"/>
      <w:ind w:left="1100"/>
    </w:pPr>
    <w:rPr>
      <w:rFonts w:ascii="Calibri" w:eastAsia="Times New Roman" w:hAnsi="Calibri" w:cs="Times New Roman"/>
    </w:rPr>
  </w:style>
  <w:style w:type="paragraph" w:styleId="TOC7">
    <w:name w:val="toc 7"/>
    <w:basedOn w:val="Normal"/>
    <w:next w:val="Normal"/>
    <w:autoRedefine/>
    <w:uiPriority w:val="39"/>
    <w:unhideWhenUsed/>
    <w:pPr>
      <w:spacing w:after="100"/>
      <w:ind w:left="1320"/>
    </w:pPr>
    <w:rPr>
      <w:rFonts w:ascii="Calibri" w:eastAsia="Times New Roman" w:hAnsi="Calibri" w:cs="Times New Roman"/>
    </w:rPr>
  </w:style>
  <w:style w:type="paragraph" w:styleId="TOC8">
    <w:name w:val="toc 8"/>
    <w:basedOn w:val="Normal"/>
    <w:next w:val="Normal"/>
    <w:autoRedefine/>
    <w:uiPriority w:val="39"/>
    <w:unhideWhenUsed/>
    <w:pPr>
      <w:spacing w:after="100"/>
      <w:ind w:left="1540"/>
    </w:pPr>
    <w:rPr>
      <w:rFonts w:ascii="Calibri" w:eastAsia="Times New Roman" w:hAnsi="Calibri" w:cs="Times New Roman"/>
    </w:rPr>
  </w:style>
  <w:style w:type="paragraph" w:styleId="TOC9">
    <w:name w:val="toc 9"/>
    <w:basedOn w:val="Normal"/>
    <w:next w:val="Normal"/>
    <w:autoRedefine/>
    <w:uiPriority w:val="39"/>
    <w:unhideWhenUsed/>
    <w:pPr>
      <w:spacing w:after="100"/>
      <w:ind w:left="1760"/>
    </w:pPr>
    <w:rPr>
      <w:rFonts w:ascii="Calibri" w:eastAsia="Times New Roman" w:hAnsi="Calibri" w:cs="Times New Roman"/>
    </w:rPr>
  </w:style>
  <w:style w:type="character" w:styleId="Hyperlink">
    <w:name w:val="Hyperlink"/>
    <w:uiPriority w:val="99"/>
    <w:unhideWhenUsed/>
    <w:rPr>
      <w:color w:val="0000FF"/>
      <w:u w:val="single"/>
    </w:rPr>
  </w:style>
  <w:style w:type="paragraph" w:styleId="PlainText">
    <w:name w:val="Plain Text"/>
    <w:basedOn w:val="Normal"/>
    <w:link w:val="PlainTextChar"/>
    <w:pPr>
      <w:spacing w:after="24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rPr>
      <w:rFonts w:ascii="Courier New" w:eastAsia="Times New Roman" w:hAnsi="Courier New" w:cs="Times New Roman"/>
      <w:sz w:val="20"/>
      <w:szCs w:val="20"/>
    </w:rPr>
  </w:style>
  <w:style w:type="character" w:styleId="FollowedHyperlink">
    <w:name w:val="FollowedHyperlink"/>
    <w:unhideWhenUsed/>
    <w:rPr>
      <w:color w:val="800080"/>
      <w:u w:val="single"/>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nhideWhenUsed/>
    <w:rPr>
      <w:rFonts w:ascii="Calibri" w:eastAsia="Calibri" w:hAnsi="Calibri" w:cs="Times New Roman"/>
      <w:sz w:val="20"/>
      <w:szCs w:val="20"/>
    </w:rPr>
  </w:style>
  <w:style w:type="character" w:customStyle="1" w:styleId="CommentTextChar">
    <w:name w:val="Comment Text Char"/>
    <w:basedOn w:val="DefaultParagraphFont"/>
    <w:link w:val="CommentText"/>
    <w:rPr>
      <w:rFonts w:ascii="Calibri" w:eastAsia="Calibri" w:hAnsi="Calibri" w:cs="Times New Roman"/>
      <w:sz w:val="20"/>
      <w:szCs w:val="20"/>
    </w:rPr>
  </w:style>
  <w:style w:type="paragraph" w:styleId="CommentSubject">
    <w:name w:val="annotation subject"/>
    <w:basedOn w:val="CommentText"/>
    <w:next w:val="CommentText"/>
    <w:link w:val="CommentSubjectChar"/>
    <w:unhideWhenUsed/>
    <w:rPr>
      <w:b/>
      <w:bCs/>
    </w:rPr>
  </w:style>
  <w:style w:type="character" w:customStyle="1" w:styleId="CommentSubjectChar">
    <w:name w:val="Comment Subject Char"/>
    <w:basedOn w:val="CommentTextChar"/>
    <w:link w:val="CommentSubject"/>
    <w:rPr>
      <w:rFonts w:ascii="Calibri" w:eastAsia="Calibri" w:hAnsi="Calibri" w:cs="Times New Roman"/>
      <w:b/>
      <w:bCs/>
      <w:sz w:val="20"/>
      <w:szCs w:val="20"/>
    </w:rPr>
  </w:style>
  <w:style w:type="paragraph" w:styleId="BalloonText">
    <w:name w:val="Balloon Text"/>
    <w:basedOn w:val="Normal"/>
    <w:link w:val="BalloonTextChar"/>
    <w:uiPriority w:val="99"/>
    <w:unhideWhenUsed/>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rPr>
      <w:rFonts w:ascii="Tahoma" w:eastAsia="Calibri" w:hAnsi="Tahoma" w:cs="Tahoma"/>
      <w:sz w:val="16"/>
      <w:szCs w:val="16"/>
    </w:rPr>
  </w:style>
  <w:style w:type="paragraph" w:styleId="FootnoteText">
    <w:name w:val="footnote text"/>
    <w:basedOn w:val="Normal"/>
    <w:semiHidden/>
    <w:unhideWhenUsed/>
    <w:rPr>
      <w:rFonts w:ascii="Calibri" w:eastAsia="Calibri" w:hAnsi="Calibri" w:cs="Times New Roman"/>
      <w:sz w:val="20"/>
      <w:szCs w:val="20"/>
    </w:rPr>
  </w:style>
  <w:style w:type="character" w:customStyle="1" w:styleId="FootnoteTextChar">
    <w:name w:val="Footnote Text Char"/>
    <w:basedOn w:val="DefaultParagraphFont"/>
    <w:semiHidden/>
    <w:rPr>
      <w:rFonts w:ascii="Calibri" w:eastAsia="Calibri" w:hAnsi="Calibri" w:cs="Times New Roman"/>
      <w:sz w:val="20"/>
      <w:szCs w:val="20"/>
    </w:rPr>
  </w:style>
  <w:style w:type="character" w:styleId="FootnoteReference">
    <w:name w:val="footnote reference"/>
    <w:aliases w:val="Footnote symbol,Footnote,Voetnootverwijzing,Times 10 Point,Exposant 3 Point,Appel note de bas de p,BVI fnr,Footnote Refernece,Fußnotenzeichen_Raxen,callout,Footnote Reference Number,SUPERS,Footnote reference number,note TESI,fr,o"/>
    <w:unhideWhenUsed/>
    <w:rPr>
      <w:vertAlign w:val="superscript"/>
    </w:rPr>
  </w:style>
  <w:style w:type="paragraph" w:customStyle="1" w:styleId="HeaderLandscape">
    <w:name w:val="HeaderLandscape"/>
    <w:basedOn w:val="Normal"/>
    <w:pPr>
      <w:tabs>
        <w:tab w:val="center" w:pos="7285"/>
        <w:tab w:val="right" w:pos="14003"/>
      </w:tabs>
      <w:spacing w:after="120" w:line="240" w:lineRule="auto"/>
      <w:jc w:val="both"/>
    </w:pPr>
    <w:rPr>
      <w:rFonts w:cs="Times New Roman"/>
      <w:sz w:val="24"/>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cs="Times New Roman"/>
      <w:sz w:val="24"/>
    </w:rPr>
  </w:style>
  <w:style w:type="paragraph" w:customStyle="1" w:styleId="Text1">
    <w:name w:val="Text 1"/>
    <w:basedOn w:val="Normal"/>
    <w:pPr>
      <w:spacing w:before="120" w:after="120" w:line="240" w:lineRule="auto"/>
      <w:ind w:left="850"/>
      <w:jc w:val="both"/>
    </w:pPr>
    <w:rPr>
      <w:rFonts w:eastAsia="Times New Roman" w:cs="Times New Roman"/>
      <w:sz w:val="24"/>
      <w:szCs w:val="24"/>
    </w:rPr>
  </w:style>
  <w:style w:type="paragraph" w:customStyle="1" w:styleId="Text2">
    <w:name w:val="Text 2"/>
    <w:basedOn w:val="Normal"/>
    <w:pPr>
      <w:spacing w:before="120" w:after="120" w:line="240" w:lineRule="auto"/>
      <w:ind w:left="1417"/>
      <w:jc w:val="both"/>
    </w:pPr>
    <w:rPr>
      <w:rFonts w:eastAsia="Times New Roman" w:cs="Times New Roman"/>
      <w:sz w:val="24"/>
      <w:szCs w:val="24"/>
    </w:rPr>
  </w:style>
  <w:style w:type="paragraph" w:customStyle="1" w:styleId="Text3">
    <w:name w:val="Text 3"/>
    <w:basedOn w:val="Normal"/>
    <w:pPr>
      <w:spacing w:before="120" w:after="120" w:line="240" w:lineRule="auto"/>
      <w:ind w:left="1984"/>
      <w:jc w:val="both"/>
    </w:pPr>
    <w:rPr>
      <w:rFonts w:eastAsia="Times New Roman" w:cs="Times New Roman"/>
      <w:sz w:val="24"/>
      <w:szCs w:val="24"/>
    </w:rPr>
  </w:style>
  <w:style w:type="paragraph" w:customStyle="1" w:styleId="Text4">
    <w:name w:val="Text 4"/>
    <w:basedOn w:val="Normal"/>
    <w:pPr>
      <w:spacing w:before="120" w:after="120" w:line="240" w:lineRule="auto"/>
      <w:ind w:left="2551"/>
      <w:jc w:val="both"/>
    </w:pPr>
    <w:rPr>
      <w:rFonts w:eastAsia="Times New Roman" w:cs="Times New Roman"/>
      <w:sz w:val="24"/>
      <w:szCs w:val="24"/>
    </w:rPr>
  </w:style>
  <w:style w:type="paragraph" w:customStyle="1" w:styleId="NormalCentered">
    <w:name w:val="Normal Centered"/>
    <w:basedOn w:val="Normal"/>
    <w:pPr>
      <w:spacing w:before="120" w:after="120" w:line="240" w:lineRule="auto"/>
      <w:jc w:val="center"/>
    </w:pPr>
    <w:rPr>
      <w:rFonts w:eastAsia="Times New Roman" w:cs="Times New Roman"/>
      <w:sz w:val="24"/>
      <w:szCs w:val="24"/>
    </w:rPr>
  </w:style>
  <w:style w:type="paragraph" w:customStyle="1" w:styleId="NormalLeft">
    <w:name w:val="Normal Left"/>
    <w:basedOn w:val="Normal"/>
    <w:pPr>
      <w:spacing w:before="120" w:after="120" w:line="240" w:lineRule="auto"/>
    </w:pPr>
    <w:rPr>
      <w:rFonts w:eastAsia="Times New Roman" w:cs="Times New Roman"/>
      <w:sz w:val="24"/>
      <w:szCs w:val="24"/>
    </w:rPr>
  </w:style>
  <w:style w:type="paragraph" w:customStyle="1" w:styleId="NormalRight">
    <w:name w:val="Normal Right"/>
    <w:basedOn w:val="Normal"/>
    <w:pPr>
      <w:spacing w:before="120" w:after="120" w:line="240" w:lineRule="auto"/>
      <w:jc w:val="right"/>
    </w:pPr>
    <w:rPr>
      <w:rFonts w:eastAsia="Times New Roman" w:cs="Times New Roman"/>
      <w:sz w:val="24"/>
      <w:szCs w:val="24"/>
    </w:rPr>
  </w:style>
  <w:style w:type="paragraph" w:customStyle="1" w:styleId="QuotedText">
    <w:name w:val="Quoted Text"/>
    <w:basedOn w:val="Normal"/>
    <w:pPr>
      <w:spacing w:before="120" w:after="120" w:line="240" w:lineRule="auto"/>
      <w:ind w:left="1417"/>
      <w:jc w:val="both"/>
    </w:pPr>
    <w:rPr>
      <w:rFonts w:eastAsia="Times New Roman" w:cs="Times New Roman"/>
      <w:sz w:val="24"/>
      <w:szCs w:val="24"/>
    </w:rPr>
  </w:style>
  <w:style w:type="paragraph" w:customStyle="1" w:styleId="Point0">
    <w:name w:val="Point 0"/>
    <w:basedOn w:val="Normal"/>
    <w:pPr>
      <w:spacing w:before="120" w:after="120" w:line="240" w:lineRule="auto"/>
      <w:ind w:left="850" w:hanging="850"/>
      <w:jc w:val="both"/>
    </w:pPr>
    <w:rPr>
      <w:rFonts w:eastAsia="Times New Roman" w:cs="Times New Roman"/>
      <w:sz w:val="24"/>
      <w:szCs w:val="24"/>
    </w:rPr>
  </w:style>
  <w:style w:type="paragraph" w:customStyle="1" w:styleId="Point1">
    <w:name w:val="Point 1"/>
    <w:basedOn w:val="Normal"/>
    <w:pPr>
      <w:spacing w:before="120" w:after="120" w:line="240" w:lineRule="auto"/>
      <w:ind w:left="1417" w:hanging="567"/>
      <w:jc w:val="both"/>
    </w:pPr>
    <w:rPr>
      <w:rFonts w:eastAsia="Times New Roman" w:cs="Times New Roman"/>
      <w:sz w:val="24"/>
      <w:szCs w:val="24"/>
    </w:rPr>
  </w:style>
  <w:style w:type="paragraph" w:customStyle="1" w:styleId="Point2">
    <w:name w:val="Point 2"/>
    <w:basedOn w:val="Normal"/>
    <w:pPr>
      <w:spacing w:before="120" w:after="120" w:line="240" w:lineRule="auto"/>
      <w:ind w:left="1984" w:hanging="567"/>
      <w:jc w:val="both"/>
    </w:pPr>
    <w:rPr>
      <w:rFonts w:eastAsia="Times New Roman" w:cs="Times New Roman"/>
      <w:sz w:val="24"/>
      <w:szCs w:val="24"/>
    </w:rPr>
  </w:style>
  <w:style w:type="paragraph" w:customStyle="1" w:styleId="Point3">
    <w:name w:val="Point 3"/>
    <w:basedOn w:val="Normal"/>
    <w:pPr>
      <w:spacing w:before="120" w:after="120" w:line="240" w:lineRule="auto"/>
      <w:ind w:left="2551" w:hanging="567"/>
      <w:jc w:val="both"/>
    </w:pPr>
    <w:rPr>
      <w:rFonts w:eastAsia="Times New Roman" w:cs="Times New Roman"/>
      <w:sz w:val="24"/>
      <w:szCs w:val="24"/>
    </w:rPr>
  </w:style>
  <w:style w:type="paragraph" w:customStyle="1" w:styleId="Point4">
    <w:name w:val="Point 4"/>
    <w:basedOn w:val="Normal"/>
    <w:pPr>
      <w:spacing w:before="120" w:after="120" w:line="240" w:lineRule="auto"/>
      <w:ind w:left="3118" w:hanging="567"/>
      <w:jc w:val="both"/>
    </w:pPr>
    <w:rPr>
      <w:rFonts w:eastAsia="Times New Roman" w:cs="Times New Roman"/>
      <w:sz w:val="24"/>
      <w:szCs w:val="24"/>
    </w:rPr>
  </w:style>
  <w:style w:type="paragraph" w:customStyle="1" w:styleId="Tiret0">
    <w:name w:val="Tiret 0"/>
    <w:basedOn w:val="Point0"/>
    <w:pPr>
      <w:numPr>
        <w:numId w:val="2"/>
      </w:numPr>
    </w:pPr>
  </w:style>
  <w:style w:type="paragraph" w:customStyle="1" w:styleId="Tiret1">
    <w:name w:val="Tiret 1"/>
    <w:basedOn w:val="Point1"/>
    <w:pPr>
      <w:numPr>
        <w:numId w:val="3"/>
      </w:numPr>
    </w:pPr>
  </w:style>
  <w:style w:type="paragraph" w:customStyle="1" w:styleId="Tiret2">
    <w:name w:val="Tiret 2"/>
    <w:basedOn w:val="Point2"/>
    <w:pPr>
      <w:numPr>
        <w:numId w:val="4"/>
      </w:numPr>
    </w:pPr>
  </w:style>
  <w:style w:type="paragraph" w:customStyle="1" w:styleId="Tiret3">
    <w:name w:val="Tiret 3"/>
    <w:basedOn w:val="Point3"/>
    <w:pPr>
      <w:numPr>
        <w:numId w:val="5"/>
      </w:numPr>
    </w:pPr>
  </w:style>
  <w:style w:type="paragraph" w:customStyle="1" w:styleId="Tiret4">
    <w:name w:val="Tiret 4"/>
    <w:basedOn w:val="Point4"/>
    <w:pPr>
      <w:numPr>
        <w:numId w:val="6"/>
      </w:numPr>
    </w:pPr>
  </w:style>
  <w:style w:type="paragraph" w:customStyle="1" w:styleId="PointDouble0">
    <w:name w:val="PointDouble 0"/>
    <w:basedOn w:val="Normal"/>
    <w:pPr>
      <w:tabs>
        <w:tab w:val="left" w:pos="850"/>
      </w:tabs>
      <w:spacing w:before="120" w:after="120" w:line="240" w:lineRule="auto"/>
      <w:ind w:left="1417" w:hanging="1417"/>
      <w:jc w:val="both"/>
    </w:pPr>
    <w:rPr>
      <w:rFonts w:eastAsia="Times New Roman" w:cs="Times New Roman"/>
      <w:sz w:val="24"/>
      <w:szCs w:val="24"/>
    </w:rPr>
  </w:style>
  <w:style w:type="paragraph" w:customStyle="1" w:styleId="PointDouble1">
    <w:name w:val="PointDouble 1"/>
    <w:basedOn w:val="Normal"/>
    <w:pPr>
      <w:tabs>
        <w:tab w:val="left" w:pos="1417"/>
      </w:tabs>
      <w:spacing w:before="120" w:after="120" w:line="240" w:lineRule="auto"/>
      <w:ind w:left="1984" w:hanging="1134"/>
      <w:jc w:val="both"/>
    </w:pPr>
    <w:rPr>
      <w:rFonts w:eastAsia="Times New Roman" w:cs="Times New Roman"/>
      <w:sz w:val="24"/>
      <w:szCs w:val="24"/>
    </w:rPr>
  </w:style>
  <w:style w:type="paragraph" w:customStyle="1" w:styleId="PointDouble2">
    <w:name w:val="PointDouble 2"/>
    <w:basedOn w:val="Normal"/>
    <w:pPr>
      <w:tabs>
        <w:tab w:val="left" w:pos="1984"/>
      </w:tabs>
      <w:spacing w:before="120" w:after="120" w:line="240" w:lineRule="auto"/>
      <w:ind w:left="2551" w:hanging="1134"/>
      <w:jc w:val="both"/>
    </w:pPr>
    <w:rPr>
      <w:rFonts w:eastAsia="Times New Roman" w:cs="Times New Roman"/>
      <w:sz w:val="24"/>
      <w:szCs w:val="24"/>
    </w:rPr>
  </w:style>
  <w:style w:type="paragraph" w:customStyle="1" w:styleId="PointDouble3">
    <w:name w:val="PointDouble 3"/>
    <w:basedOn w:val="Normal"/>
    <w:pPr>
      <w:tabs>
        <w:tab w:val="left" w:pos="2551"/>
      </w:tabs>
      <w:spacing w:before="120" w:after="120" w:line="240" w:lineRule="auto"/>
      <w:ind w:left="3118" w:hanging="1134"/>
      <w:jc w:val="both"/>
    </w:pPr>
    <w:rPr>
      <w:rFonts w:eastAsia="Times New Roman" w:cs="Times New Roman"/>
      <w:sz w:val="24"/>
      <w:szCs w:val="24"/>
    </w:rPr>
  </w:style>
  <w:style w:type="paragraph" w:customStyle="1" w:styleId="PointDouble4">
    <w:name w:val="PointDouble 4"/>
    <w:basedOn w:val="Normal"/>
    <w:pPr>
      <w:tabs>
        <w:tab w:val="left" w:pos="3118"/>
      </w:tabs>
      <w:spacing w:before="120" w:after="120" w:line="240" w:lineRule="auto"/>
      <w:ind w:left="3685" w:hanging="1134"/>
      <w:jc w:val="both"/>
    </w:pPr>
    <w:rPr>
      <w:rFonts w:eastAsia="Times New Roman" w:cs="Times New Roman"/>
      <w:sz w:val="24"/>
      <w:szCs w:val="24"/>
    </w:rPr>
  </w:style>
  <w:style w:type="paragraph" w:customStyle="1" w:styleId="PointTriple0">
    <w:name w:val="PointTriple 0"/>
    <w:basedOn w:val="Normal"/>
    <w:pPr>
      <w:tabs>
        <w:tab w:val="left" w:pos="850"/>
        <w:tab w:val="left" w:pos="1417"/>
      </w:tabs>
      <w:spacing w:before="120" w:after="120" w:line="240" w:lineRule="auto"/>
      <w:ind w:left="1984" w:hanging="1984"/>
      <w:jc w:val="both"/>
    </w:pPr>
    <w:rPr>
      <w:rFonts w:eastAsia="Times New Roman" w:cs="Times New Roman"/>
      <w:sz w:val="24"/>
      <w:szCs w:val="24"/>
    </w:rPr>
  </w:style>
  <w:style w:type="paragraph" w:customStyle="1" w:styleId="PointTriple1">
    <w:name w:val="PointTriple 1"/>
    <w:basedOn w:val="Normal"/>
    <w:pPr>
      <w:tabs>
        <w:tab w:val="left" w:pos="1417"/>
        <w:tab w:val="left" w:pos="1984"/>
      </w:tabs>
      <w:spacing w:before="120" w:after="120" w:line="240" w:lineRule="auto"/>
      <w:ind w:left="2551" w:hanging="1701"/>
      <w:jc w:val="both"/>
    </w:pPr>
    <w:rPr>
      <w:rFonts w:eastAsia="Times New Roman" w:cs="Times New Roman"/>
      <w:sz w:val="24"/>
      <w:szCs w:val="24"/>
    </w:rPr>
  </w:style>
  <w:style w:type="paragraph" w:customStyle="1" w:styleId="PointTriple2">
    <w:name w:val="PointTriple 2"/>
    <w:basedOn w:val="Normal"/>
    <w:pPr>
      <w:tabs>
        <w:tab w:val="left" w:pos="1984"/>
        <w:tab w:val="left" w:pos="2551"/>
      </w:tabs>
      <w:spacing w:before="120" w:after="120" w:line="240" w:lineRule="auto"/>
      <w:ind w:left="3118" w:hanging="1701"/>
      <w:jc w:val="both"/>
    </w:pPr>
    <w:rPr>
      <w:rFonts w:eastAsia="Times New Roman" w:cs="Times New Roman"/>
      <w:sz w:val="24"/>
      <w:szCs w:val="24"/>
    </w:rPr>
  </w:style>
  <w:style w:type="paragraph" w:customStyle="1" w:styleId="PointTriple3">
    <w:name w:val="PointTriple 3"/>
    <w:basedOn w:val="Normal"/>
    <w:pPr>
      <w:tabs>
        <w:tab w:val="left" w:pos="2551"/>
        <w:tab w:val="left" w:pos="3118"/>
      </w:tabs>
      <w:spacing w:before="120" w:after="120" w:line="240" w:lineRule="auto"/>
      <w:ind w:left="3685" w:hanging="1701"/>
      <w:jc w:val="both"/>
    </w:pPr>
    <w:rPr>
      <w:rFonts w:eastAsia="Times New Roman" w:cs="Times New Roman"/>
      <w:sz w:val="24"/>
      <w:szCs w:val="24"/>
    </w:rPr>
  </w:style>
  <w:style w:type="paragraph" w:customStyle="1" w:styleId="PointTriple4">
    <w:name w:val="PointTriple 4"/>
    <w:basedOn w:val="Normal"/>
    <w:pPr>
      <w:tabs>
        <w:tab w:val="left" w:pos="3118"/>
        <w:tab w:val="left" w:pos="3685"/>
      </w:tabs>
      <w:spacing w:before="120" w:after="120" w:line="240" w:lineRule="auto"/>
      <w:ind w:left="4252" w:hanging="1701"/>
      <w:jc w:val="both"/>
    </w:pPr>
    <w:rPr>
      <w:rFonts w:eastAsia="Times New Roman" w:cs="Times New Roman"/>
      <w:sz w:val="24"/>
      <w:szCs w:val="24"/>
    </w:rPr>
  </w:style>
  <w:style w:type="paragraph" w:customStyle="1" w:styleId="NumPar1">
    <w:name w:val="NumPar 1"/>
    <w:basedOn w:val="Normal"/>
    <w:next w:val="Text1"/>
    <w:pPr>
      <w:numPr>
        <w:numId w:val="7"/>
      </w:numPr>
      <w:spacing w:before="120" w:after="120" w:line="240" w:lineRule="auto"/>
      <w:jc w:val="both"/>
    </w:pPr>
    <w:rPr>
      <w:rFonts w:eastAsia="Times New Roman" w:cs="Times New Roman"/>
      <w:sz w:val="24"/>
      <w:szCs w:val="24"/>
    </w:rPr>
  </w:style>
  <w:style w:type="paragraph" w:customStyle="1" w:styleId="NumPar2">
    <w:name w:val="NumPar 2"/>
    <w:basedOn w:val="Normal"/>
    <w:next w:val="Text1"/>
    <w:pPr>
      <w:numPr>
        <w:ilvl w:val="1"/>
        <w:numId w:val="7"/>
      </w:numPr>
      <w:spacing w:before="120" w:after="120" w:line="240" w:lineRule="auto"/>
      <w:jc w:val="both"/>
    </w:pPr>
    <w:rPr>
      <w:rFonts w:eastAsia="Times New Roman" w:cs="Times New Roman"/>
      <w:sz w:val="24"/>
      <w:szCs w:val="24"/>
    </w:rPr>
  </w:style>
  <w:style w:type="paragraph" w:customStyle="1" w:styleId="NumPar3">
    <w:name w:val="NumPar 3"/>
    <w:basedOn w:val="Normal"/>
    <w:next w:val="Text1"/>
    <w:pPr>
      <w:numPr>
        <w:ilvl w:val="2"/>
        <w:numId w:val="7"/>
      </w:numPr>
      <w:spacing w:before="120" w:after="120" w:line="240" w:lineRule="auto"/>
      <w:jc w:val="both"/>
    </w:pPr>
    <w:rPr>
      <w:rFonts w:eastAsia="Times New Roman" w:cs="Times New Roman"/>
      <w:sz w:val="24"/>
      <w:szCs w:val="24"/>
    </w:rPr>
  </w:style>
  <w:style w:type="paragraph" w:customStyle="1" w:styleId="NumPar4">
    <w:name w:val="NumPar 4"/>
    <w:basedOn w:val="Normal"/>
    <w:next w:val="Text1"/>
    <w:pPr>
      <w:numPr>
        <w:ilvl w:val="3"/>
        <w:numId w:val="7"/>
      </w:numPr>
      <w:spacing w:before="120" w:after="120" w:line="240" w:lineRule="auto"/>
      <w:jc w:val="both"/>
    </w:pPr>
    <w:rPr>
      <w:rFonts w:eastAsia="Times New Roman" w:cs="Times New Roman"/>
      <w:sz w:val="24"/>
      <w:szCs w:val="24"/>
    </w:rPr>
  </w:style>
  <w:style w:type="paragraph" w:customStyle="1" w:styleId="ManualNumPar1">
    <w:name w:val="Manual NumPar 1"/>
    <w:basedOn w:val="Normal"/>
    <w:next w:val="Text1"/>
    <w:pPr>
      <w:spacing w:before="120" w:after="120" w:line="240" w:lineRule="auto"/>
      <w:ind w:left="850" w:hanging="850"/>
      <w:jc w:val="both"/>
    </w:pPr>
    <w:rPr>
      <w:rFonts w:eastAsia="Times New Roman" w:cs="Times New Roman"/>
      <w:sz w:val="24"/>
      <w:szCs w:val="24"/>
    </w:rPr>
  </w:style>
  <w:style w:type="paragraph" w:customStyle="1" w:styleId="ManualNumPar2">
    <w:name w:val="Manual NumPar 2"/>
    <w:basedOn w:val="Normal"/>
    <w:next w:val="Text1"/>
    <w:pPr>
      <w:spacing w:before="120" w:after="120" w:line="240" w:lineRule="auto"/>
      <w:ind w:left="850" w:hanging="850"/>
      <w:jc w:val="both"/>
    </w:pPr>
    <w:rPr>
      <w:rFonts w:eastAsia="Times New Roman" w:cs="Times New Roman"/>
      <w:sz w:val="24"/>
      <w:szCs w:val="24"/>
    </w:rPr>
  </w:style>
  <w:style w:type="paragraph" w:customStyle="1" w:styleId="ManualNumPar3">
    <w:name w:val="Manual NumPar 3"/>
    <w:basedOn w:val="Normal"/>
    <w:next w:val="Text1"/>
    <w:pPr>
      <w:spacing w:before="120" w:after="120" w:line="240" w:lineRule="auto"/>
      <w:ind w:left="850" w:hanging="850"/>
      <w:jc w:val="both"/>
    </w:pPr>
    <w:rPr>
      <w:rFonts w:eastAsia="Times New Roman" w:cs="Times New Roman"/>
      <w:sz w:val="24"/>
      <w:szCs w:val="24"/>
    </w:rPr>
  </w:style>
  <w:style w:type="paragraph" w:customStyle="1" w:styleId="ManualNumPar4">
    <w:name w:val="Manual NumPar 4"/>
    <w:basedOn w:val="Normal"/>
    <w:next w:val="Text1"/>
    <w:pPr>
      <w:spacing w:before="120" w:after="120" w:line="240" w:lineRule="auto"/>
      <w:ind w:left="850" w:hanging="850"/>
      <w:jc w:val="both"/>
    </w:pPr>
    <w:rPr>
      <w:rFonts w:eastAsia="Times New Roman" w:cs="Times New Roman"/>
      <w:sz w:val="24"/>
      <w:szCs w:val="24"/>
    </w:rPr>
  </w:style>
  <w:style w:type="paragraph" w:customStyle="1" w:styleId="QuotedNumPar">
    <w:name w:val="Quoted NumPar"/>
    <w:basedOn w:val="Normal"/>
    <w:pPr>
      <w:spacing w:before="120" w:after="120" w:line="240" w:lineRule="auto"/>
      <w:ind w:left="1417" w:hanging="567"/>
      <w:jc w:val="both"/>
    </w:pPr>
    <w:rPr>
      <w:rFonts w:eastAsia="Times New Roman" w:cs="Times New Roman"/>
      <w:sz w:val="24"/>
      <w:szCs w:val="24"/>
    </w:rPr>
  </w:style>
  <w:style w:type="paragraph" w:customStyle="1" w:styleId="ManualHeading1">
    <w:name w:val="Manual Heading 1"/>
    <w:basedOn w:val="Normal"/>
    <w:next w:val="Text1"/>
    <w:pPr>
      <w:keepNext/>
      <w:tabs>
        <w:tab w:val="left" w:pos="850"/>
      </w:tabs>
      <w:spacing w:before="360" w:after="120" w:line="240" w:lineRule="auto"/>
      <w:ind w:left="850" w:hanging="850"/>
      <w:jc w:val="both"/>
      <w:outlineLvl w:val="0"/>
    </w:pPr>
    <w:rPr>
      <w:rFonts w:eastAsia="Times New Roman" w:cs="Times New Roman"/>
      <w:b/>
      <w:smallCaps/>
      <w:sz w:val="24"/>
      <w:szCs w:val="24"/>
    </w:rPr>
  </w:style>
  <w:style w:type="paragraph" w:customStyle="1" w:styleId="ManualHeading2">
    <w:name w:val="Manual Heading 2"/>
    <w:basedOn w:val="Normal"/>
    <w:next w:val="Text1"/>
    <w:pPr>
      <w:keepNext/>
      <w:tabs>
        <w:tab w:val="left" w:pos="850"/>
      </w:tabs>
      <w:spacing w:before="120" w:after="120" w:line="240" w:lineRule="auto"/>
      <w:ind w:left="850" w:hanging="850"/>
      <w:jc w:val="both"/>
      <w:outlineLvl w:val="1"/>
    </w:pPr>
    <w:rPr>
      <w:rFonts w:eastAsia="Times New Roman" w:cs="Times New Roman"/>
      <w:b/>
      <w:sz w:val="24"/>
      <w:szCs w:val="24"/>
    </w:rPr>
  </w:style>
  <w:style w:type="paragraph" w:customStyle="1" w:styleId="ManualHeading3">
    <w:name w:val="Manual Heading 3"/>
    <w:basedOn w:val="Normal"/>
    <w:next w:val="Text1"/>
    <w:pPr>
      <w:keepNext/>
      <w:tabs>
        <w:tab w:val="left" w:pos="850"/>
      </w:tabs>
      <w:spacing w:before="120" w:after="120" w:line="240" w:lineRule="auto"/>
      <w:ind w:left="850" w:hanging="850"/>
      <w:jc w:val="both"/>
      <w:outlineLvl w:val="2"/>
    </w:pPr>
    <w:rPr>
      <w:rFonts w:eastAsia="Times New Roman" w:cs="Times New Roman"/>
      <w:i/>
      <w:sz w:val="24"/>
      <w:szCs w:val="24"/>
    </w:rPr>
  </w:style>
  <w:style w:type="paragraph" w:customStyle="1" w:styleId="ManualHeading4">
    <w:name w:val="Manual Heading 4"/>
    <w:basedOn w:val="Normal"/>
    <w:next w:val="Text1"/>
    <w:pPr>
      <w:keepNext/>
      <w:tabs>
        <w:tab w:val="left" w:pos="850"/>
      </w:tabs>
      <w:spacing w:before="120" w:after="120" w:line="240" w:lineRule="auto"/>
      <w:ind w:left="850" w:hanging="850"/>
      <w:jc w:val="both"/>
      <w:outlineLvl w:val="3"/>
    </w:pPr>
    <w:rPr>
      <w:rFonts w:eastAsia="Times New Roman" w:cs="Times New Roman"/>
      <w:sz w:val="24"/>
      <w:szCs w:val="24"/>
    </w:rPr>
  </w:style>
  <w:style w:type="paragraph" w:customStyle="1" w:styleId="ChapterTitle">
    <w:name w:val="ChapterTitle"/>
    <w:basedOn w:val="Normal"/>
    <w:next w:val="Normal"/>
    <w:pPr>
      <w:keepNext/>
      <w:spacing w:before="120" w:after="360" w:line="240" w:lineRule="auto"/>
      <w:jc w:val="center"/>
    </w:pPr>
    <w:rPr>
      <w:rFonts w:eastAsia="Times New Roman" w:cs="Times New Roman"/>
      <w:b/>
      <w:sz w:val="32"/>
      <w:szCs w:val="24"/>
    </w:rPr>
  </w:style>
  <w:style w:type="paragraph" w:customStyle="1" w:styleId="PartTitle">
    <w:name w:val="PartTitle"/>
    <w:basedOn w:val="Normal"/>
    <w:next w:val="ChapterTitle"/>
    <w:pPr>
      <w:keepNext/>
      <w:pageBreakBefore/>
      <w:spacing w:before="120" w:after="360" w:line="240" w:lineRule="auto"/>
      <w:jc w:val="center"/>
    </w:pPr>
    <w:rPr>
      <w:rFonts w:eastAsia="Times New Roman" w:cs="Times New Roman"/>
      <w:b/>
      <w:sz w:val="36"/>
      <w:szCs w:val="24"/>
    </w:rPr>
  </w:style>
  <w:style w:type="paragraph" w:customStyle="1" w:styleId="SectionTitle">
    <w:name w:val="SectionTitle"/>
    <w:basedOn w:val="Normal"/>
    <w:next w:val="Heading1"/>
    <w:pPr>
      <w:keepNext/>
      <w:spacing w:before="120" w:after="360" w:line="240" w:lineRule="auto"/>
      <w:jc w:val="center"/>
    </w:pPr>
    <w:rPr>
      <w:rFonts w:eastAsia="Times New Roman" w:cs="Times New Roman"/>
      <w:b/>
      <w:smallCaps/>
      <w:sz w:val="28"/>
      <w:szCs w:val="24"/>
    </w:rPr>
  </w:style>
  <w:style w:type="paragraph" w:customStyle="1" w:styleId="TableTitle">
    <w:name w:val="Table Title"/>
    <w:basedOn w:val="Normal"/>
    <w:next w:val="Normal"/>
    <w:pPr>
      <w:spacing w:before="120" w:after="120" w:line="240" w:lineRule="auto"/>
      <w:jc w:val="center"/>
    </w:pPr>
    <w:rPr>
      <w:rFonts w:eastAsia="Times New Roman" w:cs="Times New Roman"/>
      <w:b/>
      <w:sz w:val="24"/>
      <w:szCs w:val="24"/>
    </w:rPr>
  </w:style>
  <w:style w:type="character" w:customStyle="1" w:styleId="Marker1">
    <w:name w:val="Marker1"/>
    <w:rPr>
      <w:color w:val="008000"/>
      <w:shd w:val="clear" w:color="auto" w:fill="auto"/>
    </w:rPr>
  </w:style>
  <w:style w:type="character" w:customStyle="1" w:styleId="Marker2">
    <w:name w:val="Marker2"/>
    <w:rPr>
      <w:color w:val="FF0000"/>
      <w:shd w:val="clear" w:color="auto" w:fill="auto"/>
    </w:rPr>
  </w:style>
  <w:style w:type="paragraph" w:styleId="TOCHeading">
    <w:name w:val="TOC Heading"/>
    <w:basedOn w:val="Normal"/>
    <w:next w:val="Normal"/>
    <w:uiPriority w:val="39"/>
    <w:qFormat/>
    <w:pPr>
      <w:spacing w:before="120" w:after="240" w:line="240" w:lineRule="auto"/>
    </w:pPr>
    <w:rPr>
      <w:rFonts w:eastAsia="Times New Roman" w:cs="Times New Roman"/>
      <w:b/>
      <w:sz w:val="28"/>
      <w:szCs w:val="24"/>
    </w:rPr>
  </w:style>
  <w:style w:type="paragraph" w:customStyle="1" w:styleId="Point0number">
    <w:name w:val="Point 0 (number)"/>
    <w:basedOn w:val="Normal"/>
    <w:pPr>
      <w:numPr>
        <w:numId w:val="20"/>
      </w:numPr>
      <w:spacing w:before="120" w:after="120" w:line="240" w:lineRule="auto"/>
      <w:jc w:val="both"/>
    </w:pPr>
    <w:rPr>
      <w:rFonts w:eastAsia="Times New Roman" w:cs="Times New Roman"/>
      <w:sz w:val="24"/>
      <w:szCs w:val="24"/>
    </w:rPr>
  </w:style>
  <w:style w:type="paragraph" w:customStyle="1" w:styleId="Point1number">
    <w:name w:val="Point 1 (number)"/>
    <w:basedOn w:val="Normal"/>
    <w:pPr>
      <w:numPr>
        <w:ilvl w:val="2"/>
        <w:numId w:val="20"/>
      </w:numPr>
      <w:spacing w:before="120" w:after="120" w:line="240" w:lineRule="auto"/>
      <w:jc w:val="both"/>
    </w:pPr>
    <w:rPr>
      <w:rFonts w:eastAsia="Times New Roman" w:cs="Times New Roman"/>
      <w:sz w:val="24"/>
      <w:szCs w:val="24"/>
    </w:rPr>
  </w:style>
  <w:style w:type="paragraph" w:customStyle="1" w:styleId="Point2number">
    <w:name w:val="Point 2 (number)"/>
    <w:basedOn w:val="Normal"/>
    <w:pPr>
      <w:numPr>
        <w:ilvl w:val="4"/>
        <w:numId w:val="20"/>
      </w:numPr>
      <w:spacing w:before="120" w:after="120" w:line="240" w:lineRule="auto"/>
      <w:jc w:val="both"/>
    </w:pPr>
    <w:rPr>
      <w:rFonts w:eastAsia="Times New Roman" w:cs="Times New Roman"/>
      <w:sz w:val="24"/>
      <w:szCs w:val="24"/>
    </w:rPr>
  </w:style>
  <w:style w:type="paragraph" w:customStyle="1" w:styleId="Point3number">
    <w:name w:val="Point 3 (number)"/>
    <w:basedOn w:val="Normal"/>
    <w:pPr>
      <w:numPr>
        <w:ilvl w:val="6"/>
        <w:numId w:val="20"/>
      </w:numPr>
      <w:spacing w:before="120" w:after="120" w:line="240" w:lineRule="auto"/>
      <w:jc w:val="both"/>
    </w:pPr>
    <w:rPr>
      <w:rFonts w:eastAsia="Times New Roman" w:cs="Times New Roman"/>
      <w:sz w:val="24"/>
      <w:szCs w:val="24"/>
    </w:rPr>
  </w:style>
  <w:style w:type="paragraph" w:customStyle="1" w:styleId="Point0letter">
    <w:name w:val="Point 0 (letter)"/>
    <w:basedOn w:val="Normal"/>
    <w:pPr>
      <w:numPr>
        <w:ilvl w:val="1"/>
        <w:numId w:val="20"/>
      </w:numPr>
      <w:spacing w:before="120" w:after="120" w:line="240" w:lineRule="auto"/>
      <w:jc w:val="both"/>
    </w:pPr>
    <w:rPr>
      <w:rFonts w:eastAsia="Times New Roman" w:cs="Times New Roman"/>
      <w:sz w:val="24"/>
      <w:szCs w:val="24"/>
    </w:rPr>
  </w:style>
  <w:style w:type="paragraph" w:customStyle="1" w:styleId="Point1letter">
    <w:name w:val="Point 1 (letter)"/>
    <w:basedOn w:val="Normal"/>
    <w:pPr>
      <w:numPr>
        <w:ilvl w:val="3"/>
        <w:numId w:val="20"/>
      </w:numPr>
      <w:spacing w:before="120" w:after="120" w:line="240" w:lineRule="auto"/>
      <w:jc w:val="both"/>
    </w:pPr>
    <w:rPr>
      <w:rFonts w:eastAsia="Times New Roman" w:cs="Times New Roman"/>
      <w:sz w:val="24"/>
      <w:szCs w:val="24"/>
    </w:rPr>
  </w:style>
  <w:style w:type="paragraph" w:customStyle="1" w:styleId="Point2letter">
    <w:name w:val="Point 2 (letter)"/>
    <w:basedOn w:val="Normal"/>
    <w:pPr>
      <w:numPr>
        <w:ilvl w:val="5"/>
        <w:numId w:val="20"/>
      </w:numPr>
      <w:spacing w:before="120" w:after="120" w:line="240" w:lineRule="auto"/>
      <w:jc w:val="both"/>
    </w:pPr>
    <w:rPr>
      <w:rFonts w:eastAsia="Times New Roman" w:cs="Times New Roman"/>
      <w:sz w:val="24"/>
      <w:szCs w:val="24"/>
    </w:rPr>
  </w:style>
  <w:style w:type="paragraph" w:customStyle="1" w:styleId="Point3letter">
    <w:name w:val="Point 3 (letter)"/>
    <w:basedOn w:val="Normal"/>
    <w:pPr>
      <w:numPr>
        <w:ilvl w:val="7"/>
        <w:numId w:val="20"/>
      </w:numPr>
      <w:spacing w:before="120" w:after="120" w:line="240" w:lineRule="auto"/>
      <w:jc w:val="both"/>
    </w:pPr>
    <w:rPr>
      <w:rFonts w:eastAsia="Times New Roman" w:cs="Times New Roman"/>
      <w:sz w:val="24"/>
      <w:szCs w:val="24"/>
    </w:rPr>
  </w:style>
  <w:style w:type="paragraph" w:customStyle="1" w:styleId="Point4letter">
    <w:name w:val="Point 4 (letter)"/>
    <w:basedOn w:val="Normal"/>
    <w:pPr>
      <w:numPr>
        <w:ilvl w:val="8"/>
        <w:numId w:val="20"/>
      </w:numPr>
      <w:spacing w:before="120" w:after="120" w:line="240" w:lineRule="auto"/>
      <w:jc w:val="both"/>
    </w:pPr>
    <w:rPr>
      <w:rFonts w:eastAsia="Times New Roman" w:cs="Times New Roman"/>
      <w:sz w:val="24"/>
      <w:szCs w:val="24"/>
    </w:rPr>
  </w:style>
  <w:style w:type="paragraph" w:customStyle="1" w:styleId="Bullet0">
    <w:name w:val="Bullet 0"/>
    <w:basedOn w:val="Normal"/>
    <w:pPr>
      <w:numPr>
        <w:numId w:val="8"/>
      </w:numPr>
      <w:spacing w:before="120" w:after="120" w:line="240" w:lineRule="auto"/>
      <w:jc w:val="both"/>
    </w:pPr>
    <w:rPr>
      <w:rFonts w:eastAsia="Times New Roman" w:cs="Times New Roman"/>
      <w:sz w:val="24"/>
      <w:szCs w:val="24"/>
    </w:rPr>
  </w:style>
  <w:style w:type="paragraph" w:customStyle="1" w:styleId="Bullet1">
    <w:name w:val="Bullet 1"/>
    <w:basedOn w:val="Normal"/>
    <w:pPr>
      <w:numPr>
        <w:numId w:val="9"/>
      </w:numPr>
      <w:spacing w:before="120" w:after="120" w:line="240" w:lineRule="auto"/>
      <w:jc w:val="both"/>
    </w:pPr>
    <w:rPr>
      <w:rFonts w:eastAsia="Times New Roman" w:cs="Times New Roman"/>
      <w:sz w:val="24"/>
      <w:szCs w:val="24"/>
    </w:rPr>
  </w:style>
  <w:style w:type="paragraph" w:customStyle="1" w:styleId="Bullet2">
    <w:name w:val="Bullet 2"/>
    <w:basedOn w:val="Normal"/>
    <w:pPr>
      <w:numPr>
        <w:numId w:val="10"/>
      </w:numPr>
      <w:spacing w:before="120" w:after="120" w:line="240" w:lineRule="auto"/>
      <w:jc w:val="both"/>
    </w:pPr>
    <w:rPr>
      <w:rFonts w:eastAsia="Times New Roman" w:cs="Times New Roman"/>
      <w:sz w:val="24"/>
      <w:szCs w:val="24"/>
    </w:rPr>
  </w:style>
  <w:style w:type="paragraph" w:customStyle="1" w:styleId="Bullet3">
    <w:name w:val="Bullet 3"/>
    <w:basedOn w:val="Normal"/>
    <w:pPr>
      <w:numPr>
        <w:numId w:val="11"/>
      </w:numPr>
      <w:spacing w:before="120" w:after="120" w:line="240" w:lineRule="auto"/>
      <w:jc w:val="both"/>
    </w:pPr>
    <w:rPr>
      <w:rFonts w:eastAsia="Times New Roman" w:cs="Times New Roman"/>
      <w:sz w:val="24"/>
      <w:szCs w:val="24"/>
    </w:rPr>
  </w:style>
  <w:style w:type="paragraph" w:customStyle="1" w:styleId="Bullet4">
    <w:name w:val="Bullet 4"/>
    <w:basedOn w:val="Normal"/>
    <w:pPr>
      <w:numPr>
        <w:numId w:val="12"/>
      </w:numPr>
      <w:spacing w:before="120" w:after="120" w:line="240" w:lineRule="auto"/>
      <w:jc w:val="both"/>
    </w:pPr>
    <w:rPr>
      <w:rFonts w:eastAsia="Times New Roman" w:cs="Times New Roman"/>
      <w:sz w:val="24"/>
      <w:szCs w:val="24"/>
    </w:rPr>
  </w:style>
  <w:style w:type="paragraph" w:customStyle="1" w:styleId="Annexetitreexpos">
    <w:name w:val="Annexe titre (exposé)"/>
    <w:basedOn w:val="Normal"/>
    <w:next w:val="Normal"/>
    <w:pPr>
      <w:spacing w:before="120" w:after="120" w:line="240" w:lineRule="auto"/>
      <w:jc w:val="center"/>
    </w:pPr>
    <w:rPr>
      <w:rFonts w:eastAsia="Times New Roman" w:cs="Times New Roman"/>
      <w:b/>
      <w:sz w:val="24"/>
      <w:szCs w:val="24"/>
      <w:u w:val="single"/>
    </w:rPr>
  </w:style>
  <w:style w:type="paragraph" w:customStyle="1" w:styleId="Annexetitre">
    <w:name w:val="Annexe titre"/>
    <w:basedOn w:val="Normal"/>
    <w:next w:val="Normal"/>
    <w:pPr>
      <w:spacing w:before="120" w:after="120" w:line="240" w:lineRule="auto"/>
      <w:jc w:val="center"/>
    </w:pPr>
    <w:rPr>
      <w:rFonts w:eastAsia="Times New Roman" w:cs="Times New Roman"/>
      <w:b/>
      <w:sz w:val="24"/>
      <w:szCs w:val="24"/>
      <w:u w:val="single"/>
    </w:rPr>
  </w:style>
  <w:style w:type="paragraph" w:customStyle="1" w:styleId="Annexetitrefichefinancire">
    <w:name w:val="Annexe titre (fiche financière)"/>
    <w:basedOn w:val="Normal"/>
    <w:next w:val="Normal"/>
    <w:pPr>
      <w:spacing w:before="120" w:after="120" w:line="240" w:lineRule="auto"/>
      <w:jc w:val="center"/>
    </w:pPr>
    <w:rPr>
      <w:rFonts w:eastAsia="Times New Roman" w:cs="Times New Roman"/>
      <w:b/>
      <w:sz w:val="24"/>
      <w:szCs w:val="24"/>
      <w:u w:val="single"/>
    </w:rPr>
  </w:style>
  <w:style w:type="paragraph" w:customStyle="1" w:styleId="Applicationdirecte">
    <w:name w:val="Application directe"/>
    <w:basedOn w:val="Normal"/>
    <w:next w:val="Fait"/>
    <w:pPr>
      <w:spacing w:before="480" w:after="120" w:line="240" w:lineRule="auto"/>
      <w:jc w:val="both"/>
    </w:pPr>
    <w:rPr>
      <w:rFonts w:eastAsia="Times New Roman" w:cs="Times New Roman"/>
      <w:sz w:val="24"/>
      <w:szCs w:val="24"/>
    </w:rPr>
  </w:style>
  <w:style w:type="paragraph" w:customStyle="1" w:styleId="Avertissementtitre">
    <w:name w:val="Avertissement titre"/>
    <w:basedOn w:val="Normal"/>
    <w:next w:val="Normal"/>
    <w:pPr>
      <w:keepNext/>
      <w:spacing w:before="480" w:after="120" w:line="240" w:lineRule="auto"/>
      <w:jc w:val="both"/>
    </w:pPr>
    <w:rPr>
      <w:rFonts w:eastAsia="Times New Roman" w:cs="Times New Roman"/>
      <w:sz w:val="24"/>
      <w:szCs w:val="24"/>
      <w:u w:val="single"/>
    </w:rPr>
  </w:style>
  <w:style w:type="paragraph" w:customStyle="1" w:styleId="Confidence">
    <w:name w:val="Confidence"/>
    <w:basedOn w:val="Normal"/>
    <w:next w:val="Normal"/>
    <w:pPr>
      <w:spacing w:before="360" w:after="120" w:line="240" w:lineRule="auto"/>
      <w:jc w:val="center"/>
    </w:pPr>
    <w:rPr>
      <w:rFonts w:eastAsia="Times New Roman" w:cs="Times New Roman"/>
      <w:sz w:val="24"/>
      <w:szCs w:val="24"/>
    </w:rPr>
  </w:style>
  <w:style w:type="paragraph" w:customStyle="1" w:styleId="Confidentialit">
    <w:name w:val="Confidentialité"/>
    <w:basedOn w:val="Normal"/>
    <w:next w:val="TypedudocumentPagedecouverture"/>
    <w:pPr>
      <w:spacing w:before="240" w:after="240" w:line="240" w:lineRule="auto"/>
      <w:ind w:left="5103"/>
      <w:jc w:val="both"/>
    </w:pPr>
    <w:rPr>
      <w:rFonts w:eastAsia="Times New Roman" w:cs="Times New Roman"/>
      <w:i/>
      <w:sz w:val="32"/>
      <w:szCs w:val="24"/>
    </w:rPr>
  </w:style>
  <w:style w:type="paragraph" w:customStyle="1" w:styleId="Considrant">
    <w:name w:val="Considérant"/>
    <w:basedOn w:val="Normal"/>
    <w:pPr>
      <w:numPr>
        <w:numId w:val="13"/>
      </w:numPr>
      <w:spacing w:before="120" w:after="120" w:line="240" w:lineRule="auto"/>
      <w:jc w:val="both"/>
    </w:pPr>
    <w:rPr>
      <w:rFonts w:eastAsia="Times New Roman" w:cs="Times New Roman"/>
      <w:sz w:val="24"/>
      <w:szCs w:val="24"/>
    </w:rPr>
  </w:style>
  <w:style w:type="paragraph" w:customStyle="1" w:styleId="Corrigendum">
    <w:name w:val="Corrigendum"/>
    <w:basedOn w:val="Normal"/>
    <w:next w:val="Normal"/>
    <w:pPr>
      <w:spacing w:after="240" w:line="240" w:lineRule="auto"/>
    </w:pPr>
    <w:rPr>
      <w:rFonts w:eastAsia="Times New Roman" w:cs="Times New Roman"/>
      <w:sz w:val="24"/>
      <w:szCs w:val="24"/>
    </w:rPr>
  </w:style>
  <w:style w:type="paragraph" w:customStyle="1" w:styleId="Datedadoption">
    <w:name w:val="Date d'adoption"/>
    <w:basedOn w:val="Normal"/>
    <w:next w:val="Titreobjet"/>
    <w:pPr>
      <w:spacing w:before="360" w:after="0" w:line="240" w:lineRule="auto"/>
      <w:jc w:val="center"/>
    </w:pPr>
    <w:rPr>
      <w:rFonts w:eastAsia="Times New Roman" w:cs="Times New Roman"/>
      <w:b/>
      <w:sz w:val="24"/>
      <w:szCs w:val="24"/>
    </w:rPr>
  </w:style>
  <w:style w:type="paragraph" w:customStyle="1" w:styleId="Emission">
    <w:name w:val="Emission"/>
    <w:basedOn w:val="Normal"/>
    <w:next w:val="Rfrenceinstitutionnelle"/>
    <w:pPr>
      <w:spacing w:after="0" w:line="240" w:lineRule="auto"/>
      <w:ind w:left="5103"/>
    </w:pPr>
    <w:rPr>
      <w:rFonts w:eastAsia="Times New Roman" w:cs="Times New Roman"/>
      <w:sz w:val="24"/>
      <w:szCs w:val="24"/>
    </w:rPr>
  </w:style>
  <w:style w:type="paragraph" w:customStyle="1" w:styleId="Exposdesmotifstitre">
    <w:name w:val="Exposé des motifs titre"/>
    <w:basedOn w:val="Normal"/>
    <w:next w:val="Normal"/>
    <w:pPr>
      <w:spacing w:before="120" w:after="120" w:line="240" w:lineRule="auto"/>
      <w:jc w:val="center"/>
    </w:pPr>
    <w:rPr>
      <w:rFonts w:eastAsia="Times New Roman" w:cs="Times New Roman"/>
      <w:b/>
      <w:sz w:val="24"/>
      <w:szCs w:val="24"/>
      <w:u w:val="single"/>
    </w:rPr>
  </w:style>
  <w:style w:type="paragraph" w:customStyle="1" w:styleId="Fait">
    <w:name w:val="Fait à"/>
    <w:basedOn w:val="Normal"/>
    <w:next w:val="Institutionquisigne"/>
    <w:pPr>
      <w:keepNext/>
      <w:spacing w:before="120" w:after="0" w:line="240" w:lineRule="auto"/>
      <w:jc w:val="both"/>
    </w:pPr>
    <w:rPr>
      <w:rFonts w:eastAsia="Times New Roman" w:cs="Times New Roman"/>
      <w:sz w:val="24"/>
      <w:szCs w:val="24"/>
    </w:rPr>
  </w:style>
  <w:style w:type="paragraph" w:customStyle="1" w:styleId="Formuledadoption">
    <w:name w:val="Formule d'adoption"/>
    <w:basedOn w:val="Normal"/>
    <w:next w:val="Titrearticle"/>
    <w:pPr>
      <w:keepNext/>
      <w:spacing w:before="120" w:after="120" w:line="240" w:lineRule="auto"/>
      <w:jc w:val="both"/>
    </w:pPr>
    <w:rPr>
      <w:rFonts w:eastAsia="Times New Roman" w:cs="Times New Roman"/>
      <w:sz w:val="24"/>
      <w:szCs w:val="24"/>
    </w:rPr>
  </w:style>
  <w:style w:type="paragraph" w:customStyle="1" w:styleId="Institutionquiagit">
    <w:name w:val="Institution qui agit"/>
    <w:basedOn w:val="Normal"/>
    <w:next w:val="Normal"/>
    <w:pPr>
      <w:keepNext/>
      <w:spacing w:before="600" w:after="120" w:line="240" w:lineRule="auto"/>
      <w:jc w:val="both"/>
    </w:pPr>
    <w:rPr>
      <w:rFonts w:eastAsia="Times New Roman" w:cs="Times New Roman"/>
      <w:sz w:val="24"/>
      <w:szCs w:val="24"/>
    </w:rPr>
  </w:style>
  <w:style w:type="paragraph" w:customStyle="1" w:styleId="Institutionquisigne">
    <w:name w:val="Institution qui signe"/>
    <w:basedOn w:val="Normal"/>
    <w:next w:val="Personnequisigne"/>
    <w:pPr>
      <w:keepNext/>
      <w:tabs>
        <w:tab w:val="left" w:pos="4252"/>
      </w:tabs>
      <w:spacing w:before="720" w:after="0" w:line="240" w:lineRule="auto"/>
      <w:jc w:val="both"/>
    </w:pPr>
    <w:rPr>
      <w:rFonts w:eastAsia="Times New Roman" w:cs="Times New Roman"/>
      <w:i/>
      <w:sz w:val="24"/>
      <w:szCs w:val="24"/>
    </w:rPr>
  </w:style>
  <w:style w:type="paragraph" w:customStyle="1" w:styleId="Langue">
    <w:name w:val="Langue"/>
    <w:basedOn w:val="Normal"/>
    <w:next w:val="Rfrenceinterne"/>
    <w:pPr>
      <w:framePr w:wrap="around" w:vAnchor="page" w:hAnchor="text" w:xAlign="center" w:y="14741"/>
      <w:spacing w:after="600" w:line="240" w:lineRule="auto"/>
      <w:jc w:val="center"/>
    </w:pPr>
    <w:rPr>
      <w:rFonts w:eastAsia="Times New Roman" w:cs="Times New Roman"/>
      <w:b/>
      <w:caps/>
      <w:sz w:val="24"/>
      <w:szCs w:val="24"/>
    </w:rPr>
  </w:style>
  <w:style w:type="paragraph" w:customStyle="1" w:styleId="ManualConsidrant">
    <w:name w:val="Manual Considérant"/>
    <w:basedOn w:val="Normal"/>
    <w:pPr>
      <w:spacing w:before="120" w:after="120" w:line="240" w:lineRule="auto"/>
      <w:ind w:left="709" w:hanging="709"/>
      <w:jc w:val="both"/>
    </w:pPr>
    <w:rPr>
      <w:rFonts w:eastAsia="Times New Roman" w:cs="Times New Roman"/>
      <w:sz w:val="24"/>
      <w:szCs w:val="24"/>
    </w:rPr>
  </w:style>
  <w:style w:type="paragraph" w:customStyle="1" w:styleId="Nomdelinstitution">
    <w:name w:val="Nom de l'institution"/>
    <w:basedOn w:val="Normal"/>
    <w:next w:val="Emission"/>
    <w:pPr>
      <w:spacing w:after="0" w:line="240" w:lineRule="auto"/>
    </w:pPr>
    <w:rPr>
      <w:rFonts w:ascii="Arial" w:eastAsia="Times New Roman" w:hAnsi="Arial" w:cs="Arial"/>
      <w:sz w:val="24"/>
      <w:szCs w:val="24"/>
    </w:rPr>
  </w:style>
  <w:style w:type="paragraph" w:customStyle="1" w:styleId="Personnequisigne">
    <w:name w:val="Personne qui signe"/>
    <w:basedOn w:val="Normal"/>
    <w:next w:val="Institutionquisigne"/>
    <w:pPr>
      <w:tabs>
        <w:tab w:val="left" w:pos="4252"/>
      </w:tabs>
      <w:spacing w:after="0" w:line="240" w:lineRule="auto"/>
    </w:pPr>
    <w:rPr>
      <w:rFonts w:eastAsia="Times New Roman" w:cs="Times New Roman"/>
      <w:i/>
      <w:sz w:val="24"/>
      <w:szCs w:val="24"/>
    </w:rPr>
  </w:style>
  <w:style w:type="paragraph" w:customStyle="1" w:styleId="Rfrenceinstitutionnelle">
    <w:name w:val="Référence institutionnelle"/>
    <w:basedOn w:val="Normal"/>
    <w:next w:val="Confidentialit"/>
    <w:pPr>
      <w:spacing w:after="240" w:line="240" w:lineRule="auto"/>
      <w:ind w:left="5103"/>
    </w:pPr>
    <w:rPr>
      <w:rFonts w:eastAsia="Times New Roman" w:cs="Times New Roman"/>
      <w:sz w:val="24"/>
      <w:szCs w:val="24"/>
    </w:rPr>
  </w:style>
  <w:style w:type="paragraph" w:customStyle="1" w:styleId="Rfrenceinterinstitutionnelle">
    <w:name w:val="Référence interinstitutionnelle"/>
    <w:basedOn w:val="Normal"/>
    <w:next w:val="Statut"/>
    <w:pPr>
      <w:spacing w:after="0" w:line="240" w:lineRule="auto"/>
      <w:ind w:left="5103"/>
    </w:pPr>
    <w:rPr>
      <w:rFonts w:eastAsia="Times New Roman" w:cs="Times New Roman"/>
      <w:sz w:val="24"/>
      <w:szCs w:val="24"/>
    </w:rPr>
  </w:style>
  <w:style w:type="paragraph" w:customStyle="1" w:styleId="Rfrenceinterne">
    <w:name w:val="Référence interne"/>
    <w:basedOn w:val="Normal"/>
    <w:next w:val="Rfrenceinterinstitutionnelle"/>
    <w:pPr>
      <w:spacing w:after="0" w:line="240" w:lineRule="auto"/>
      <w:ind w:left="5103"/>
    </w:pPr>
    <w:rPr>
      <w:rFonts w:eastAsia="Times New Roman" w:cs="Times New Roman"/>
      <w:sz w:val="24"/>
      <w:szCs w:val="24"/>
    </w:rPr>
  </w:style>
  <w:style w:type="paragraph" w:customStyle="1" w:styleId="Sous-titreobjet">
    <w:name w:val="Sous-titre objet"/>
    <w:basedOn w:val="Normal"/>
    <w:pPr>
      <w:spacing w:after="0" w:line="240" w:lineRule="auto"/>
      <w:jc w:val="center"/>
    </w:pPr>
    <w:rPr>
      <w:rFonts w:eastAsia="Times New Roman" w:cs="Times New Roman"/>
      <w:b/>
      <w:sz w:val="24"/>
      <w:szCs w:val="24"/>
    </w:rPr>
  </w:style>
  <w:style w:type="paragraph" w:customStyle="1" w:styleId="Statut">
    <w:name w:val="Statut"/>
    <w:basedOn w:val="Normal"/>
    <w:next w:val="Typedudocument"/>
    <w:pPr>
      <w:spacing w:before="360" w:after="0" w:line="240" w:lineRule="auto"/>
      <w:jc w:val="center"/>
    </w:pPr>
    <w:rPr>
      <w:rFonts w:eastAsia="Times New Roman" w:cs="Times New Roman"/>
      <w:sz w:val="24"/>
      <w:szCs w:val="24"/>
    </w:rPr>
  </w:style>
  <w:style w:type="paragraph" w:customStyle="1" w:styleId="Titrearticle">
    <w:name w:val="Titre article"/>
    <w:basedOn w:val="Normal"/>
    <w:next w:val="Normal"/>
    <w:pPr>
      <w:keepNext/>
      <w:spacing w:before="360" w:after="120" w:line="240" w:lineRule="auto"/>
      <w:jc w:val="center"/>
    </w:pPr>
    <w:rPr>
      <w:rFonts w:eastAsia="Times New Roman" w:cs="Times New Roman"/>
      <w:i/>
      <w:sz w:val="24"/>
      <w:szCs w:val="24"/>
    </w:rPr>
  </w:style>
  <w:style w:type="paragraph" w:customStyle="1" w:styleId="Titreobjet">
    <w:name w:val="Titre objet"/>
    <w:basedOn w:val="Normal"/>
    <w:next w:val="Sous-titreobjet"/>
    <w:pPr>
      <w:spacing w:before="360" w:after="360" w:line="240" w:lineRule="auto"/>
      <w:jc w:val="center"/>
    </w:pPr>
    <w:rPr>
      <w:rFonts w:eastAsia="Times New Roman" w:cs="Times New Roman"/>
      <w:b/>
      <w:sz w:val="24"/>
      <w:szCs w:val="24"/>
    </w:rPr>
  </w:style>
  <w:style w:type="paragraph" w:customStyle="1" w:styleId="Typedudocument">
    <w:name w:val="Type du document"/>
    <w:basedOn w:val="Normal"/>
    <w:next w:val="Titreobjet"/>
    <w:link w:val="TypedudocumentChar"/>
    <w:pPr>
      <w:spacing w:before="360" w:after="0" w:line="240" w:lineRule="auto"/>
      <w:jc w:val="center"/>
    </w:pPr>
    <w:rPr>
      <w:rFonts w:eastAsia="Times New Roman" w:cs="Times New Roman"/>
      <w:b/>
      <w:sz w:val="24"/>
      <w:szCs w:val="24"/>
    </w:rPr>
  </w:style>
  <w:style w:type="character" w:customStyle="1" w:styleId="Added">
    <w:name w:val="Added"/>
    <w:rPr>
      <w:b/>
      <w:u w:val="single"/>
      <w:shd w:val="clear" w:color="auto" w:fill="auto"/>
    </w:rPr>
  </w:style>
  <w:style w:type="character" w:customStyle="1" w:styleId="Deleted">
    <w:name w:val="Deleted"/>
    <w:rPr>
      <w:strike/>
      <w:shd w:val="clear" w:color="auto" w:fill="auto"/>
    </w:rPr>
  </w:style>
  <w:style w:type="paragraph" w:customStyle="1" w:styleId="Address">
    <w:name w:val="Address"/>
    <w:basedOn w:val="Normal"/>
    <w:next w:val="Normal"/>
    <w:pPr>
      <w:keepLines/>
      <w:spacing w:before="120" w:after="120" w:line="360" w:lineRule="auto"/>
      <w:ind w:left="3402"/>
    </w:pPr>
    <w:rPr>
      <w:rFonts w:eastAsia="Times New Roman" w:cs="Times New Roman"/>
      <w:sz w:val="24"/>
      <w:szCs w:val="24"/>
    </w:rPr>
  </w:style>
  <w:style w:type="paragraph" w:customStyle="1" w:styleId="Objetexterne">
    <w:name w:val="Objet externe"/>
    <w:basedOn w:val="Normal"/>
    <w:next w:val="Normal"/>
    <w:pPr>
      <w:spacing w:before="120" w:after="120" w:line="240" w:lineRule="auto"/>
      <w:jc w:val="both"/>
    </w:pPr>
    <w:rPr>
      <w:rFonts w:eastAsia="Times New Roman" w:cs="Times New Roman"/>
      <w:i/>
      <w:caps/>
      <w:sz w:val="24"/>
      <w:szCs w:val="24"/>
    </w:rPr>
  </w:style>
  <w:style w:type="paragraph" w:customStyle="1" w:styleId="Supertitre">
    <w:name w:val="Supertitre"/>
    <w:basedOn w:val="Normal"/>
    <w:next w:val="Normal"/>
    <w:pPr>
      <w:spacing w:after="600" w:line="240" w:lineRule="auto"/>
      <w:jc w:val="center"/>
    </w:pPr>
    <w:rPr>
      <w:rFonts w:eastAsia="Times New Roman" w:cs="Times New Roman"/>
      <w:b/>
      <w:sz w:val="24"/>
      <w:szCs w:val="24"/>
    </w:rPr>
  </w:style>
  <w:style w:type="paragraph" w:customStyle="1" w:styleId="Languesfaisantfoi">
    <w:name w:val="Langues faisant foi"/>
    <w:basedOn w:val="Normal"/>
    <w:next w:val="Normal"/>
    <w:pPr>
      <w:spacing w:before="360" w:after="0" w:line="240" w:lineRule="auto"/>
      <w:jc w:val="center"/>
    </w:pPr>
    <w:rPr>
      <w:rFonts w:eastAsia="Times New Roman" w:cs="Times New Roman"/>
      <w:sz w:val="24"/>
      <w:szCs w:val="24"/>
    </w:rPr>
  </w:style>
  <w:style w:type="paragraph" w:customStyle="1" w:styleId="Rfrencecroise">
    <w:name w:val="Référence croisée"/>
    <w:basedOn w:val="Normal"/>
    <w:pPr>
      <w:spacing w:after="0" w:line="240" w:lineRule="auto"/>
      <w:jc w:val="center"/>
    </w:pPr>
    <w:rPr>
      <w:rFonts w:eastAsia="Times New Roman" w:cs="Times New Roman"/>
      <w:sz w:val="24"/>
      <w:szCs w:val="24"/>
    </w:rPr>
  </w:style>
  <w:style w:type="paragraph" w:customStyle="1" w:styleId="Fichefinanciretitre">
    <w:name w:val="Fiche financière titre"/>
    <w:basedOn w:val="Normal"/>
    <w:next w:val="Normal"/>
    <w:pPr>
      <w:spacing w:before="120" w:after="120" w:line="240" w:lineRule="auto"/>
      <w:jc w:val="center"/>
    </w:pPr>
    <w:rPr>
      <w:rFonts w:eastAsia="Times New Roman" w:cs="Times New Roman"/>
      <w:b/>
      <w:sz w:val="24"/>
      <w:szCs w:val="24"/>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ous-titreobjetPagedecouverture">
    <w:name w:val="Sous-titre objet (Page de couverture)"/>
    <w:basedOn w:val="Sous-titreobje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Sous-titreobjet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after="240" w:line="240" w:lineRule="auto"/>
      <w:ind w:left="5103"/>
    </w:pPr>
    <w:rPr>
      <w:rFonts w:eastAsia="Times New Roman" w:cs="Times New Roman"/>
      <w:sz w:val="24"/>
      <w:szCs w:val="24"/>
    </w:r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after="240" w:line="240" w:lineRule="auto"/>
      <w:jc w:val="center"/>
    </w:pPr>
    <w:rPr>
      <w:rFonts w:eastAsia="Times New Roman" w:cs="Times New Roman"/>
      <w:b/>
      <w:i/>
      <w:sz w:val="24"/>
      <w:szCs w:val="24"/>
    </w:rPr>
  </w:style>
  <w:style w:type="paragraph" w:customStyle="1" w:styleId="Typeacteprincipal">
    <w:name w:val="Type acte principal"/>
    <w:basedOn w:val="Normal"/>
    <w:next w:val="Objetacteprincipal"/>
    <w:pPr>
      <w:spacing w:after="240" w:line="240" w:lineRule="auto"/>
      <w:jc w:val="center"/>
    </w:pPr>
    <w:rPr>
      <w:rFonts w:eastAsia="Times New Roman" w:cs="Times New Roman"/>
      <w:b/>
      <w:sz w:val="24"/>
      <w:szCs w:val="24"/>
    </w:rPr>
  </w:style>
  <w:style w:type="paragraph" w:customStyle="1" w:styleId="Objetacteprincipal">
    <w:name w:val="Objet acte principal"/>
    <w:basedOn w:val="Normal"/>
    <w:next w:val="Titrearticle"/>
    <w:pPr>
      <w:spacing w:after="360" w:line="240" w:lineRule="auto"/>
      <w:jc w:val="center"/>
    </w:pPr>
    <w:rPr>
      <w:rFonts w:eastAsia="Times New Roman" w:cs="Times New Roman"/>
      <w:b/>
      <w:sz w:val="24"/>
      <w:szCs w:val="24"/>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line="240" w:lineRule="auto"/>
      <w:jc w:val="center"/>
    </w:pPr>
    <w:rPr>
      <w:rFonts w:eastAsia="Times New Roman" w:cs="Times New Roman"/>
      <w:sz w:val="24"/>
      <w:szCs w:val="24"/>
    </w:rPr>
  </w:style>
  <w:style w:type="paragraph" w:styleId="ListBullet">
    <w:name w:val="List Bullet"/>
    <w:basedOn w:val="Normal"/>
    <w:pPr>
      <w:numPr>
        <w:numId w:val="14"/>
      </w:numPr>
      <w:spacing w:before="120" w:after="120" w:line="240" w:lineRule="auto"/>
      <w:contextualSpacing/>
      <w:jc w:val="both"/>
    </w:pPr>
    <w:rPr>
      <w:rFonts w:eastAsia="Times New Roman" w:cs="Times New Roman"/>
      <w:sz w:val="24"/>
      <w:szCs w:val="24"/>
    </w:rPr>
  </w:style>
  <w:style w:type="paragraph" w:styleId="ListBullet2">
    <w:name w:val="List Bullet 2"/>
    <w:basedOn w:val="Normal"/>
    <w:pPr>
      <w:numPr>
        <w:numId w:val="15"/>
      </w:numPr>
      <w:spacing w:before="120" w:after="120" w:line="240" w:lineRule="auto"/>
      <w:contextualSpacing/>
      <w:jc w:val="both"/>
    </w:pPr>
    <w:rPr>
      <w:rFonts w:eastAsia="Times New Roman" w:cs="Times New Roman"/>
      <w:sz w:val="24"/>
      <w:szCs w:val="24"/>
    </w:rPr>
  </w:style>
  <w:style w:type="paragraph" w:styleId="ListBullet3">
    <w:name w:val="List Bullet 3"/>
    <w:basedOn w:val="Normal"/>
    <w:pPr>
      <w:numPr>
        <w:numId w:val="16"/>
      </w:numPr>
      <w:spacing w:before="120" w:after="120" w:line="240" w:lineRule="auto"/>
      <w:contextualSpacing/>
      <w:jc w:val="both"/>
    </w:pPr>
    <w:rPr>
      <w:rFonts w:eastAsia="Times New Roman" w:cs="Times New Roman"/>
      <w:sz w:val="24"/>
      <w:szCs w:val="24"/>
    </w:rPr>
  </w:style>
  <w:style w:type="paragraph" w:styleId="ListBullet4">
    <w:name w:val="List Bullet 4"/>
    <w:basedOn w:val="Normal"/>
    <w:pPr>
      <w:numPr>
        <w:numId w:val="17"/>
      </w:numPr>
      <w:spacing w:before="120" w:after="120" w:line="240" w:lineRule="auto"/>
      <w:contextualSpacing/>
      <w:jc w:val="both"/>
    </w:pPr>
    <w:rPr>
      <w:rFonts w:eastAsia="Times New Roman" w:cs="Times New Roman"/>
      <w:sz w:val="24"/>
      <w:szCs w:val="24"/>
    </w:rPr>
  </w:style>
  <w:style w:type="paragraph" w:customStyle="1" w:styleId="ListDash">
    <w:name w:val="List Dash"/>
    <w:basedOn w:val="Normal"/>
    <w:pPr>
      <w:numPr>
        <w:numId w:val="18"/>
      </w:numPr>
      <w:spacing w:before="120" w:after="120" w:line="240" w:lineRule="auto"/>
      <w:jc w:val="both"/>
    </w:pPr>
    <w:rPr>
      <w:rFonts w:eastAsia="Times New Roman" w:cs="Times New Roman"/>
      <w:sz w:val="24"/>
      <w:szCs w:val="24"/>
    </w:rPr>
  </w:style>
  <w:style w:type="character" w:styleId="Strong">
    <w:name w:val="Strong"/>
    <w:uiPriority w:val="22"/>
    <w:qFormat/>
    <w:rPr>
      <w:b/>
      <w:bCs/>
    </w:rPr>
  </w:style>
  <w:style w:type="paragraph" w:styleId="ListParagraph">
    <w:name w:val="List Paragraph"/>
    <w:basedOn w:val="Normal"/>
    <w:uiPriority w:val="34"/>
    <w:qFormat/>
    <w:pPr>
      <w:ind w:left="720"/>
      <w:contextualSpacing/>
    </w:pPr>
    <w:rPr>
      <w:rFonts w:ascii="Calibri" w:eastAsia="Times New Roman" w:hAnsi="Calibri" w:cs="Times New Roman"/>
    </w:rPr>
  </w:style>
  <w:style w:type="numbering" w:styleId="111111">
    <w:name w:val="Outline List 2"/>
    <w:basedOn w:val="NoList"/>
    <w:pPr>
      <w:numPr>
        <w:numId w:val="19"/>
      </w:numPr>
    </w:pPr>
  </w:style>
  <w:style w:type="character" w:styleId="PageNumber">
    <w:name w:val="page number"/>
  </w:style>
  <w:style w:type="paragraph" w:customStyle="1" w:styleId="Default">
    <w:name w:val="Default"/>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4"/>
    </w:rPr>
  </w:style>
  <w:style w:type="paragraph" w:styleId="Caption">
    <w:name w:val="caption"/>
    <w:basedOn w:val="Normal"/>
    <w:next w:val="Normal"/>
    <w:qFormat/>
    <w:pPr>
      <w:spacing w:before="120" w:after="120" w:line="240" w:lineRule="auto"/>
      <w:jc w:val="both"/>
    </w:pPr>
    <w:rPr>
      <w:rFonts w:eastAsia="Times New Roman" w:cs="Times New Roman"/>
      <w:b/>
      <w:bCs/>
      <w:sz w:val="20"/>
      <w:szCs w:val="20"/>
    </w:rPr>
  </w:style>
  <w:style w:type="paragraph" w:styleId="TableofFigures">
    <w:name w:val="table of figures"/>
    <w:basedOn w:val="Normal"/>
    <w:next w:val="Normal"/>
    <w:pPr>
      <w:spacing w:before="120" w:after="120" w:line="240" w:lineRule="auto"/>
      <w:jc w:val="both"/>
    </w:pPr>
    <w:rPr>
      <w:rFonts w:eastAsia="Times New Roman" w:cs="Times New Roman"/>
      <w:sz w:val="24"/>
      <w:szCs w:val="24"/>
    </w:rPr>
  </w:style>
  <w:style w:type="paragraph" w:styleId="ListNumber">
    <w:name w:val="List Number"/>
    <w:basedOn w:val="Normal"/>
    <w:pPr>
      <w:numPr>
        <w:numId w:val="21"/>
      </w:numPr>
      <w:spacing w:before="120" w:after="120" w:line="240" w:lineRule="auto"/>
      <w:contextualSpacing/>
      <w:jc w:val="both"/>
    </w:pPr>
    <w:rPr>
      <w:rFonts w:eastAsia="Times New Roman" w:cs="Times New Roman"/>
      <w:sz w:val="24"/>
      <w:szCs w:val="24"/>
    </w:rPr>
  </w:style>
  <w:style w:type="paragraph" w:styleId="ListNumber2">
    <w:name w:val="List Number 2"/>
    <w:basedOn w:val="Normal"/>
    <w:pPr>
      <w:numPr>
        <w:numId w:val="22"/>
      </w:numPr>
      <w:spacing w:before="120" w:after="120" w:line="240" w:lineRule="auto"/>
      <w:contextualSpacing/>
      <w:jc w:val="both"/>
    </w:pPr>
    <w:rPr>
      <w:rFonts w:eastAsia="Times New Roman" w:cs="Times New Roman"/>
      <w:sz w:val="24"/>
      <w:szCs w:val="24"/>
    </w:rPr>
  </w:style>
  <w:style w:type="paragraph" w:styleId="ListNumber3">
    <w:name w:val="List Number 3"/>
    <w:basedOn w:val="Normal"/>
    <w:pPr>
      <w:numPr>
        <w:numId w:val="23"/>
      </w:numPr>
      <w:spacing w:before="120" w:after="120" w:line="240" w:lineRule="auto"/>
      <w:contextualSpacing/>
      <w:jc w:val="both"/>
    </w:pPr>
    <w:rPr>
      <w:rFonts w:eastAsia="Times New Roman" w:cs="Times New Roman"/>
      <w:sz w:val="24"/>
      <w:szCs w:val="24"/>
    </w:rPr>
  </w:style>
  <w:style w:type="paragraph" w:styleId="ListNumber4">
    <w:name w:val="List Number 4"/>
    <w:basedOn w:val="Normal"/>
    <w:pPr>
      <w:numPr>
        <w:numId w:val="24"/>
      </w:numPr>
      <w:spacing w:before="120" w:after="120" w:line="240" w:lineRule="auto"/>
      <w:contextualSpacing/>
      <w:jc w:val="both"/>
    </w:pPr>
    <w:rPr>
      <w:rFonts w:eastAsia="Times New Roman" w:cs="Times New Roman"/>
      <w:sz w:val="24"/>
      <w:szCs w:val="24"/>
    </w:rPr>
  </w:style>
  <w:style w:type="character" w:customStyle="1" w:styleId="TypedudocumentChar">
    <w:name w:val="Type du document Char"/>
    <w:link w:val="Typedudocument"/>
    <w:rPr>
      <w:rFonts w:ascii="Times New Roman" w:eastAsia="Times New Roman" w:hAnsi="Times New Roman" w:cs="Times New Roman"/>
      <w:b/>
      <w:sz w:val="24"/>
      <w:szCs w:val="24"/>
    </w:rPr>
  </w:style>
  <w:style w:type="paragraph" w:styleId="DocumentMap">
    <w:name w:val="Document Map"/>
    <w:basedOn w:val="Normal"/>
    <w:link w:val="DocumentMapChar"/>
    <w:semiHidden/>
    <w:pPr>
      <w:shd w:val="clear" w:color="auto" w:fill="000080"/>
    </w:pPr>
    <w:rPr>
      <w:rFonts w:ascii="Tahoma" w:eastAsia="Calibri" w:hAnsi="Tahoma" w:cs="Tahoma"/>
    </w:rPr>
  </w:style>
  <w:style w:type="character" w:customStyle="1" w:styleId="DocumentMapChar">
    <w:name w:val="Document Map Char"/>
    <w:basedOn w:val="DefaultParagraphFont"/>
    <w:link w:val="DocumentMap"/>
    <w:semiHidden/>
    <w:rPr>
      <w:rFonts w:ascii="Tahoma" w:eastAsia="Calibri" w:hAnsi="Tahoma" w:cs="Tahoma"/>
      <w:shd w:val="clear" w:color="auto" w:fill="000080"/>
    </w:rPr>
  </w:style>
  <w:style w:type="paragraph" w:customStyle="1" w:styleId="EntInstit">
    <w:name w:val="EntInstit"/>
    <w:basedOn w:val="NormalConseil"/>
    <w:pPr>
      <w:jc w:val="right"/>
    </w:pPr>
    <w:rPr>
      <w:b/>
    </w:rPr>
  </w:style>
  <w:style w:type="paragraph" w:customStyle="1" w:styleId="NormalConseil">
    <w:name w:val="NormalConseil"/>
    <w:basedOn w:val="Normal"/>
    <w:pPr>
      <w:spacing w:after="0" w:line="240" w:lineRule="auto"/>
    </w:pPr>
    <w:rPr>
      <w:rFonts w:eastAsia="Times New Roman" w:cs="Times New Roman"/>
      <w:sz w:val="24"/>
      <w:szCs w:val="20"/>
    </w:rPr>
  </w:style>
  <w:style w:type="paragraph" w:customStyle="1" w:styleId="EntRefer">
    <w:name w:val="EntRefer"/>
    <w:basedOn w:val="NormalConseil"/>
    <w:rPr>
      <w:b/>
    </w:rPr>
  </w:style>
  <w:style w:type="paragraph" w:customStyle="1" w:styleId="EntEmet">
    <w:name w:val="EntEmet"/>
    <w:basedOn w:val="NormalConseil"/>
    <w:pPr>
      <w:tabs>
        <w:tab w:val="left" w:pos="284"/>
        <w:tab w:val="left" w:pos="567"/>
        <w:tab w:val="left" w:pos="851"/>
        <w:tab w:val="left" w:pos="1134"/>
        <w:tab w:val="left" w:pos="1418"/>
      </w:tabs>
      <w:spacing w:before="40"/>
    </w:pPr>
  </w:style>
  <w:style w:type="paragraph" w:customStyle="1" w:styleId="EntLogo">
    <w:name w:val="EntLogo"/>
    <w:basedOn w:val="NormalConseil"/>
    <w:next w:val="EntInstit"/>
    <w:pPr>
      <w:spacing w:line="360" w:lineRule="auto"/>
    </w:pPr>
    <w:rPr>
      <w:b/>
    </w:rPr>
  </w:style>
  <w:style w:type="paragraph" w:customStyle="1" w:styleId="FooterConseil">
    <w:name w:val="FooterConseil"/>
    <w:basedOn w:val="NormalConseil"/>
    <w:pPr>
      <w:tabs>
        <w:tab w:val="center" w:pos="4820"/>
        <w:tab w:val="center" w:pos="7371"/>
        <w:tab w:val="right" w:pos="9639"/>
      </w:tabs>
    </w:pPr>
  </w:style>
  <w:style w:type="paragraph" w:styleId="NormalWeb">
    <w:name w:val="Normal (Web)"/>
    <w:basedOn w:val="Normal"/>
    <w:uiPriority w:val="99"/>
    <w:unhideWhenUsed/>
    <w:rPr>
      <w:rFonts w:eastAsia="Calibri" w:cs="Times New Roman"/>
      <w:sz w:val="24"/>
      <w:szCs w:val="24"/>
    </w:rPr>
  </w:style>
  <w:style w:type="table" w:styleId="TableGrid">
    <w:name w:val="Table Grid"/>
    <w:basedOn w:val="TableNormal"/>
    <w:uiPriority w:val="5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numbering" w:customStyle="1" w:styleId="1111111">
    <w:name w:val="1 / 1.1 / 1.1.11"/>
    <w:basedOn w:val="NoList"/>
    <w:next w:val="111111"/>
  </w:style>
  <w:style w:type="table" w:customStyle="1" w:styleId="TableGrid1">
    <w:name w:val="Table Grid1"/>
    <w:basedOn w:val="TableNormal"/>
    <w:next w:val="TableGrid"/>
    <w:uiPriority w:val="5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style>
  <w:style w:type="table" w:styleId="LightList-Accent4">
    <w:name w:val="Light List Accent 4"/>
    <w:basedOn w:val="TableNormal"/>
    <w:uiPriority w:val="61"/>
    <w:pPr>
      <w:spacing w:after="0" w:line="240" w:lineRule="auto"/>
    </w:pPr>
    <w:rPr>
      <w:rFonts w:ascii="Calibri" w:eastAsia="Calibri" w:hAnsi="Calibri"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customStyle="1" w:styleId="footnotedefaultstyleChar">
    <w:name w:val="footnote default style Char"/>
    <w:basedOn w:val="DefaultParagraphFont"/>
    <w:link w:val="footnotedefaultstyle"/>
    <w:locked/>
    <w:rPr>
      <w:rFonts w:ascii="Verdana" w:hAnsi="Verdana"/>
    </w:rPr>
  </w:style>
  <w:style w:type="paragraph" w:customStyle="1" w:styleId="footnotedefaultstyle">
    <w:name w:val="footnote default style"/>
    <w:basedOn w:val="Normal"/>
    <w:link w:val="footnotedefaultstyleChar"/>
    <w:pPr>
      <w:spacing w:after="0" w:line="240" w:lineRule="auto"/>
      <w:ind w:left="357" w:hanging="357"/>
      <w:jc w:val="both"/>
    </w:pPr>
    <w:rPr>
      <w:rFonts w:ascii="Verdana" w:hAnsi="Verdana"/>
    </w:rPr>
  </w:style>
  <w:style w:type="paragraph" w:customStyle="1" w:styleId="rtejustify">
    <w:name w:val="rtejustify"/>
    <w:basedOn w:val="Normal"/>
    <w:pPr>
      <w:spacing w:before="100" w:beforeAutospacing="1" w:after="100" w:afterAutospacing="1" w:line="240" w:lineRule="auto"/>
    </w:pPr>
    <w:rPr>
      <w:rFonts w:eastAsia="Times New Roman" w:cs="Times New Roman"/>
      <w:sz w:val="24"/>
      <w:szCs w:val="24"/>
    </w:rPr>
  </w:style>
  <w:style w:type="paragraph" w:customStyle="1" w:styleId="Declassification">
    <w:name w:val="Declassification"/>
    <w:basedOn w:val="Normal"/>
    <w:next w:val="Normal"/>
    <w:pPr>
      <w:spacing w:after="0" w:line="240" w:lineRule="auto"/>
      <w:jc w:val="both"/>
    </w:pPr>
    <w:rPr>
      <w:rFonts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paragraph" w:customStyle="1" w:styleId="doc-ti">
    <w:name w:val="doc-ti"/>
    <w:basedOn w:val="Normal"/>
    <w:pPr>
      <w:spacing w:before="100" w:beforeAutospacing="1" w:after="100" w:afterAutospacing="1" w:line="240" w:lineRule="auto"/>
    </w:pPr>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l-GR" w:bidi="el-G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table of figures" w:uiPriority="0"/>
    <w:lsdException w:name="footnote reference" w:uiPriority="0"/>
    <w:lsdException w:name="page number" w:uiPriority="0"/>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rPr>
  </w:style>
  <w:style w:type="paragraph" w:styleId="Heading1">
    <w:name w:val="heading 1"/>
    <w:basedOn w:val="Normal"/>
    <w:next w:val="Normal"/>
    <w:link w:val="Heading1Char"/>
    <w:qFormat/>
    <w:pPr>
      <w:keepNext/>
      <w:spacing w:before="360" w:after="120" w:line="240" w:lineRule="auto"/>
      <w:jc w:val="both"/>
      <w:outlineLvl w:val="0"/>
    </w:pPr>
    <w:rPr>
      <w:rFonts w:eastAsia="Times New Roman" w:cs="Times New Roman"/>
      <w:b/>
      <w:bCs/>
      <w:kern w:val="32"/>
      <w:sz w:val="32"/>
      <w:szCs w:val="32"/>
    </w:rPr>
  </w:style>
  <w:style w:type="paragraph" w:styleId="Heading2">
    <w:name w:val="heading 2"/>
    <w:basedOn w:val="Normal"/>
    <w:next w:val="Normal"/>
    <w:link w:val="Heading2Char"/>
    <w:qFormat/>
    <w:pPr>
      <w:keepNext/>
      <w:numPr>
        <w:ilvl w:val="1"/>
        <w:numId w:val="35"/>
      </w:numPr>
      <w:spacing w:after="240" w:line="240" w:lineRule="auto"/>
      <w:jc w:val="both"/>
      <w:outlineLvl w:val="1"/>
    </w:pPr>
    <w:rPr>
      <w:rFonts w:eastAsia="Times New Roman" w:cs="Times New Roman"/>
      <w:b/>
      <w:bCs/>
      <w:i/>
      <w:iCs/>
      <w:sz w:val="28"/>
      <w:szCs w:val="28"/>
    </w:rPr>
  </w:style>
  <w:style w:type="paragraph" w:styleId="Heading3">
    <w:name w:val="heading 3"/>
    <w:basedOn w:val="Normal"/>
    <w:next w:val="Normal"/>
    <w:link w:val="Heading3Char"/>
    <w:qFormat/>
    <w:pPr>
      <w:keepNext/>
      <w:numPr>
        <w:ilvl w:val="2"/>
        <w:numId w:val="1"/>
      </w:numPr>
      <w:spacing w:before="120" w:after="120" w:line="240" w:lineRule="auto"/>
      <w:jc w:val="both"/>
      <w:outlineLvl w:val="2"/>
    </w:pPr>
    <w:rPr>
      <w:rFonts w:eastAsia="Times New Roman" w:cs="Times New Roman"/>
      <w:bCs/>
      <w:i/>
      <w:sz w:val="24"/>
      <w:szCs w:val="26"/>
    </w:rPr>
  </w:style>
  <w:style w:type="paragraph" w:styleId="Heading4">
    <w:name w:val="heading 4"/>
    <w:basedOn w:val="Normal"/>
    <w:next w:val="Normal"/>
    <w:link w:val="Heading4Char"/>
    <w:qFormat/>
    <w:pPr>
      <w:keepNext/>
      <w:numPr>
        <w:ilvl w:val="3"/>
        <w:numId w:val="1"/>
      </w:numPr>
      <w:spacing w:before="120" w:after="120" w:line="240" w:lineRule="auto"/>
      <w:jc w:val="both"/>
      <w:outlineLvl w:val="3"/>
    </w:pPr>
    <w:rPr>
      <w:rFonts w:eastAsia="Times New Roman" w:cs="Times New Roman"/>
      <w:bCs/>
      <w:sz w:val="24"/>
      <w:szCs w:val="28"/>
    </w:rPr>
  </w:style>
  <w:style w:type="paragraph" w:styleId="Heading5">
    <w:name w:val="heading 5"/>
    <w:basedOn w:val="Normal"/>
    <w:next w:val="Normal"/>
    <w:link w:val="Heading5Char"/>
    <w:uiPriority w:val="9"/>
    <w:semiHidden/>
    <w:unhideWhenUsed/>
    <w:qFormat/>
    <w:pPr>
      <w:numPr>
        <w:ilvl w:val="4"/>
        <w:numId w:val="1"/>
      </w:numPr>
      <w:spacing w:before="240" w:after="6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semiHidden/>
    <w:unhideWhenUsed/>
    <w:qFormat/>
    <w:pPr>
      <w:numPr>
        <w:ilvl w:val="5"/>
        <w:numId w:val="1"/>
      </w:numPr>
      <w:spacing w:before="240" w:after="60"/>
      <w:outlineLvl w:val="5"/>
    </w:pPr>
    <w:rPr>
      <w:rFonts w:ascii="Calibri" w:eastAsia="Times New Roman" w:hAnsi="Calibri" w:cs="Times New Roman"/>
      <w:b/>
      <w:bCs/>
    </w:rPr>
  </w:style>
  <w:style w:type="paragraph" w:styleId="Heading7">
    <w:name w:val="heading 7"/>
    <w:basedOn w:val="Normal"/>
    <w:next w:val="Normal"/>
    <w:link w:val="Heading7Char"/>
    <w:uiPriority w:val="9"/>
    <w:semiHidden/>
    <w:unhideWhenUsed/>
    <w:qFormat/>
    <w:pPr>
      <w:numPr>
        <w:ilvl w:val="6"/>
        <w:numId w:val="1"/>
      </w:numPr>
      <w:spacing w:before="240" w:after="60"/>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pPr>
      <w:numPr>
        <w:ilvl w:val="7"/>
        <w:numId w:val="1"/>
      </w:numPr>
      <w:spacing w:before="240" w:after="60"/>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semiHidden/>
    <w:unhideWhenUsed/>
    <w:qFormat/>
    <w:pPr>
      <w:numPr>
        <w:ilvl w:val="8"/>
        <w:numId w:val="1"/>
      </w:numPr>
      <w:spacing w:before="240" w:after="60"/>
      <w:outlineLvl w:val="8"/>
    </w:pPr>
    <w:rPr>
      <w:rFonts w:ascii="Cambria" w:eastAsia="Times New Roman" w:hAnsi="Cambria"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sz w:val="24"/>
    </w:rPr>
  </w:style>
  <w:style w:type="character" w:customStyle="1" w:styleId="FooterCoverPageChar">
    <w:name w:val="Footer Cover Page Char"/>
    <w:basedOn w:val="DefaultParagraphFont"/>
    <w:link w:val="FooterCoverPage"/>
    <w:rPr>
      <w:rFonts w:ascii="Times New Roman" w:hAnsi="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sz w:val="24"/>
    </w:rPr>
  </w:style>
  <w:style w:type="character" w:customStyle="1" w:styleId="HeaderCoverPageChar">
    <w:name w:val="Header Cover Page Char"/>
    <w:basedOn w:val="DefaultParagraphFont"/>
    <w:link w:val="HeaderCoverPage"/>
    <w:rPr>
      <w:rFonts w:ascii="Times New Roman" w:hAnsi="Times New Roman"/>
      <w:sz w:val="24"/>
    </w:rPr>
  </w:style>
  <w:style w:type="character" w:customStyle="1" w:styleId="Heading1Char">
    <w:name w:val="Heading 1 Char"/>
    <w:basedOn w:val="DefaultParagraphFont"/>
    <w:link w:val="Heading1"/>
    <w:rPr>
      <w:rFonts w:ascii="Times New Roman" w:eastAsia="Times New Roman" w:hAnsi="Times New Roman" w:cs="Times New Roman"/>
      <w:b/>
      <w:bCs/>
      <w:kern w:val="32"/>
      <w:sz w:val="32"/>
      <w:szCs w:val="32"/>
    </w:rPr>
  </w:style>
  <w:style w:type="character" w:customStyle="1" w:styleId="Heading2Char">
    <w:name w:val="Heading 2 Char"/>
    <w:basedOn w:val="DefaultParagraphFont"/>
    <w:link w:val="Heading2"/>
    <w:rPr>
      <w:rFonts w:ascii="Times New Roman" w:eastAsia="Times New Roman" w:hAnsi="Times New Roman" w:cs="Times New Roman"/>
      <w:b/>
      <w:bCs/>
      <w:i/>
      <w:iCs/>
      <w:sz w:val="28"/>
      <w:szCs w:val="28"/>
    </w:rPr>
  </w:style>
  <w:style w:type="character" w:customStyle="1" w:styleId="Heading3Char">
    <w:name w:val="Heading 3 Char"/>
    <w:basedOn w:val="DefaultParagraphFont"/>
    <w:link w:val="Heading3"/>
    <w:rPr>
      <w:rFonts w:ascii="Times New Roman" w:eastAsia="Times New Roman" w:hAnsi="Times New Roman" w:cs="Times New Roman"/>
      <w:bCs/>
      <w:i/>
      <w:sz w:val="24"/>
      <w:szCs w:val="26"/>
    </w:rPr>
  </w:style>
  <w:style w:type="character" w:customStyle="1" w:styleId="Heading4Char">
    <w:name w:val="Heading 4 Char"/>
    <w:basedOn w:val="DefaultParagraphFont"/>
    <w:link w:val="Heading4"/>
    <w:rPr>
      <w:rFonts w:ascii="Times New Roman" w:eastAsia="Times New Roman" w:hAnsi="Times New Roman" w:cs="Times New Roman"/>
      <w:bCs/>
      <w:sz w:val="24"/>
      <w:szCs w:val="28"/>
    </w:rPr>
  </w:style>
  <w:style w:type="character" w:customStyle="1" w:styleId="Heading5Char">
    <w:name w:val="Heading 5 Char"/>
    <w:basedOn w:val="DefaultParagraphFont"/>
    <w:link w:val="Heading5"/>
    <w:uiPriority w:val="9"/>
    <w:semiHidden/>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Pr>
      <w:rFonts w:ascii="Calibri" w:eastAsia="Times New Roman" w:hAnsi="Calibri" w:cs="Times New Roman"/>
      <w:b/>
      <w:bCs/>
    </w:rPr>
  </w:style>
  <w:style w:type="character" w:customStyle="1" w:styleId="Heading7Char">
    <w:name w:val="Heading 7 Char"/>
    <w:basedOn w:val="DefaultParagraphFont"/>
    <w:link w:val="Heading7"/>
    <w:uiPriority w:val="9"/>
    <w:semiHidden/>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Pr>
      <w:rFonts w:ascii="Cambria" w:eastAsia="Times New Roman" w:hAnsi="Cambria" w:cs="Times New Roman"/>
    </w:rPr>
  </w:style>
  <w:style w:type="paragraph" w:styleId="TOC1">
    <w:name w:val="toc 1"/>
    <w:basedOn w:val="Normal"/>
    <w:next w:val="Normal"/>
    <w:autoRedefine/>
    <w:uiPriority w:val="39"/>
    <w:unhideWhenUsed/>
    <w:pPr>
      <w:tabs>
        <w:tab w:val="left" w:pos="440"/>
        <w:tab w:val="right" w:leader="dot" w:pos="9063"/>
      </w:tabs>
    </w:pPr>
    <w:rPr>
      <w:rFonts w:eastAsia="Calibri" w:cs="Times New Roman"/>
      <w:noProof/>
      <w:sz w:val="24"/>
      <w:szCs w:val="24"/>
    </w:rPr>
  </w:style>
  <w:style w:type="paragraph" w:styleId="TOC3">
    <w:name w:val="toc 3"/>
    <w:basedOn w:val="Normal"/>
    <w:next w:val="Normal"/>
    <w:autoRedefine/>
    <w:uiPriority w:val="39"/>
    <w:unhideWhenUsed/>
    <w:pPr>
      <w:ind w:left="440"/>
    </w:pPr>
    <w:rPr>
      <w:rFonts w:ascii="Calibri" w:eastAsia="Calibri" w:hAnsi="Calibri" w:cs="Times New Roman"/>
    </w:rPr>
  </w:style>
  <w:style w:type="paragraph" w:styleId="TOC2">
    <w:name w:val="toc 2"/>
    <w:basedOn w:val="Normal"/>
    <w:next w:val="Normal"/>
    <w:autoRedefine/>
    <w:uiPriority w:val="39"/>
    <w:unhideWhenUsed/>
    <w:pPr>
      <w:tabs>
        <w:tab w:val="left" w:pos="880"/>
        <w:tab w:val="right" w:leader="dot" w:pos="9063"/>
      </w:tabs>
      <w:spacing w:after="100"/>
      <w:ind w:left="142"/>
    </w:pPr>
    <w:rPr>
      <w:rFonts w:eastAsia="Arial Unicode MS" w:cs="Times New Roman"/>
      <w:noProof/>
      <w:sz w:val="24"/>
      <w:szCs w:val="24"/>
    </w:rPr>
  </w:style>
  <w:style w:type="paragraph" w:styleId="TOC4">
    <w:name w:val="toc 4"/>
    <w:basedOn w:val="Normal"/>
    <w:next w:val="Normal"/>
    <w:autoRedefine/>
    <w:uiPriority w:val="39"/>
    <w:unhideWhenUsed/>
    <w:pPr>
      <w:spacing w:after="100"/>
      <w:ind w:left="660"/>
    </w:pPr>
    <w:rPr>
      <w:rFonts w:ascii="Calibri" w:eastAsia="Times New Roman" w:hAnsi="Calibri" w:cs="Times New Roman"/>
    </w:rPr>
  </w:style>
  <w:style w:type="paragraph" w:styleId="TOC5">
    <w:name w:val="toc 5"/>
    <w:basedOn w:val="Normal"/>
    <w:next w:val="Normal"/>
    <w:autoRedefine/>
    <w:uiPriority w:val="39"/>
    <w:unhideWhenUsed/>
    <w:pPr>
      <w:spacing w:after="100"/>
      <w:ind w:left="880"/>
    </w:pPr>
    <w:rPr>
      <w:rFonts w:ascii="Calibri" w:eastAsia="Times New Roman" w:hAnsi="Calibri" w:cs="Times New Roman"/>
    </w:rPr>
  </w:style>
  <w:style w:type="paragraph" w:styleId="TOC6">
    <w:name w:val="toc 6"/>
    <w:basedOn w:val="Normal"/>
    <w:next w:val="Normal"/>
    <w:autoRedefine/>
    <w:uiPriority w:val="39"/>
    <w:unhideWhenUsed/>
    <w:pPr>
      <w:spacing w:after="100"/>
      <w:ind w:left="1100"/>
    </w:pPr>
    <w:rPr>
      <w:rFonts w:ascii="Calibri" w:eastAsia="Times New Roman" w:hAnsi="Calibri" w:cs="Times New Roman"/>
    </w:rPr>
  </w:style>
  <w:style w:type="paragraph" w:styleId="TOC7">
    <w:name w:val="toc 7"/>
    <w:basedOn w:val="Normal"/>
    <w:next w:val="Normal"/>
    <w:autoRedefine/>
    <w:uiPriority w:val="39"/>
    <w:unhideWhenUsed/>
    <w:pPr>
      <w:spacing w:after="100"/>
      <w:ind w:left="1320"/>
    </w:pPr>
    <w:rPr>
      <w:rFonts w:ascii="Calibri" w:eastAsia="Times New Roman" w:hAnsi="Calibri" w:cs="Times New Roman"/>
    </w:rPr>
  </w:style>
  <w:style w:type="paragraph" w:styleId="TOC8">
    <w:name w:val="toc 8"/>
    <w:basedOn w:val="Normal"/>
    <w:next w:val="Normal"/>
    <w:autoRedefine/>
    <w:uiPriority w:val="39"/>
    <w:unhideWhenUsed/>
    <w:pPr>
      <w:spacing w:after="100"/>
      <w:ind w:left="1540"/>
    </w:pPr>
    <w:rPr>
      <w:rFonts w:ascii="Calibri" w:eastAsia="Times New Roman" w:hAnsi="Calibri" w:cs="Times New Roman"/>
    </w:rPr>
  </w:style>
  <w:style w:type="paragraph" w:styleId="TOC9">
    <w:name w:val="toc 9"/>
    <w:basedOn w:val="Normal"/>
    <w:next w:val="Normal"/>
    <w:autoRedefine/>
    <w:uiPriority w:val="39"/>
    <w:unhideWhenUsed/>
    <w:pPr>
      <w:spacing w:after="100"/>
      <w:ind w:left="1760"/>
    </w:pPr>
    <w:rPr>
      <w:rFonts w:ascii="Calibri" w:eastAsia="Times New Roman" w:hAnsi="Calibri" w:cs="Times New Roman"/>
    </w:rPr>
  </w:style>
  <w:style w:type="character" w:styleId="Hyperlink">
    <w:name w:val="Hyperlink"/>
    <w:uiPriority w:val="99"/>
    <w:unhideWhenUsed/>
    <w:rPr>
      <w:color w:val="0000FF"/>
      <w:u w:val="single"/>
    </w:rPr>
  </w:style>
  <w:style w:type="paragraph" w:styleId="PlainText">
    <w:name w:val="Plain Text"/>
    <w:basedOn w:val="Normal"/>
    <w:link w:val="PlainTextChar"/>
    <w:pPr>
      <w:spacing w:after="24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rPr>
      <w:rFonts w:ascii="Courier New" w:eastAsia="Times New Roman" w:hAnsi="Courier New" w:cs="Times New Roman"/>
      <w:sz w:val="20"/>
      <w:szCs w:val="20"/>
    </w:rPr>
  </w:style>
  <w:style w:type="character" w:styleId="FollowedHyperlink">
    <w:name w:val="FollowedHyperlink"/>
    <w:unhideWhenUsed/>
    <w:rPr>
      <w:color w:val="800080"/>
      <w:u w:val="single"/>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nhideWhenUsed/>
    <w:rPr>
      <w:rFonts w:ascii="Calibri" w:eastAsia="Calibri" w:hAnsi="Calibri" w:cs="Times New Roman"/>
      <w:sz w:val="20"/>
      <w:szCs w:val="20"/>
    </w:rPr>
  </w:style>
  <w:style w:type="character" w:customStyle="1" w:styleId="CommentTextChar">
    <w:name w:val="Comment Text Char"/>
    <w:basedOn w:val="DefaultParagraphFont"/>
    <w:link w:val="CommentText"/>
    <w:rPr>
      <w:rFonts w:ascii="Calibri" w:eastAsia="Calibri" w:hAnsi="Calibri" w:cs="Times New Roman"/>
      <w:sz w:val="20"/>
      <w:szCs w:val="20"/>
    </w:rPr>
  </w:style>
  <w:style w:type="paragraph" w:styleId="CommentSubject">
    <w:name w:val="annotation subject"/>
    <w:basedOn w:val="CommentText"/>
    <w:next w:val="CommentText"/>
    <w:link w:val="CommentSubjectChar"/>
    <w:unhideWhenUsed/>
    <w:rPr>
      <w:b/>
      <w:bCs/>
    </w:rPr>
  </w:style>
  <w:style w:type="character" w:customStyle="1" w:styleId="CommentSubjectChar">
    <w:name w:val="Comment Subject Char"/>
    <w:basedOn w:val="CommentTextChar"/>
    <w:link w:val="CommentSubject"/>
    <w:rPr>
      <w:rFonts w:ascii="Calibri" w:eastAsia="Calibri" w:hAnsi="Calibri" w:cs="Times New Roman"/>
      <w:b/>
      <w:bCs/>
      <w:sz w:val="20"/>
      <w:szCs w:val="20"/>
    </w:rPr>
  </w:style>
  <w:style w:type="paragraph" w:styleId="BalloonText">
    <w:name w:val="Balloon Text"/>
    <w:basedOn w:val="Normal"/>
    <w:link w:val="BalloonTextChar"/>
    <w:uiPriority w:val="99"/>
    <w:unhideWhenUsed/>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rPr>
      <w:rFonts w:ascii="Tahoma" w:eastAsia="Calibri" w:hAnsi="Tahoma" w:cs="Tahoma"/>
      <w:sz w:val="16"/>
      <w:szCs w:val="16"/>
    </w:rPr>
  </w:style>
  <w:style w:type="paragraph" w:styleId="FootnoteText">
    <w:name w:val="footnote text"/>
    <w:basedOn w:val="Normal"/>
    <w:semiHidden/>
    <w:unhideWhenUsed/>
    <w:rPr>
      <w:rFonts w:ascii="Calibri" w:eastAsia="Calibri" w:hAnsi="Calibri" w:cs="Times New Roman"/>
      <w:sz w:val="20"/>
      <w:szCs w:val="20"/>
    </w:rPr>
  </w:style>
  <w:style w:type="character" w:customStyle="1" w:styleId="FootnoteTextChar">
    <w:name w:val="Footnote Text Char"/>
    <w:basedOn w:val="DefaultParagraphFont"/>
    <w:semiHidden/>
    <w:rPr>
      <w:rFonts w:ascii="Calibri" w:eastAsia="Calibri" w:hAnsi="Calibri" w:cs="Times New Roman"/>
      <w:sz w:val="20"/>
      <w:szCs w:val="20"/>
    </w:rPr>
  </w:style>
  <w:style w:type="character" w:styleId="FootnoteReference">
    <w:name w:val="footnote reference"/>
    <w:aliases w:val="Footnote symbol,Footnote,Voetnootverwijzing,Times 10 Point,Exposant 3 Point,Appel note de bas de p,BVI fnr,Footnote Refernece,Fußnotenzeichen_Raxen,callout,Footnote Reference Number,SUPERS,Footnote reference number,note TESI,fr,o"/>
    <w:unhideWhenUsed/>
    <w:rPr>
      <w:vertAlign w:val="superscript"/>
    </w:rPr>
  </w:style>
  <w:style w:type="paragraph" w:customStyle="1" w:styleId="HeaderLandscape">
    <w:name w:val="HeaderLandscape"/>
    <w:basedOn w:val="Normal"/>
    <w:pPr>
      <w:tabs>
        <w:tab w:val="center" w:pos="7285"/>
        <w:tab w:val="right" w:pos="14003"/>
      </w:tabs>
      <w:spacing w:after="120" w:line="240" w:lineRule="auto"/>
      <w:jc w:val="both"/>
    </w:pPr>
    <w:rPr>
      <w:rFonts w:cs="Times New Roman"/>
      <w:sz w:val="24"/>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cs="Times New Roman"/>
      <w:sz w:val="24"/>
    </w:rPr>
  </w:style>
  <w:style w:type="paragraph" w:customStyle="1" w:styleId="Text1">
    <w:name w:val="Text 1"/>
    <w:basedOn w:val="Normal"/>
    <w:pPr>
      <w:spacing w:before="120" w:after="120" w:line="240" w:lineRule="auto"/>
      <w:ind w:left="850"/>
      <w:jc w:val="both"/>
    </w:pPr>
    <w:rPr>
      <w:rFonts w:eastAsia="Times New Roman" w:cs="Times New Roman"/>
      <w:sz w:val="24"/>
      <w:szCs w:val="24"/>
    </w:rPr>
  </w:style>
  <w:style w:type="paragraph" w:customStyle="1" w:styleId="Text2">
    <w:name w:val="Text 2"/>
    <w:basedOn w:val="Normal"/>
    <w:pPr>
      <w:spacing w:before="120" w:after="120" w:line="240" w:lineRule="auto"/>
      <w:ind w:left="1417"/>
      <w:jc w:val="both"/>
    </w:pPr>
    <w:rPr>
      <w:rFonts w:eastAsia="Times New Roman" w:cs="Times New Roman"/>
      <w:sz w:val="24"/>
      <w:szCs w:val="24"/>
    </w:rPr>
  </w:style>
  <w:style w:type="paragraph" w:customStyle="1" w:styleId="Text3">
    <w:name w:val="Text 3"/>
    <w:basedOn w:val="Normal"/>
    <w:pPr>
      <w:spacing w:before="120" w:after="120" w:line="240" w:lineRule="auto"/>
      <w:ind w:left="1984"/>
      <w:jc w:val="both"/>
    </w:pPr>
    <w:rPr>
      <w:rFonts w:eastAsia="Times New Roman" w:cs="Times New Roman"/>
      <w:sz w:val="24"/>
      <w:szCs w:val="24"/>
    </w:rPr>
  </w:style>
  <w:style w:type="paragraph" w:customStyle="1" w:styleId="Text4">
    <w:name w:val="Text 4"/>
    <w:basedOn w:val="Normal"/>
    <w:pPr>
      <w:spacing w:before="120" w:after="120" w:line="240" w:lineRule="auto"/>
      <w:ind w:left="2551"/>
      <w:jc w:val="both"/>
    </w:pPr>
    <w:rPr>
      <w:rFonts w:eastAsia="Times New Roman" w:cs="Times New Roman"/>
      <w:sz w:val="24"/>
      <w:szCs w:val="24"/>
    </w:rPr>
  </w:style>
  <w:style w:type="paragraph" w:customStyle="1" w:styleId="NormalCentered">
    <w:name w:val="Normal Centered"/>
    <w:basedOn w:val="Normal"/>
    <w:pPr>
      <w:spacing w:before="120" w:after="120" w:line="240" w:lineRule="auto"/>
      <w:jc w:val="center"/>
    </w:pPr>
    <w:rPr>
      <w:rFonts w:eastAsia="Times New Roman" w:cs="Times New Roman"/>
      <w:sz w:val="24"/>
      <w:szCs w:val="24"/>
    </w:rPr>
  </w:style>
  <w:style w:type="paragraph" w:customStyle="1" w:styleId="NormalLeft">
    <w:name w:val="Normal Left"/>
    <w:basedOn w:val="Normal"/>
    <w:pPr>
      <w:spacing w:before="120" w:after="120" w:line="240" w:lineRule="auto"/>
    </w:pPr>
    <w:rPr>
      <w:rFonts w:eastAsia="Times New Roman" w:cs="Times New Roman"/>
      <w:sz w:val="24"/>
      <w:szCs w:val="24"/>
    </w:rPr>
  </w:style>
  <w:style w:type="paragraph" w:customStyle="1" w:styleId="NormalRight">
    <w:name w:val="Normal Right"/>
    <w:basedOn w:val="Normal"/>
    <w:pPr>
      <w:spacing w:before="120" w:after="120" w:line="240" w:lineRule="auto"/>
      <w:jc w:val="right"/>
    </w:pPr>
    <w:rPr>
      <w:rFonts w:eastAsia="Times New Roman" w:cs="Times New Roman"/>
      <w:sz w:val="24"/>
      <w:szCs w:val="24"/>
    </w:rPr>
  </w:style>
  <w:style w:type="paragraph" w:customStyle="1" w:styleId="QuotedText">
    <w:name w:val="Quoted Text"/>
    <w:basedOn w:val="Normal"/>
    <w:pPr>
      <w:spacing w:before="120" w:after="120" w:line="240" w:lineRule="auto"/>
      <w:ind w:left="1417"/>
      <w:jc w:val="both"/>
    </w:pPr>
    <w:rPr>
      <w:rFonts w:eastAsia="Times New Roman" w:cs="Times New Roman"/>
      <w:sz w:val="24"/>
      <w:szCs w:val="24"/>
    </w:rPr>
  </w:style>
  <w:style w:type="paragraph" w:customStyle="1" w:styleId="Point0">
    <w:name w:val="Point 0"/>
    <w:basedOn w:val="Normal"/>
    <w:pPr>
      <w:spacing w:before="120" w:after="120" w:line="240" w:lineRule="auto"/>
      <w:ind w:left="850" w:hanging="850"/>
      <w:jc w:val="both"/>
    </w:pPr>
    <w:rPr>
      <w:rFonts w:eastAsia="Times New Roman" w:cs="Times New Roman"/>
      <w:sz w:val="24"/>
      <w:szCs w:val="24"/>
    </w:rPr>
  </w:style>
  <w:style w:type="paragraph" w:customStyle="1" w:styleId="Point1">
    <w:name w:val="Point 1"/>
    <w:basedOn w:val="Normal"/>
    <w:pPr>
      <w:spacing w:before="120" w:after="120" w:line="240" w:lineRule="auto"/>
      <w:ind w:left="1417" w:hanging="567"/>
      <w:jc w:val="both"/>
    </w:pPr>
    <w:rPr>
      <w:rFonts w:eastAsia="Times New Roman" w:cs="Times New Roman"/>
      <w:sz w:val="24"/>
      <w:szCs w:val="24"/>
    </w:rPr>
  </w:style>
  <w:style w:type="paragraph" w:customStyle="1" w:styleId="Point2">
    <w:name w:val="Point 2"/>
    <w:basedOn w:val="Normal"/>
    <w:pPr>
      <w:spacing w:before="120" w:after="120" w:line="240" w:lineRule="auto"/>
      <w:ind w:left="1984" w:hanging="567"/>
      <w:jc w:val="both"/>
    </w:pPr>
    <w:rPr>
      <w:rFonts w:eastAsia="Times New Roman" w:cs="Times New Roman"/>
      <w:sz w:val="24"/>
      <w:szCs w:val="24"/>
    </w:rPr>
  </w:style>
  <w:style w:type="paragraph" w:customStyle="1" w:styleId="Point3">
    <w:name w:val="Point 3"/>
    <w:basedOn w:val="Normal"/>
    <w:pPr>
      <w:spacing w:before="120" w:after="120" w:line="240" w:lineRule="auto"/>
      <w:ind w:left="2551" w:hanging="567"/>
      <w:jc w:val="both"/>
    </w:pPr>
    <w:rPr>
      <w:rFonts w:eastAsia="Times New Roman" w:cs="Times New Roman"/>
      <w:sz w:val="24"/>
      <w:szCs w:val="24"/>
    </w:rPr>
  </w:style>
  <w:style w:type="paragraph" w:customStyle="1" w:styleId="Point4">
    <w:name w:val="Point 4"/>
    <w:basedOn w:val="Normal"/>
    <w:pPr>
      <w:spacing w:before="120" w:after="120" w:line="240" w:lineRule="auto"/>
      <w:ind w:left="3118" w:hanging="567"/>
      <w:jc w:val="both"/>
    </w:pPr>
    <w:rPr>
      <w:rFonts w:eastAsia="Times New Roman" w:cs="Times New Roman"/>
      <w:sz w:val="24"/>
      <w:szCs w:val="24"/>
    </w:rPr>
  </w:style>
  <w:style w:type="paragraph" w:customStyle="1" w:styleId="Tiret0">
    <w:name w:val="Tiret 0"/>
    <w:basedOn w:val="Point0"/>
    <w:pPr>
      <w:numPr>
        <w:numId w:val="2"/>
      </w:numPr>
    </w:pPr>
  </w:style>
  <w:style w:type="paragraph" w:customStyle="1" w:styleId="Tiret1">
    <w:name w:val="Tiret 1"/>
    <w:basedOn w:val="Point1"/>
    <w:pPr>
      <w:numPr>
        <w:numId w:val="3"/>
      </w:numPr>
    </w:pPr>
  </w:style>
  <w:style w:type="paragraph" w:customStyle="1" w:styleId="Tiret2">
    <w:name w:val="Tiret 2"/>
    <w:basedOn w:val="Point2"/>
    <w:pPr>
      <w:numPr>
        <w:numId w:val="4"/>
      </w:numPr>
    </w:pPr>
  </w:style>
  <w:style w:type="paragraph" w:customStyle="1" w:styleId="Tiret3">
    <w:name w:val="Tiret 3"/>
    <w:basedOn w:val="Point3"/>
    <w:pPr>
      <w:numPr>
        <w:numId w:val="5"/>
      </w:numPr>
    </w:pPr>
  </w:style>
  <w:style w:type="paragraph" w:customStyle="1" w:styleId="Tiret4">
    <w:name w:val="Tiret 4"/>
    <w:basedOn w:val="Point4"/>
    <w:pPr>
      <w:numPr>
        <w:numId w:val="6"/>
      </w:numPr>
    </w:pPr>
  </w:style>
  <w:style w:type="paragraph" w:customStyle="1" w:styleId="PointDouble0">
    <w:name w:val="PointDouble 0"/>
    <w:basedOn w:val="Normal"/>
    <w:pPr>
      <w:tabs>
        <w:tab w:val="left" w:pos="850"/>
      </w:tabs>
      <w:spacing w:before="120" w:after="120" w:line="240" w:lineRule="auto"/>
      <w:ind w:left="1417" w:hanging="1417"/>
      <w:jc w:val="both"/>
    </w:pPr>
    <w:rPr>
      <w:rFonts w:eastAsia="Times New Roman" w:cs="Times New Roman"/>
      <w:sz w:val="24"/>
      <w:szCs w:val="24"/>
    </w:rPr>
  </w:style>
  <w:style w:type="paragraph" w:customStyle="1" w:styleId="PointDouble1">
    <w:name w:val="PointDouble 1"/>
    <w:basedOn w:val="Normal"/>
    <w:pPr>
      <w:tabs>
        <w:tab w:val="left" w:pos="1417"/>
      </w:tabs>
      <w:spacing w:before="120" w:after="120" w:line="240" w:lineRule="auto"/>
      <w:ind w:left="1984" w:hanging="1134"/>
      <w:jc w:val="both"/>
    </w:pPr>
    <w:rPr>
      <w:rFonts w:eastAsia="Times New Roman" w:cs="Times New Roman"/>
      <w:sz w:val="24"/>
      <w:szCs w:val="24"/>
    </w:rPr>
  </w:style>
  <w:style w:type="paragraph" w:customStyle="1" w:styleId="PointDouble2">
    <w:name w:val="PointDouble 2"/>
    <w:basedOn w:val="Normal"/>
    <w:pPr>
      <w:tabs>
        <w:tab w:val="left" w:pos="1984"/>
      </w:tabs>
      <w:spacing w:before="120" w:after="120" w:line="240" w:lineRule="auto"/>
      <w:ind w:left="2551" w:hanging="1134"/>
      <w:jc w:val="both"/>
    </w:pPr>
    <w:rPr>
      <w:rFonts w:eastAsia="Times New Roman" w:cs="Times New Roman"/>
      <w:sz w:val="24"/>
      <w:szCs w:val="24"/>
    </w:rPr>
  </w:style>
  <w:style w:type="paragraph" w:customStyle="1" w:styleId="PointDouble3">
    <w:name w:val="PointDouble 3"/>
    <w:basedOn w:val="Normal"/>
    <w:pPr>
      <w:tabs>
        <w:tab w:val="left" w:pos="2551"/>
      </w:tabs>
      <w:spacing w:before="120" w:after="120" w:line="240" w:lineRule="auto"/>
      <w:ind w:left="3118" w:hanging="1134"/>
      <w:jc w:val="both"/>
    </w:pPr>
    <w:rPr>
      <w:rFonts w:eastAsia="Times New Roman" w:cs="Times New Roman"/>
      <w:sz w:val="24"/>
      <w:szCs w:val="24"/>
    </w:rPr>
  </w:style>
  <w:style w:type="paragraph" w:customStyle="1" w:styleId="PointDouble4">
    <w:name w:val="PointDouble 4"/>
    <w:basedOn w:val="Normal"/>
    <w:pPr>
      <w:tabs>
        <w:tab w:val="left" w:pos="3118"/>
      </w:tabs>
      <w:spacing w:before="120" w:after="120" w:line="240" w:lineRule="auto"/>
      <w:ind w:left="3685" w:hanging="1134"/>
      <w:jc w:val="both"/>
    </w:pPr>
    <w:rPr>
      <w:rFonts w:eastAsia="Times New Roman" w:cs="Times New Roman"/>
      <w:sz w:val="24"/>
      <w:szCs w:val="24"/>
    </w:rPr>
  </w:style>
  <w:style w:type="paragraph" w:customStyle="1" w:styleId="PointTriple0">
    <w:name w:val="PointTriple 0"/>
    <w:basedOn w:val="Normal"/>
    <w:pPr>
      <w:tabs>
        <w:tab w:val="left" w:pos="850"/>
        <w:tab w:val="left" w:pos="1417"/>
      </w:tabs>
      <w:spacing w:before="120" w:after="120" w:line="240" w:lineRule="auto"/>
      <w:ind w:left="1984" w:hanging="1984"/>
      <w:jc w:val="both"/>
    </w:pPr>
    <w:rPr>
      <w:rFonts w:eastAsia="Times New Roman" w:cs="Times New Roman"/>
      <w:sz w:val="24"/>
      <w:szCs w:val="24"/>
    </w:rPr>
  </w:style>
  <w:style w:type="paragraph" w:customStyle="1" w:styleId="PointTriple1">
    <w:name w:val="PointTriple 1"/>
    <w:basedOn w:val="Normal"/>
    <w:pPr>
      <w:tabs>
        <w:tab w:val="left" w:pos="1417"/>
        <w:tab w:val="left" w:pos="1984"/>
      </w:tabs>
      <w:spacing w:before="120" w:after="120" w:line="240" w:lineRule="auto"/>
      <w:ind w:left="2551" w:hanging="1701"/>
      <w:jc w:val="both"/>
    </w:pPr>
    <w:rPr>
      <w:rFonts w:eastAsia="Times New Roman" w:cs="Times New Roman"/>
      <w:sz w:val="24"/>
      <w:szCs w:val="24"/>
    </w:rPr>
  </w:style>
  <w:style w:type="paragraph" w:customStyle="1" w:styleId="PointTriple2">
    <w:name w:val="PointTriple 2"/>
    <w:basedOn w:val="Normal"/>
    <w:pPr>
      <w:tabs>
        <w:tab w:val="left" w:pos="1984"/>
        <w:tab w:val="left" w:pos="2551"/>
      </w:tabs>
      <w:spacing w:before="120" w:after="120" w:line="240" w:lineRule="auto"/>
      <w:ind w:left="3118" w:hanging="1701"/>
      <w:jc w:val="both"/>
    </w:pPr>
    <w:rPr>
      <w:rFonts w:eastAsia="Times New Roman" w:cs="Times New Roman"/>
      <w:sz w:val="24"/>
      <w:szCs w:val="24"/>
    </w:rPr>
  </w:style>
  <w:style w:type="paragraph" w:customStyle="1" w:styleId="PointTriple3">
    <w:name w:val="PointTriple 3"/>
    <w:basedOn w:val="Normal"/>
    <w:pPr>
      <w:tabs>
        <w:tab w:val="left" w:pos="2551"/>
        <w:tab w:val="left" w:pos="3118"/>
      </w:tabs>
      <w:spacing w:before="120" w:after="120" w:line="240" w:lineRule="auto"/>
      <w:ind w:left="3685" w:hanging="1701"/>
      <w:jc w:val="both"/>
    </w:pPr>
    <w:rPr>
      <w:rFonts w:eastAsia="Times New Roman" w:cs="Times New Roman"/>
      <w:sz w:val="24"/>
      <w:szCs w:val="24"/>
    </w:rPr>
  </w:style>
  <w:style w:type="paragraph" w:customStyle="1" w:styleId="PointTriple4">
    <w:name w:val="PointTriple 4"/>
    <w:basedOn w:val="Normal"/>
    <w:pPr>
      <w:tabs>
        <w:tab w:val="left" w:pos="3118"/>
        <w:tab w:val="left" w:pos="3685"/>
      </w:tabs>
      <w:spacing w:before="120" w:after="120" w:line="240" w:lineRule="auto"/>
      <w:ind w:left="4252" w:hanging="1701"/>
      <w:jc w:val="both"/>
    </w:pPr>
    <w:rPr>
      <w:rFonts w:eastAsia="Times New Roman" w:cs="Times New Roman"/>
      <w:sz w:val="24"/>
      <w:szCs w:val="24"/>
    </w:rPr>
  </w:style>
  <w:style w:type="paragraph" w:customStyle="1" w:styleId="NumPar1">
    <w:name w:val="NumPar 1"/>
    <w:basedOn w:val="Normal"/>
    <w:next w:val="Text1"/>
    <w:pPr>
      <w:numPr>
        <w:numId w:val="7"/>
      </w:numPr>
      <w:spacing w:before="120" w:after="120" w:line="240" w:lineRule="auto"/>
      <w:jc w:val="both"/>
    </w:pPr>
    <w:rPr>
      <w:rFonts w:eastAsia="Times New Roman" w:cs="Times New Roman"/>
      <w:sz w:val="24"/>
      <w:szCs w:val="24"/>
    </w:rPr>
  </w:style>
  <w:style w:type="paragraph" w:customStyle="1" w:styleId="NumPar2">
    <w:name w:val="NumPar 2"/>
    <w:basedOn w:val="Normal"/>
    <w:next w:val="Text1"/>
    <w:pPr>
      <w:numPr>
        <w:ilvl w:val="1"/>
        <w:numId w:val="7"/>
      </w:numPr>
      <w:spacing w:before="120" w:after="120" w:line="240" w:lineRule="auto"/>
      <w:jc w:val="both"/>
    </w:pPr>
    <w:rPr>
      <w:rFonts w:eastAsia="Times New Roman" w:cs="Times New Roman"/>
      <w:sz w:val="24"/>
      <w:szCs w:val="24"/>
    </w:rPr>
  </w:style>
  <w:style w:type="paragraph" w:customStyle="1" w:styleId="NumPar3">
    <w:name w:val="NumPar 3"/>
    <w:basedOn w:val="Normal"/>
    <w:next w:val="Text1"/>
    <w:pPr>
      <w:numPr>
        <w:ilvl w:val="2"/>
        <w:numId w:val="7"/>
      </w:numPr>
      <w:spacing w:before="120" w:after="120" w:line="240" w:lineRule="auto"/>
      <w:jc w:val="both"/>
    </w:pPr>
    <w:rPr>
      <w:rFonts w:eastAsia="Times New Roman" w:cs="Times New Roman"/>
      <w:sz w:val="24"/>
      <w:szCs w:val="24"/>
    </w:rPr>
  </w:style>
  <w:style w:type="paragraph" w:customStyle="1" w:styleId="NumPar4">
    <w:name w:val="NumPar 4"/>
    <w:basedOn w:val="Normal"/>
    <w:next w:val="Text1"/>
    <w:pPr>
      <w:numPr>
        <w:ilvl w:val="3"/>
        <w:numId w:val="7"/>
      </w:numPr>
      <w:spacing w:before="120" w:after="120" w:line="240" w:lineRule="auto"/>
      <w:jc w:val="both"/>
    </w:pPr>
    <w:rPr>
      <w:rFonts w:eastAsia="Times New Roman" w:cs="Times New Roman"/>
      <w:sz w:val="24"/>
      <w:szCs w:val="24"/>
    </w:rPr>
  </w:style>
  <w:style w:type="paragraph" w:customStyle="1" w:styleId="ManualNumPar1">
    <w:name w:val="Manual NumPar 1"/>
    <w:basedOn w:val="Normal"/>
    <w:next w:val="Text1"/>
    <w:pPr>
      <w:spacing w:before="120" w:after="120" w:line="240" w:lineRule="auto"/>
      <w:ind w:left="850" w:hanging="850"/>
      <w:jc w:val="both"/>
    </w:pPr>
    <w:rPr>
      <w:rFonts w:eastAsia="Times New Roman" w:cs="Times New Roman"/>
      <w:sz w:val="24"/>
      <w:szCs w:val="24"/>
    </w:rPr>
  </w:style>
  <w:style w:type="paragraph" w:customStyle="1" w:styleId="ManualNumPar2">
    <w:name w:val="Manual NumPar 2"/>
    <w:basedOn w:val="Normal"/>
    <w:next w:val="Text1"/>
    <w:pPr>
      <w:spacing w:before="120" w:after="120" w:line="240" w:lineRule="auto"/>
      <w:ind w:left="850" w:hanging="850"/>
      <w:jc w:val="both"/>
    </w:pPr>
    <w:rPr>
      <w:rFonts w:eastAsia="Times New Roman" w:cs="Times New Roman"/>
      <w:sz w:val="24"/>
      <w:szCs w:val="24"/>
    </w:rPr>
  </w:style>
  <w:style w:type="paragraph" w:customStyle="1" w:styleId="ManualNumPar3">
    <w:name w:val="Manual NumPar 3"/>
    <w:basedOn w:val="Normal"/>
    <w:next w:val="Text1"/>
    <w:pPr>
      <w:spacing w:before="120" w:after="120" w:line="240" w:lineRule="auto"/>
      <w:ind w:left="850" w:hanging="850"/>
      <w:jc w:val="both"/>
    </w:pPr>
    <w:rPr>
      <w:rFonts w:eastAsia="Times New Roman" w:cs="Times New Roman"/>
      <w:sz w:val="24"/>
      <w:szCs w:val="24"/>
    </w:rPr>
  </w:style>
  <w:style w:type="paragraph" w:customStyle="1" w:styleId="ManualNumPar4">
    <w:name w:val="Manual NumPar 4"/>
    <w:basedOn w:val="Normal"/>
    <w:next w:val="Text1"/>
    <w:pPr>
      <w:spacing w:before="120" w:after="120" w:line="240" w:lineRule="auto"/>
      <w:ind w:left="850" w:hanging="850"/>
      <w:jc w:val="both"/>
    </w:pPr>
    <w:rPr>
      <w:rFonts w:eastAsia="Times New Roman" w:cs="Times New Roman"/>
      <w:sz w:val="24"/>
      <w:szCs w:val="24"/>
    </w:rPr>
  </w:style>
  <w:style w:type="paragraph" w:customStyle="1" w:styleId="QuotedNumPar">
    <w:name w:val="Quoted NumPar"/>
    <w:basedOn w:val="Normal"/>
    <w:pPr>
      <w:spacing w:before="120" w:after="120" w:line="240" w:lineRule="auto"/>
      <w:ind w:left="1417" w:hanging="567"/>
      <w:jc w:val="both"/>
    </w:pPr>
    <w:rPr>
      <w:rFonts w:eastAsia="Times New Roman" w:cs="Times New Roman"/>
      <w:sz w:val="24"/>
      <w:szCs w:val="24"/>
    </w:rPr>
  </w:style>
  <w:style w:type="paragraph" w:customStyle="1" w:styleId="ManualHeading1">
    <w:name w:val="Manual Heading 1"/>
    <w:basedOn w:val="Normal"/>
    <w:next w:val="Text1"/>
    <w:pPr>
      <w:keepNext/>
      <w:tabs>
        <w:tab w:val="left" w:pos="850"/>
      </w:tabs>
      <w:spacing w:before="360" w:after="120" w:line="240" w:lineRule="auto"/>
      <w:ind w:left="850" w:hanging="850"/>
      <w:jc w:val="both"/>
      <w:outlineLvl w:val="0"/>
    </w:pPr>
    <w:rPr>
      <w:rFonts w:eastAsia="Times New Roman" w:cs="Times New Roman"/>
      <w:b/>
      <w:smallCaps/>
      <w:sz w:val="24"/>
      <w:szCs w:val="24"/>
    </w:rPr>
  </w:style>
  <w:style w:type="paragraph" w:customStyle="1" w:styleId="ManualHeading2">
    <w:name w:val="Manual Heading 2"/>
    <w:basedOn w:val="Normal"/>
    <w:next w:val="Text1"/>
    <w:pPr>
      <w:keepNext/>
      <w:tabs>
        <w:tab w:val="left" w:pos="850"/>
      </w:tabs>
      <w:spacing w:before="120" w:after="120" w:line="240" w:lineRule="auto"/>
      <w:ind w:left="850" w:hanging="850"/>
      <w:jc w:val="both"/>
      <w:outlineLvl w:val="1"/>
    </w:pPr>
    <w:rPr>
      <w:rFonts w:eastAsia="Times New Roman" w:cs="Times New Roman"/>
      <w:b/>
      <w:sz w:val="24"/>
      <w:szCs w:val="24"/>
    </w:rPr>
  </w:style>
  <w:style w:type="paragraph" w:customStyle="1" w:styleId="ManualHeading3">
    <w:name w:val="Manual Heading 3"/>
    <w:basedOn w:val="Normal"/>
    <w:next w:val="Text1"/>
    <w:pPr>
      <w:keepNext/>
      <w:tabs>
        <w:tab w:val="left" w:pos="850"/>
      </w:tabs>
      <w:spacing w:before="120" w:after="120" w:line="240" w:lineRule="auto"/>
      <w:ind w:left="850" w:hanging="850"/>
      <w:jc w:val="both"/>
      <w:outlineLvl w:val="2"/>
    </w:pPr>
    <w:rPr>
      <w:rFonts w:eastAsia="Times New Roman" w:cs="Times New Roman"/>
      <w:i/>
      <w:sz w:val="24"/>
      <w:szCs w:val="24"/>
    </w:rPr>
  </w:style>
  <w:style w:type="paragraph" w:customStyle="1" w:styleId="ManualHeading4">
    <w:name w:val="Manual Heading 4"/>
    <w:basedOn w:val="Normal"/>
    <w:next w:val="Text1"/>
    <w:pPr>
      <w:keepNext/>
      <w:tabs>
        <w:tab w:val="left" w:pos="850"/>
      </w:tabs>
      <w:spacing w:before="120" w:after="120" w:line="240" w:lineRule="auto"/>
      <w:ind w:left="850" w:hanging="850"/>
      <w:jc w:val="both"/>
      <w:outlineLvl w:val="3"/>
    </w:pPr>
    <w:rPr>
      <w:rFonts w:eastAsia="Times New Roman" w:cs="Times New Roman"/>
      <w:sz w:val="24"/>
      <w:szCs w:val="24"/>
    </w:rPr>
  </w:style>
  <w:style w:type="paragraph" w:customStyle="1" w:styleId="ChapterTitle">
    <w:name w:val="ChapterTitle"/>
    <w:basedOn w:val="Normal"/>
    <w:next w:val="Normal"/>
    <w:pPr>
      <w:keepNext/>
      <w:spacing w:before="120" w:after="360" w:line="240" w:lineRule="auto"/>
      <w:jc w:val="center"/>
    </w:pPr>
    <w:rPr>
      <w:rFonts w:eastAsia="Times New Roman" w:cs="Times New Roman"/>
      <w:b/>
      <w:sz w:val="32"/>
      <w:szCs w:val="24"/>
    </w:rPr>
  </w:style>
  <w:style w:type="paragraph" w:customStyle="1" w:styleId="PartTitle">
    <w:name w:val="PartTitle"/>
    <w:basedOn w:val="Normal"/>
    <w:next w:val="ChapterTitle"/>
    <w:pPr>
      <w:keepNext/>
      <w:pageBreakBefore/>
      <w:spacing w:before="120" w:after="360" w:line="240" w:lineRule="auto"/>
      <w:jc w:val="center"/>
    </w:pPr>
    <w:rPr>
      <w:rFonts w:eastAsia="Times New Roman" w:cs="Times New Roman"/>
      <w:b/>
      <w:sz w:val="36"/>
      <w:szCs w:val="24"/>
    </w:rPr>
  </w:style>
  <w:style w:type="paragraph" w:customStyle="1" w:styleId="SectionTitle">
    <w:name w:val="SectionTitle"/>
    <w:basedOn w:val="Normal"/>
    <w:next w:val="Heading1"/>
    <w:pPr>
      <w:keepNext/>
      <w:spacing w:before="120" w:after="360" w:line="240" w:lineRule="auto"/>
      <w:jc w:val="center"/>
    </w:pPr>
    <w:rPr>
      <w:rFonts w:eastAsia="Times New Roman" w:cs="Times New Roman"/>
      <w:b/>
      <w:smallCaps/>
      <w:sz w:val="28"/>
      <w:szCs w:val="24"/>
    </w:rPr>
  </w:style>
  <w:style w:type="paragraph" w:customStyle="1" w:styleId="TableTitle">
    <w:name w:val="Table Title"/>
    <w:basedOn w:val="Normal"/>
    <w:next w:val="Normal"/>
    <w:pPr>
      <w:spacing w:before="120" w:after="120" w:line="240" w:lineRule="auto"/>
      <w:jc w:val="center"/>
    </w:pPr>
    <w:rPr>
      <w:rFonts w:eastAsia="Times New Roman" w:cs="Times New Roman"/>
      <w:b/>
      <w:sz w:val="24"/>
      <w:szCs w:val="24"/>
    </w:rPr>
  </w:style>
  <w:style w:type="character" w:customStyle="1" w:styleId="Marker1">
    <w:name w:val="Marker1"/>
    <w:rPr>
      <w:color w:val="008000"/>
      <w:shd w:val="clear" w:color="auto" w:fill="auto"/>
    </w:rPr>
  </w:style>
  <w:style w:type="character" w:customStyle="1" w:styleId="Marker2">
    <w:name w:val="Marker2"/>
    <w:rPr>
      <w:color w:val="FF0000"/>
      <w:shd w:val="clear" w:color="auto" w:fill="auto"/>
    </w:rPr>
  </w:style>
  <w:style w:type="paragraph" w:styleId="TOCHeading">
    <w:name w:val="TOC Heading"/>
    <w:basedOn w:val="Normal"/>
    <w:next w:val="Normal"/>
    <w:uiPriority w:val="39"/>
    <w:qFormat/>
    <w:pPr>
      <w:spacing w:before="120" w:after="240" w:line="240" w:lineRule="auto"/>
    </w:pPr>
    <w:rPr>
      <w:rFonts w:eastAsia="Times New Roman" w:cs="Times New Roman"/>
      <w:b/>
      <w:sz w:val="28"/>
      <w:szCs w:val="24"/>
    </w:rPr>
  </w:style>
  <w:style w:type="paragraph" w:customStyle="1" w:styleId="Point0number">
    <w:name w:val="Point 0 (number)"/>
    <w:basedOn w:val="Normal"/>
    <w:pPr>
      <w:numPr>
        <w:numId w:val="20"/>
      </w:numPr>
      <w:spacing w:before="120" w:after="120" w:line="240" w:lineRule="auto"/>
      <w:jc w:val="both"/>
    </w:pPr>
    <w:rPr>
      <w:rFonts w:eastAsia="Times New Roman" w:cs="Times New Roman"/>
      <w:sz w:val="24"/>
      <w:szCs w:val="24"/>
    </w:rPr>
  </w:style>
  <w:style w:type="paragraph" w:customStyle="1" w:styleId="Point1number">
    <w:name w:val="Point 1 (number)"/>
    <w:basedOn w:val="Normal"/>
    <w:pPr>
      <w:numPr>
        <w:ilvl w:val="2"/>
        <w:numId w:val="20"/>
      </w:numPr>
      <w:spacing w:before="120" w:after="120" w:line="240" w:lineRule="auto"/>
      <w:jc w:val="both"/>
    </w:pPr>
    <w:rPr>
      <w:rFonts w:eastAsia="Times New Roman" w:cs="Times New Roman"/>
      <w:sz w:val="24"/>
      <w:szCs w:val="24"/>
    </w:rPr>
  </w:style>
  <w:style w:type="paragraph" w:customStyle="1" w:styleId="Point2number">
    <w:name w:val="Point 2 (number)"/>
    <w:basedOn w:val="Normal"/>
    <w:pPr>
      <w:numPr>
        <w:ilvl w:val="4"/>
        <w:numId w:val="20"/>
      </w:numPr>
      <w:spacing w:before="120" w:after="120" w:line="240" w:lineRule="auto"/>
      <w:jc w:val="both"/>
    </w:pPr>
    <w:rPr>
      <w:rFonts w:eastAsia="Times New Roman" w:cs="Times New Roman"/>
      <w:sz w:val="24"/>
      <w:szCs w:val="24"/>
    </w:rPr>
  </w:style>
  <w:style w:type="paragraph" w:customStyle="1" w:styleId="Point3number">
    <w:name w:val="Point 3 (number)"/>
    <w:basedOn w:val="Normal"/>
    <w:pPr>
      <w:numPr>
        <w:ilvl w:val="6"/>
        <w:numId w:val="20"/>
      </w:numPr>
      <w:spacing w:before="120" w:after="120" w:line="240" w:lineRule="auto"/>
      <w:jc w:val="both"/>
    </w:pPr>
    <w:rPr>
      <w:rFonts w:eastAsia="Times New Roman" w:cs="Times New Roman"/>
      <w:sz w:val="24"/>
      <w:szCs w:val="24"/>
    </w:rPr>
  </w:style>
  <w:style w:type="paragraph" w:customStyle="1" w:styleId="Point0letter">
    <w:name w:val="Point 0 (letter)"/>
    <w:basedOn w:val="Normal"/>
    <w:pPr>
      <w:numPr>
        <w:ilvl w:val="1"/>
        <w:numId w:val="20"/>
      </w:numPr>
      <w:spacing w:before="120" w:after="120" w:line="240" w:lineRule="auto"/>
      <w:jc w:val="both"/>
    </w:pPr>
    <w:rPr>
      <w:rFonts w:eastAsia="Times New Roman" w:cs="Times New Roman"/>
      <w:sz w:val="24"/>
      <w:szCs w:val="24"/>
    </w:rPr>
  </w:style>
  <w:style w:type="paragraph" w:customStyle="1" w:styleId="Point1letter">
    <w:name w:val="Point 1 (letter)"/>
    <w:basedOn w:val="Normal"/>
    <w:pPr>
      <w:numPr>
        <w:ilvl w:val="3"/>
        <w:numId w:val="20"/>
      </w:numPr>
      <w:spacing w:before="120" w:after="120" w:line="240" w:lineRule="auto"/>
      <w:jc w:val="both"/>
    </w:pPr>
    <w:rPr>
      <w:rFonts w:eastAsia="Times New Roman" w:cs="Times New Roman"/>
      <w:sz w:val="24"/>
      <w:szCs w:val="24"/>
    </w:rPr>
  </w:style>
  <w:style w:type="paragraph" w:customStyle="1" w:styleId="Point2letter">
    <w:name w:val="Point 2 (letter)"/>
    <w:basedOn w:val="Normal"/>
    <w:pPr>
      <w:numPr>
        <w:ilvl w:val="5"/>
        <w:numId w:val="20"/>
      </w:numPr>
      <w:spacing w:before="120" w:after="120" w:line="240" w:lineRule="auto"/>
      <w:jc w:val="both"/>
    </w:pPr>
    <w:rPr>
      <w:rFonts w:eastAsia="Times New Roman" w:cs="Times New Roman"/>
      <w:sz w:val="24"/>
      <w:szCs w:val="24"/>
    </w:rPr>
  </w:style>
  <w:style w:type="paragraph" w:customStyle="1" w:styleId="Point3letter">
    <w:name w:val="Point 3 (letter)"/>
    <w:basedOn w:val="Normal"/>
    <w:pPr>
      <w:numPr>
        <w:ilvl w:val="7"/>
        <w:numId w:val="20"/>
      </w:numPr>
      <w:spacing w:before="120" w:after="120" w:line="240" w:lineRule="auto"/>
      <w:jc w:val="both"/>
    </w:pPr>
    <w:rPr>
      <w:rFonts w:eastAsia="Times New Roman" w:cs="Times New Roman"/>
      <w:sz w:val="24"/>
      <w:szCs w:val="24"/>
    </w:rPr>
  </w:style>
  <w:style w:type="paragraph" w:customStyle="1" w:styleId="Point4letter">
    <w:name w:val="Point 4 (letter)"/>
    <w:basedOn w:val="Normal"/>
    <w:pPr>
      <w:numPr>
        <w:ilvl w:val="8"/>
        <w:numId w:val="20"/>
      </w:numPr>
      <w:spacing w:before="120" w:after="120" w:line="240" w:lineRule="auto"/>
      <w:jc w:val="both"/>
    </w:pPr>
    <w:rPr>
      <w:rFonts w:eastAsia="Times New Roman" w:cs="Times New Roman"/>
      <w:sz w:val="24"/>
      <w:szCs w:val="24"/>
    </w:rPr>
  </w:style>
  <w:style w:type="paragraph" w:customStyle="1" w:styleId="Bullet0">
    <w:name w:val="Bullet 0"/>
    <w:basedOn w:val="Normal"/>
    <w:pPr>
      <w:numPr>
        <w:numId w:val="8"/>
      </w:numPr>
      <w:spacing w:before="120" w:after="120" w:line="240" w:lineRule="auto"/>
      <w:jc w:val="both"/>
    </w:pPr>
    <w:rPr>
      <w:rFonts w:eastAsia="Times New Roman" w:cs="Times New Roman"/>
      <w:sz w:val="24"/>
      <w:szCs w:val="24"/>
    </w:rPr>
  </w:style>
  <w:style w:type="paragraph" w:customStyle="1" w:styleId="Bullet1">
    <w:name w:val="Bullet 1"/>
    <w:basedOn w:val="Normal"/>
    <w:pPr>
      <w:numPr>
        <w:numId w:val="9"/>
      </w:numPr>
      <w:spacing w:before="120" w:after="120" w:line="240" w:lineRule="auto"/>
      <w:jc w:val="both"/>
    </w:pPr>
    <w:rPr>
      <w:rFonts w:eastAsia="Times New Roman" w:cs="Times New Roman"/>
      <w:sz w:val="24"/>
      <w:szCs w:val="24"/>
    </w:rPr>
  </w:style>
  <w:style w:type="paragraph" w:customStyle="1" w:styleId="Bullet2">
    <w:name w:val="Bullet 2"/>
    <w:basedOn w:val="Normal"/>
    <w:pPr>
      <w:numPr>
        <w:numId w:val="10"/>
      </w:numPr>
      <w:spacing w:before="120" w:after="120" w:line="240" w:lineRule="auto"/>
      <w:jc w:val="both"/>
    </w:pPr>
    <w:rPr>
      <w:rFonts w:eastAsia="Times New Roman" w:cs="Times New Roman"/>
      <w:sz w:val="24"/>
      <w:szCs w:val="24"/>
    </w:rPr>
  </w:style>
  <w:style w:type="paragraph" w:customStyle="1" w:styleId="Bullet3">
    <w:name w:val="Bullet 3"/>
    <w:basedOn w:val="Normal"/>
    <w:pPr>
      <w:numPr>
        <w:numId w:val="11"/>
      </w:numPr>
      <w:spacing w:before="120" w:after="120" w:line="240" w:lineRule="auto"/>
      <w:jc w:val="both"/>
    </w:pPr>
    <w:rPr>
      <w:rFonts w:eastAsia="Times New Roman" w:cs="Times New Roman"/>
      <w:sz w:val="24"/>
      <w:szCs w:val="24"/>
    </w:rPr>
  </w:style>
  <w:style w:type="paragraph" w:customStyle="1" w:styleId="Bullet4">
    <w:name w:val="Bullet 4"/>
    <w:basedOn w:val="Normal"/>
    <w:pPr>
      <w:numPr>
        <w:numId w:val="12"/>
      </w:numPr>
      <w:spacing w:before="120" w:after="120" w:line="240" w:lineRule="auto"/>
      <w:jc w:val="both"/>
    </w:pPr>
    <w:rPr>
      <w:rFonts w:eastAsia="Times New Roman" w:cs="Times New Roman"/>
      <w:sz w:val="24"/>
      <w:szCs w:val="24"/>
    </w:rPr>
  </w:style>
  <w:style w:type="paragraph" w:customStyle="1" w:styleId="Annexetitreexpos">
    <w:name w:val="Annexe titre (exposé)"/>
    <w:basedOn w:val="Normal"/>
    <w:next w:val="Normal"/>
    <w:pPr>
      <w:spacing w:before="120" w:after="120" w:line="240" w:lineRule="auto"/>
      <w:jc w:val="center"/>
    </w:pPr>
    <w:rPr>
      <w:rFonts w:eastAsia="Times New Roman" w:cs="Times New Roman"/>
      <w:b/>
      <w:sz w:val="24"/>
      <w:szCs w:val="24"/>
      <w:u w:val="single"/>
    </w:rPr>
  </w:style>
  <w:style w:type="paragraph" w:customStyle="1" w:styleId="Annexetitre">
    <w:name w:val="Annexe titre"/>
    <w:basedOn w:val="Normal"/>
    <w:next w:val="Normal"/>
    <w:pPr>
      <w:spacing w:before="120" w:after="120" w:line="240" w:lineRule="auto"/>
      <w:jc w:val="center"/>
    </w:pPr>
    <w:rPr>
      <w:rFonts w:eastAsia="Times New Roman" w:cs="Times New Roman"/>
      <w:b/>
      <w:sz w:val="24"/>
      <w:szCs w:val="24"/>
      <w:u w:val="single"/>
    </w:rPr>
  </w:style>
  <w:style w:type="paragraph" w:customStyle="1" w:styleId="Annexetitrefichefinancire">
    <w:name w:val="Annexe titre (fiche financière)"/>
    <w:basedOn w:val="Normal"/>
    <w:next w:val="Normal"/>
    <w:pPr>
      <w:spacing w:before="120" w:after="120" w:line="240" w:lineRule="auto"/>
      <w:jc w:val="center"/>
    </w:pPr>
    <w:rPr>
      <w:rFonts w:eastAsia="Times New Roman" w:cs="Times New Roman"/>
      <w:b/>
      <w:sz w:val="24"/>
      <w:szCs w:val="24"/>
      <w:u w:val="single"/>
    </w:rPr>
  </w:style>
  <w:style w:type="paragraph" w:customStyle="1" w:styleId="Applicationdirecte">
    <w:name w:val="Application directe"/>
    <w:basedOn w:val="Normal"/>
    <w:next w:val="Fait"/>
    <w:pPr>
      <w:spacing w:before="480" w:after="120" w:line="240" w:lineRule="auto"/>
      <w:jc w:val="both"/>
    </w:pPr>
    <w:rPr>
      <w:rFonts w:eastAsia="Times New Roman" w:cs="Times New Roman"/>
      <w:sz w:val="24"/>
      <w:szCs w:val="24"/>
    </w:rPr>
  </w:style>
  <w:style w:type="paragraph" w:customStyle="1" w:styleId="Avertissementtitre">
    <w:name w:val="Avertissement titre"/>
    <w:basedOn w:val="Normal"/>
    <w:next w:val="Normal"/>
    <w:pPr>
      <w:keepNext/>
      <w:spacing w:before="480" w:after="120" w:line="240" w:lineRule="auto"/>
      <w:jc w:val="both"/>
    </w:pPr>
    <w:rPr>
      <w:rFonts w:eastAsia="Times New Roman" w:cs="Times New Roman"/>
      <w:sz w:val="24"/>
      <w:szCs w:val="24"/>
      <w:u w:val="single"/>
    </w:rPr>
  </w:style>
  <w:style w:type="paragraph" w:customStyle="1" w:styleId="Confidence">
    <w:name w:val="Confidence"/>
    <w:basedOn w:val="Normal"/>
    <w:next w:val="Normal"/>
    <w:pPr>
      <w:spacing w:before="360" w:after="120" w:line="240" w:lineRule="auto"/>
      <w:jc w:val="center"/>
    </w:pPr>
    <w:rPr>
      <w:rFonts w:eastAsia="Times New Roman" w:cs="Times New Roman"/>
      <w:sz w:val="24"/>
      <w:szCs w:val="24"/>
    </w:rPr>
  </w:style>
  <w:style w:type="paragraph" w:customStyle="1" w:styleId="Confidentialit">
    <w:name w:val="Confidentialité"/>
    <w:basedOn w:val="Normal"/>
    <w:next w:val="TypedudocumentPagedecouverture"/>
    <w:pPr>
      <w:spacing w:before="240" w:after="240" w:line="240" w:lineRule="auto"/>
      <w:ind w:left="5103"/>
      <w:jc w:val="both"/>
    </w:pPr>
    <w:rPr>
      <w:rFonts w:eastAsia="Times New Roman" w:cs="Times New Roman"/>
      <w:i/>
      <w:sz w:val="32"/>
      <w:szCs w:val="24"/>
    </w:rPr>
  </w:style>
  <w:style w:type="paragraph" w:customStyle="1" w:styleId="Considrant">
    <w:name w:val="Considérant"/>
    <w:basedOn w:val="Normal"/>
    <w:pPr>
      <w:numPr>
        <w:numId w:val="13"/>
      </w:numPr>
      <w:spacing w:before="120" w:after="120" w:line="240" w:lineRule="auto"/>
      <w:jc w:val="both"/>
    </w:pPr>
    <w:rPr>
      <w:rFonts w:eastAsia="Times New Roman" w:cs="Times New Roman"/>
      <w:sz w:val="24"/>
      <w:szCs w:val="24"/>
    </w:rPr>
  </w:style>
  <w:style w:type="paragraph" w:customStyle="1" w:styleId="Corrigendum">
    <w:name w:val="Corrigendum"/>
    <w:basedOn w:val="Normal"/>
    <w:next w:val="Normal"/>
    <w:pPr>
      <w:spacing w:after="240" w:line="240" w:lineRule="auto"/>
    </w:pPr>
    <w:rPr>
      <w:rFonts w:eastAsia="Times New Roman" w:cs="Times New Roman"/>
      <w:sz w:val="24"/>
      <w:szCs w:val="24"/>
    </w:rPr>
  </w:style>
  <w:style w:type="paragraph" w:customStyle="1" w:styleId="Datedadoption">
    <w:name w:val="Date d'adoption"/>
    <w:basedOn w:val="Normal"/>
    <w:next w:val="Titreobjet"/>
    <w:pPr>
      <w:spacing w:before="360" w:after="0" w:line="240" w:lineRule="auto"/>
      <w:jc w:val="center"/>
    </w:pPr>
    <w:rPr>
      <w:rFonts w:eastAsia="Times New Roman" w:cs="Times New Roman"/>
      <w:b/>
      <w:sz w:val="24"/>
      <w:szCs w:val="24"/>
    </w:rPr>
  </w:style>
  <w:style w:type="paragraph" w:customStyle="1" w:styleId="Emission">
    <w:name w:val="Emission"/>
    <w:basedOn w:val="Normal"/>
    <w:next w:val="Rfrenceinstitutionnelle"/>
    <w:pPr>
      <w:spacing w:after="0" w:line="240" w:lineRule="auto"/>
      <w:ind w:left="5103"/>
    </w:pPr>
    <w:rPr>
      <w:rFonts w:eastAsia="Times New Roman" w:cs="Times New Roman"/>
      <w:sz w:val="24"/>
      <w:szCs w:val="24"/>
    </w:rPr>
  </w:style>
  <w:style w:type="paragraph" w:customStyle="1" w:styleId="Exposdesmotifstitre">
    <w:name w:val="Exposé des motifs titre"/>
    <w:basedOn w:val="Normal"/>
    <w:next w:val="Normal"/>
    <w:pPr>
      <w:spacing w:before="120" w:after="120" w:line="240" w:lineRule="auto"/>
      <w:jc w:val="center"/>
    </w:pPr>
    <w:rPr>
      <w:rFonts w:eastAsia="Times New Roman" w:cs="Times New Roman"/>
      <w:b/>
      <w:sz w:val="24"/>
      <w:szCs w:val="24"/>
      <w:u w:val="single"/>
    </w:rPr>
  </w:style>
  <w:style w:type="paragraph" w:customStyle="1" w:styleId="Fait">
    <w:name w:val="Fait à"/>
    <w:basedOn w:val="Normal"/>
    <w:next w:val="Institutionquisigne"/>
    <w:pPr>
      <w:keepNext/>
      <w:spacing w:before="120" w:after="0" w:line="240" w:lineRule="auto"/>
      <w:jc w:val="both"/>
    </w:pPr>
    <w:rPr>
      <w:rFonts w:eastAsia="Times New Roman" w:cs="Times New Roman"/>
      <w:sz w:val="24"/>
      <w:szCs w:val="24"/>
    </w:rPr>
  </w:style>
  <w:style w:type="paragraph" w:customStyle="1" w:styleId="Formuledadoption">
    <w:name w:val="Formule d'adoption"/>
    <w:basedOn w:val="Normal"/>
    <w:next w:val="Titrearticle"/>
    <w:pPr>
      <w:keepNext/>
      <w:spacing w:before="120" w:after="120" w:line="240" w:lineRule="auto"/>
      <w:jc w:val="both"/>
    </w:pPr>
    <w:rPr>
      <w:rFonts w:eastAsia="Times New Roman" w:cs="Times New Roman"/>
      <w:sz w:val="24"/>
      <w:szCs w:val="24"/>
    </w:rPr>
  </w:style>
  <w:style w:type="paragraph" w:customStyle="1" w:styleId="Institutionquiagit">
    <w:name w:val="Institution qui agit"/>
    <w:basedOn w:val="Normal"/>
    <w:next w:val="Normal"/>
    <w:pPr>
      <w:keepNext/>
      <w:spacing w:before="600" w:after="120" w:line="240" w:lineRule="auto"/>
      <w:jc w:val="both"/>
    </w:pPr>
    <w:rPr>
      <w:rFonts w:eastAsia="Times New Roman" w:cs="Times New Roman"/>
      <w:sz w:val="24"/>
      <w:szCs w:val="24"/>
    </w:rPr>
  </w:style>
  <w:style w:type="paragraph" w:customStyle="1" w:styleId="Institutionquisigne">
    <w:name w:val="Institution qui signe"/>
    <w:basedOn w:val="Normal"/>
    <w:next w:val="Personnequisigne"/>
    <w:pPr>
      <w:keepNext/>
      <w:tabs>
        <w:tab w:val="left" w:pos="4252"/>
      </w:tabs>
      <w:spacing w:before="720" w:after="0" w:line="240" w:lineRule="auto"/>
      <w:jc w:val="both"/>
    </w:pPr>
    <w:rPr>
      <w:rFonts w:eastAsia="Times New Roman" w:cs="Times New Roman"/>
      <w:i/>
      <w:sz w:val="24"/>
      <w:szCs w:val="24"/>
    </w:rPr>
  </w:style>
  <w:style w:type="paragraph" w:customStyle="1" w:styleId="Langue">
    <w:name w:val="Langue"/>
    <w:basedOn w:val="Normal"/>
    <w:next w:val="Rfrenceinterne"/>
    <w:pPr>
      <w:framePr w:wrap="around" w:vAnchor="page" w:hAnchor="text" w:xAlign="center" w:y="14741"/>
      <w:spacing w:after="600" w:line="240" w:lineRule="auto"/>
      <w:jc w:val="center"/>
    </w:pPr>
    <w:rPr>
      <w:rFonts w:eastAsia="Times New Roman" w:cs="Times New Roman"/>
      <w:b/>
      <w:caps/>
      <w:sz w:val="24"/>
      <w:szCs w:val="24"/>
    </w:rPr>
  </w:style>
  <w:style w:type="paragraph" w:customStyle="1" w:styleId="ManualConsidrant">
    <w:name w:val="Manual Considérant"/>
    <w:basedOn w:val="Normal"/>
    <w:pPr>
      <w:spacing w:before="120" w:after="120" w:line="240" w:lineRule="auto"/>
      <w:ind w:left="709" w:hanging="709"/>
      <w:jc w:val="both"/>
    </w:pPr>
    <w:rPr>
      <w:rFonts w:eastAsia="Times New Roman" w:cs="Times New Roman"/>
      <w:sz w:val="24"/>
      <w:szCs w:val="24"/>
    </w:rPr>
  </w:style>
  <w:style w:type="paragraph" w:customStyle="1" w:styleId="Nomdelinstitution">
    <w:name w:val="Nom de l'institution"/>
    <w:basedOn w:val="Normal"/>
    <w:next w:val="Emission"/>
    <w:pPr>
      <w:spacing w:after="0" w:line="240" w:lineRule="auto"/>
    </w:pPr>
    <w:rPr>
      <w:rFonts w:ascii="Arial" w:eastAsia="Times New Roman" w:hAnsi="Arial" w:cs="Arial"/>
      <w:sz w:val="24"/>
      <w:szCs w:val="24"/>
    </w:rPr>
  </w:style>
  <w:style w:type="paragraph" w:customStyle="1" w:styleId="Personnequisigne">
    <w:name w:val="Personne qui signe"/>
    <w:basedOn w:val="Normal"/>
    <w:next w:val="Institutionquisigne"/>
    <w:pPr>
      <w:tabs>
        <w:tab w:val="left" w:pos="4252"/>
      </w:tabs>
      <w:spacing w:after="0" w:line="240" w:lineRule="auto"/>
    </w:pPr>
    <w:rPr>
      <w:rFonts w:eastAsia="Times New Roman" w:cs="Times New Roman"/>
      <w:i/>
      <w:sz w:val="24"/>
      <w:szCs w:val="24"/>
    </w:rPr>
  </w:style>
  <w:style w:type="paragraph" w:customStyle="1" w:styleId="Rfrenceinstitutionnelle">
    <w:name w:val="Référence institutionnelle"/>
    <w:basedOn w:val="Normal"/>
    <w:next w:val="Confidentialit"/>
    <w:pPr>
      <w:spacing w:after="240" w:line="240" w:lineRule="auto"/>
      <w:ind w:left="5103"/>
    </w:pPr>
    <w:rPr>
      <w:rFonts w:eastAsia="Times New Roman" w:cs="Times New Roman"/>
      <w:sz w:val="24"/>
      <w:szCs w:val="24"/>
    </w:rPr>
  </w:style>
  <w:style w:type="paragraph" w:customStyle="1" w:styleId="Rfrenceinterinstitutionnelle">
    <w:name w:val="Référence interinstitutionnelle"/>
    <w:basedOn w:val="Normal"/>
    <w:next w:val="Statut"/>
    <w:pPr>
      <w:spacing w:after="0" w:line="240" w:lineRule="auto"/>
      <w:ind w:left="5103"/>
    </w:pPr>
    <w:rPr>
      <w:rFonts w:eastAsia="Times New Roman" w:cs="Times New Roman"/>
      <w:sz w:val="24"/>
      <w:szCs w:val="24"/>
    </w:rPr>
  </w:style>
  <w:style w:type="paragraph" w:customStyle="1" w:styleId="Rfrenceinterne">
    <w:name w:val="Référence interne"/>
    <w:basedOn w:val="Normal"/>
    <w:next w:val="Rfrenceinterinstitutionnelle"/>
    <w:pPr>
      <w:spacing w:after="0" w:line="240" w:lineRule="auto"/>
      <w:ind w:left="5103"/>
    </w:pPr>
    <w:rPr>
      <w:rFonts w:eastAsia="Times New Roman" w:cs="Times New Roman"/>
      <w:sz w:val="24"/>
      <w:szCs w:val="24"/>
    </w:rPr>
  </w:style>
  <w:style w:type="paragraph" w:customStyle="1" w:styleId="Sous-titreobjet">
    <w:name w:val="Sous-titre objet"/>
    <w:basedOn w:val="Normal"/>
    <w:pPr>
      <w:spacing w:after="0" w:line="240" w:lineRule="auto"/>
      <w:jc w:val="center"/>
    </w:pPr>
    <w:rPr>
      <w:rFonts w:eastAsia="Times New Roman" w:cs="Times New Roman"/>
      <w:b/>
      <w:sz w:val="24"/>
      <w:szCs w:val="24"/>
    </w:rPr>
  </w:style>
  <w:style w:type="paragraph" w:customStyle="1" w:styleId="Statut">
    <w:name w:val="Statut"/>
    <w:basedOn w:val="Normal"/>
    <w:next w:val="Typedudocument"/>
    <w:pPr>
      <w:spacing w:before="360" w:after="0" w:line="240" w:lineRule="auto"/>
      <w:jc w:val="center"/>
    </w:pPr>
    <w:rPr>
      <w:rFonts w:eastAsia="Times New Roman" w:cs="Times New Roman"/>
      <w:sz w:val="24"/>
      <w:szCs w:val="24"/>
    </w:rPr>
  </w:style>
  <w:style w:type="paragraph" w:customStyle="1" w:styleId="Titrearticle">
    <w:name w:val="Titre article"/>
    <w:basedOn w:val="Normal"/>
    <w:next w:val="Normal"/>
    <w:pPr>
      <w:keepNext/>
      <w:spacing w:before="360" w:after="120" w:line="240" w:lineRule="auto"/>
      <w:jc w:val="center"/>
    </w:pPr>
    <w:rPr>
      <w:rFonts w:eastAsia="Times New Roman" w:cs="Times New Roman"/>
      <w:i/>
      <w:sz w:val="24"/>
      <w:szCs w:val="24"/>
    </w:rPr>
  </w:style>
  <w:style w:type="paragraph" w:customStyle="1" w:styleId="Titreobjet">
    <w:name w:val="Titre objet"/>
    <w:basedOn w:val="Normal"/>
    <w:next w:val="Sous-titreobjet"/>
    <w:pPr>
      <w:spacing w:before="360" w:after="360" w:line="240" w:lineRule="auto"/>
      <w:jc w:val="center"/>
    </w:pPr>
    <w:rPr>
      <w:rFonts w:eastAsia="Times New Roman" w:cs="Times New Roman"/>
      <w:b/>
      <w:sz w:val="24"/>
      <w:szCs w:val="24"/>
    </w:rPr>
  </w:style>
  <w:style w:type="paragraph" w:customStyle="1" w:styleId="Typedudocument">
    <w:name w:val="Type du document"/>
    <w:basedOn w:val="Normal"/>
    <w:next w:val="Titreobjet"/>
    <w:link w:val="TypedudocumentChar"/>
    <w:pPr>
      <w:spacing w:before="360" w:after="0" w:line="240" w:lineRule="auto"/>
      <w:jc w:val="center"/>
    </w:pPr>
    <w:rPr>
      <w:rFonts w:eastAsia="Times New Roman" w:cs="Times New Roman"/>
      <w:b/>
      <w:sz w:val="24"/>
      <w:szCs w:val="24"/>
    </w:rPr>
  </w:style>
  <w:style w:type="character" w:customStyle="1" w:styleId="Added">
    <w:name w:val="Added"/>
    <w:rPr>
      <w:b/>
      <w:u w:val="single"/>
      <w:shd w:val="clear" w:color="auto" w:fill="auto"/>
    </w:rPr>
  </w:style>
  <w:style w:type="character" w:customStyle="1" w:styleId="Deleted">
    <w:name w:val="Deleted"/>
    <w:rPr>
      <w:strike/>
      <w:shd w:val="clear" w:color="auto" w:fill="auto"/>
    </w:rPr>
  </w:style>
  <w:style w:type="paragraph" w:customStyle="1" w:styleId="Address">
    <w:name w:val="Address"/>
    <w:basedOn w:val="Normal"/>
    <w:next w:val="Normal"/>
    <w:pPr>
      <w:keepLines/>
      <w:spacing w:before="120" w:after="120" w:line="360" w:lineRule="auto"/>
      <w:ind w:left="3402"/>
    </w:pPr>
    <w:rPr>
      <w:rFonts w:eastAsia="Times New Roman" w:cs="Times New Roman"/>
      <w:sz w:val="24"/>
      <w:szCs w:val="24"/>
    </w:rPr>
  </w:style>
  <w:style w:type="paragraph" w:customStyle="1" w:styleId="Objetexterne">
    <w:name w:val="Objet externe"/>
    <w:basedOn w:val="Normal"/>
    <w:next w:val="Normal"/>
    <w:pPr>
      <w:spacing w:before="120" w:after="120" w:line="240" w:lineRule="auto"/>
      <w:jc w:val="both"/>
    </w:pPr>
    <w:rPr>
      <w:rFonts w:eastAsia="Times New Roman" w:cs="Times New Roman"/>
      <w:i/>
      <w:caps/>
      <w:sz w:val="24"/>
      <w:szCs w:val="24"/>
    </w:rPr>
  </w:style>
  <w:style w:type="paragraph" w:customStyle="1" w:styleId="Supertitre">
    <w:name w:val="Supertitre"/>
    <w:basedOn w:val="Normal"/>
    <w:next w:val="Normal"/>
    <w:pPr>
      <w:spacing w:after="600" w:line="240" w:lineRule="auto"/>
      <w:jc w:val="center"/>
    </w:pPr>
    <w:rPr>
      <w:rFonts w:eastAsia="Times New Roman" w:cs="Times New Roman"/>
      <w:b/>
      <w:sz w:val="24"/>
      <w:szCs w:val="24"/>
    </w:rPr>
  </w:style>
  <w:style w:type="paragraph" w:customStyle="1" w:styleId="Languesfaisantfoi">
    <w:name w:val="Langues faisant foi"/>
    <w:basedOn w:val="Normal"/>
    <w:next w:val="Normal"/>
    <w:pPr>
      <w:spacing w:before="360" w:after="0" w:line="240" w:lineRule="auto"/>
      <w:jc w:val="center"/>
    </w:pPr>
    <w:rPr>
      <w:rFonts w:eastAsia="Times New Roman" w:cs="Times New Roman"/>
      <w:sz w:val="24"/>
      <w:szCs w:val="24"/>
    </w:rPr>
  </w:style>
  <w:style w:type="paragraph" w:customStyle="1" w:styleId="Rfrencecroise">
    <w:name w:val="Référence croisée"/>
    <w:basedOn w:val="Normal"/>
    <w:pPr>
      <w:spacing w:after="0" w:line="240" w:lineRule="auto"/>
      <w:jc w:val="center"/>
    </w:pPr>
    <w:rPr>
      <w:rFonts w:eastAsia="Times New Roman" w:cs="Times New Roman"/>
      <w:sz w:val="24"/>
      <w:szCs w:val="24"/>
    </w:rPr>
  </w:style>
  <w:style w:type="paragraph" w:customStyle="1" w:styleId="Fichefinanciretitre">
    <w:name w:val="Fiche financière titre"/>
    <w:basedOn w:val="Normal"/>
    <w:next w:val="Normal"/>
    <w:pPr>
      <w:spacing w:before="120" w:after="120" w:line="240" w:lineRule="auto"/>
      <w:jc w:val="center"/>
    </w:pPr>
    <w:rPr>
      <w:rFonts w:eastAsia="Times New Roman" w:cs="Times New Roman"/>
      <w:b/>
      <w:sz w:val="24"/>
      <w:szCs w:val="24"/>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ous-titreobjetPagedecouverture">
    <w:name w:val="Sous-titre objet (Page de couverture)"/>
    <w:basedOn w:val="Sous-titreobje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Sous-titreobjet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after="240" w:line="240" w:lineRule="auto"/>
      <w:ind w:left="5103"/>
    </w:pPr>
    <w:rPr>
      <w:rFonts w:eastAsia="Times New Roman" w:cs="Times New Roman"/>
      <w:sz w:val="24"/>
      <w:szCs w:val="24"/>
    </w:r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after="240" w:line="240" w:lineRule="auto"/>
      <w:jc w:val="center"/>
    </w:pPr>
    <w:rPr>
      <w:rFonts w:eastAsia="Times New Roman" w:cs="Times New Roman"/>
      <w:b/>
      <w:i/>
      <w:sz w:val="24"/>
      <w:szCs w:val="24"/>
    </w:rPr>
  </w:style>
  <w:style w:type="paragraph" w:customStyle="1" w:styleId="Typeacteprincipal">
    <w:name w:val="Type acte principal"/>
    <w:basedOn w:val="Normal"/>
    <w:next w:val="Objetacteprincipal"/>
    <w:pPr>
      <w:spacing w:after="240" w:line="240" w:lineRule="auto"/>
      <w:jc w:val="center"/>
    </w:pPr>
    <w:rPr>
      <w:rFonts w:eastAsia="Times New Roman" w:cs="Times New Roman"/>
      <w:b/>
      <w:sz w:val="24"/>
      <w:szCs w:val="24"/>
    </w:rPr>
  </w:style>
  <w:style w:type="paragraph" w:customStyle="1" w:styleId="Objetacteprincipal">
    <w:name w:val="Objet acte principal"/>
    <w:basedOn w:val="Normal"/>
    <w:next w:val="Titrearticle"/>
    <w:pPr>
      <w:spacing w:after="360" w:line="240" w:lineRule="auto"/>
      <w:jc w:val="center"/>
    </w:pPr>
    <w:rPr>
      <w:rFonts w:eastAsia="Times New Roman" w:cs="Times New Roman"/>
      <w:b/>
      <w:sz w:val="24"/>
      <w:szCs w:val="24"/>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line="240" w:lineRule="auto"/>
      <w:jc w:val="center"/>
    </w:pPr>
    <w:rPr>
      <w:rFonts w:eastAsia="Times New Roman" w:cs="Times New Roman"/>
      <w:sz w:val="24"/>
      <w:szCs w:val="24"/>
    </w:rPr>
  </w:style>
  <w:style w:type="paragraph" w:styleId="ListBullet">
    <w:name w:val="List Bullet"/>
    <w:basedOn w:val="Normal"/>
    <w:pPr>
      <w:numPr>
        <w:numId w:val="14"/>
      </w:numPr>
      <w:spacing w:before="120" w:after="120" w:line="240" w:lineRule="auto"/>
      <w:contextualSpacing/>
      <w:jc w:val="both"/>
    </w:pPr>
    <w:rPr>
      <w:rFonts w:eastAsia="Times New Roman" w:cs="Times New Roman"/>
      <w:sz w:val="24"/>
      <w:szCs w:val="24"/>
    </w:rPr>
  </w:style>
  <w:style w:type="paragraph" w:styleId="ListBullet2">
    <w:name w:val="List Bullet 2"/>
    <w:basedOn w:val="Normal"/>
    <w:pPr>
      <w:numPr>
        <w:numId w:val="15"/>
      </w:numPr>
      <w:spacing w:before="120" w:after="120" w:line="240" w:lineRule="auto"/>
      <w:contextualSpacing/>
      <w:jc w:val="both"/>
    </w:pPr>
    <w:rPr>
      <w:rFonts w:eastAsia="Times New Roman" w:cs="Times New Roman"/>
      <w:sz w:val="24"/>
      <w:szCs w:val="24"/>
    </w:rPr>
  </w:style>
  <w:style w:type="paragraph" w:styleId="ListBullet3">
    <w:name w:val="List Bullet 3"/>
    <w:basedOn w:val="Normal"/>
    <w:pPr>
      <w:numPr>
        <w:numId w:val="16"/>
      </w:numPr>
      <w:spacing w:before="120" w:after="120" w:line="240" w:lineRule="auto"/>
      <w:contextualSpacing/>
      <w:jc w:val="both"/>
    </w:pPr>
    <w:rPr>
      <w:rFonts w:eastAsia="Times New Roman" w:cs="Times New Roman"/>
      <w:sz w:val="24"/>
      <w:szCs w:val="24"/>
    </w:rPr>
  </w:style>
  <w:style w:type="paragraph" w:styleId="ListBullet4">
    <w:name w:val="List Bullet 4"/>
    <w:basedOn w:val="Normal"/>
    <w:pPr>
      <w:numPr>
        <w:numId w:val="17"/>
      </w:numPr>
      <w:spacing w:before="120" w:after="120" w:line="240" w:lineRule="auto"/>
      <w:contextualSpacing/>
      <w:jc w:val="both"/>
    </w:pPr>
    <w:rPr>
      <w:rFonts w:eastAsia="Times New Roman" w:cs="Times New Roman"/>
      <w:sz w:val="24"/>
      <w:szCs w:val="24"/>
    </w:rPr>
  </w:style>
  <w:style w:type="paragraph" w:customStyle="1" w:styleId="ListDash">
    <w:name w:val="List Dash"/>
    <w:basedOn w:val="Normal"/>
    <w:pPr>
      <w:numPr>
        <w:numId w:val="18"/>
      </w:numPr>
      <w:spacing w:before="120" w:after="120" w:line="240" w:lineRule="auto"/>
      <w:jc w:val="both"/>
    </w:pPr>
    <w:rPr>
      <w:rFonts w:eastAsia="Times New Roman" w:cs="Times New Roman"/>
      <w:sz w:val="24"/>
      <w:szCs w:val="24"/>
    </w:rPr>
  </w:style>
  <w:style w:type="character" w:styleId="Strong">
    <w:name w:val="Strong"/>
    <w:uiPriority w:val="22"/>
    <w:qFormat/>
    <w:rPr>
      <w:b/>
      <w:bCs/>
    </w:rPr>
  </w:style>
  <w:style w:type="paragraph" w:styleId="ListParagraph">
    <w:name w:val="List Paragraph"/>
    <w:basedOn w:val="Normal"/>
    <w:uiPriority w:val="34"/>
    <w:qFormat/>
    <w:pPr>
      <w:ind w:left="720"/>
      <w:contextualSpacing/>
    </w:pPr>
    <w:rPr>
      <w:rFonts w:ascii="Calibri" w:eastAsia="Times New Roman" w:hAnsi="Calibri" w:cs="Times New Roman"/>
    </w:rPr>
  </w:style>
  <w:style w:type="numbering" w:styleId="111111">
    <w:name w:val="Outline List 2"/>
    <w:basedOn w:val="NoList"/>
    <w:pPr>
      <w:numPr>
        <w:numId w:val="19"/>
      </w:numPr>
    </w:pPr>
  </w:style>
  <w:style w:type="character" w:styleId="PageNumber">
    <w:name w:val="page number"/>
  </w:style>
  <w:style w:type="paragraph" w:customStyle="1" w:styleId="Default">
    <w:name w:val="Default"/>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4"/>
    </w:rPr>
  </w:style>
  <w:style w:type="paragraph" w:styleId="Caption">
    <w:name w:val="caption"/>
    <w:basedOn w:val="Normal"/>
    <w:next w:val="Normal"/>
    <w:qFormat/>
    <w:pPr>
      <w:spacing w:before="120" w:after="120" w:line="240" w:lineRule="auto"/>
      <w:jc w:val="both"/>
    </w:pPr>
    <w:rPr>
      <w:rFonts w:eastAsia="Times New Roman" w:cs="Times New Roman"/>
      <w:b/>
      <w:bCs/>
      <w:sz w:val="20"/>
      <w:szCs w:val="20"/>
    </w:rPr>
  </w:style>
  <w:style w:type="paragraph" w:styleId="TableofFigures">
    <w:name w:val="table of figures"/>
    <w:basedOn w:val="Normal"/>
    <w:next w:val="Normal"/>
    <w:pPr>
      <w:spacing w:before="120" w:after="120" w:line="240" w:lineRule="auto"/>
      <w:jc w:val="both"/>
    </w:pPr>
    <w:rPr>
      <w:rFonts w:eastAsia="Times New Roman" w:cs="Times New Roman"/>
      <w:sz w:val="24"/>
      <w:szCs w:val="24"/>
    </w:rPr>
  </w:style>
  <w:style w:type="paragraph" w:styleId="ListNumber">
    <w:name w:val="List Number"/>
    <w:basedOn w:val="Normal"/>
    <w:pPr>
      <w:numPr>
        <w:numId w:val="21"/>
      </w:numPr>
      <w:spacing w:before="120" w:after="120" w:line="240" w:lineRule="auto"/>
      <w:contextualSpacing/>
      <w:jc w:val="both"/>
    </w:pPr>
    <w:rPr>
      <w:rFonts w:eastAsia="Times New Roman" w:cs="Times New Roman"/>
      <w:sz w:val="24"/>
      <w:szCs w:val="24"/>
    </w:rPr>
  </w:style>
  <w:style w:type="paragraph" w:styleId="ListNumber2">
    <w:name w:val="List Number 2"/>
    <w:basedOn w:val="Normal"/>
    <w:pPr>
      <w:numPr>
        <w:numId w:val="22"/>
      </w:numPr>
      <w:spacing w:before="120" w:after="120" w:line="240" w:lineRule="auto"/>
      <w:contextualSpacing/>
      <w:jc w:val="both"/>
    </w:pPr>
    <w:rPr>
      <w:rFonts w:eastAsia="Times New Roman" w:cs="Times New Roman"/>
      <w:sz w:val="24"/>
      <w:szCs w:val="24"/>
    </w:rPr>
  </w:style>
  <w:style w:type="paragraph" w:styleId="ListNumber3">
    <w:name w:val="List Number 3"/>
    <w:basedOn w:val="Normal"/>
    <w:pPr>
      <w:numPr>
        <w:numId w:val="23"/>
      </w:numPr>
      <w:spacing w:before="120" w:after="120" w:line="240" w:lineRule="auto"/>
      <w:contextualSpacing/>
      <w:jc w:val="both"/>
    </w:pPr>
    <w:rPr>
      <w:rFonts w:eastAsia="Times New Roman" w:cs="Times New Roman"/>
      <w:sz w:val="24"/>
      <w:szCs w:val="24"/>
    </w:rPr>
  </w:style>
  <w:style w:type="paragraph" w:styleId="ListNumber4">
    <w:name w:val="List Number 4"/>
    <w:basedOn w:val="Normal"/>
    <w:pPr>
      <w:numPr>
        <w:numId w:val="24"/>
      </w:numPr>
      <w:spacing w:before="120" w:after="120" w:line="240" w:lineRule="auto"/>
      <w:contextualSpacing/>
      <w:jc w:val="both"/>
    </w:pPr>
    <w:rPr>
      <w:rFonts w:eastAsia="Times New Roman" w:cs="Times New Roman"/>
      <w:sz w:val="24"/>
      <w:szCs w:val="24"/>
    </w:rPr>
  </w:style>
  <w:style w:type="character" w:customStyle="1" w:styleId="TypedudocumentChar">
    <w:name w:val="Type du document Char"/>
    <w:link w:val="Typedudocument"/>
    <w:rPr>
      <w:rFonts w:ascii="Times New Roman" w:eastAsia="Times New Roman" w:hAnsi="Times New Roman" w:cs="Times New Roman"/>
      <w:b/>
      <w:sz w:val="24"/>
      <w:szCs w:val="24"/>
    </w:rPr>
  </w:style>
  <w:style w:type="paragraph" w:styleId="DocumentMap">
    <w:name w:val="Document Map"/>
    <w:basedOn w:val="Normal"/>
    <w:link w:val="DocumentMapChar"/>
    <w:semiHidden/>
    <w:pPr>
      <w:shd w:val="clear" w:color="auto" w:fill="000080"/>
    </w:pPr>
    <w:rPr>
      <w:rFonts w:ascii="Tahoma" w:eastAsia="Calibri" w:hAnsi="Tahoma" w:cs="Tahoma"/>
    </w:rPr>
  </w:style>
  <w:style w:type="character" w:customStyle="1" w:styleId="DocumentMapChar">
    <w:name w:val="Document Map Char"/>
    <w:basedOn w:val="DefaultParagraphFont"/>
    <w:link w:val="DocumentMap"/>
    <w:semiHidden/>
    <w:rPr>
      <w:rFonts w:ascii="Tahoma" w:eastAsia="Calibri" w:hAnsi="Tahoma" w:cs="Tahoma"/>
      <w:shd w:val="clear" w:color="auto" w:fill="000080"/>
    </w:rPr>
  </w:style>
  <w:style w:type="paragraph" w:customStyle="1" w:styleId="EntInstit">
    <w:name w:val="EntInstit"/>
    <w:basedOn w:val="NormalConseil"/>
    <w:pPr>
      <w:jc w:val="right"/>
    </w:pPr>
    <w:rPr>
      <w:b/>
    </w:rPr>
  </w:style>
  <w:style w:type="paragraph" w:customStyle="1" w:styleId="NormalConseil">
    <w:name w:val="NormalConseil"/>
    <w:basedOn w:val="Normal"/>
    <w:pPr>
      <w:spacing w:after="0" w:line="240" w:lineRule="auto"/>
    </w:pPr>
    <w:rPr>
      <w:rFonts w:eastAsia="Times New Roman" w:cs="Times New Roman"/>
      <w:sz w:val="24"/>
      <w:szCs w:val="20"/>
    </w:rPr>
  </w:style>
  <w:style w:type="paragraph" w:customStyle="1" w:styleId="EntRefer">
    <w:name w:val="EntRefer"/>
    <w:basedOn w:val="NormalConseil"/>
    <w:rPr>
      <w:b/>
    </w:rPr>
  </w:style>
  <w:style w:type="paragraph" w:customStyle="1" w:styleId="EntEmet">
    <w:name w:val="EntEmet"/>
    <w:basedOn w:val="NormalConseil"/>
    <w:pPr>
      <w:tabs>
        <w:tab w:val="left" w:pos="284"/>
        <w:tab w:val="left" w:pos="567"/>
        <w:tab w:val="left" w:pos="851"/>
        <w:tab w:val="left" w:pos="1134"/>
        <w:tab w:val="left" w:pos="1418"/>
      </w:tabs>
      <w:spacing w:before="40"/>
    </w:pPr>
  </w:style>
  <w:style w:type="paragraph" w:customStyle="1" w:styleId="EntLogo">
    <w:name w:val="EntLogo"/>
    <w:basedOn w:val="NormalConseil"/>
    <w:next w:val="EntInstit"/>
    <w:pPr>
      <w:spacing w:line="360" w:lineRule="auto"/>
    </w:pPr>
    <w:rPr>
      <w:b/>
    </w:rPr>
  </w:style>
  <w:style w:type="paragraph" w:customStyle="1" w:styleId="FooterConseil">
    <w:name w:val="FooterConseil"/>
    <w:basedOn w:val="NormalConseil"/>
    <w:pPr>
      <w:tabs>
        <w:tab w:val="center" w:pos="4820"/>
        <w:tab w:val="center" w:pos="7371"/>
        <w:tab w:val="right" w:pos="9639"/>
      </w:tabs>
    </w:pPr>
  </w:style>
  <w:style w:type="paragraph" w:styleId="NormalWeb">
    <w:name w:val="Normal (Web)"/>
    <w:basedOn w:val="Normal"/>
    <w:uiPriority w:val="99"/>
    <w:unhideWhenUsed/>
    <w:rPr>
      <w:rFonts w:eastAsia="Calibri" w:cs="Times New Roman"/>
      <w:sz w:val="24"/>
      <w:szCs w:val="24"/>
    </w:rPr>
  </w:style>
  <w:style w:type="table" w:styleId="TableGrid">
    <w:name w:val="Table Grid"/>
    <w:basedOn w:val="TableNormal"/>
    <w:uiPriority w:val="5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numbering" w:customStyle="1" w:styleId="1111111">
    <w:name w:val="1 / 1.1 / 1.1.11"/>
    <w:basedOn w:val="NoList"/>
    <w:next w:val="111111"/>
  </w:style>
  <w:style w:type="table" w:customStyle="1" w:styleId="TableGrid1">
    <w:name w:val="Table Grid1"/>
    <w:basedOn w:val="TableNormal"/>
    <w:next w:val="TableGrid"/>
    <w:uiPriority w:val="5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style>
  <w:style w:type="table" w:styleId="LightList-Accent4">
    <w:name w:val="Light List Accent 4"/>
    <w:basedOn w:val="TableNormal"/>
    <w:uiPriority w:val="61"/>
    <w:pPr>
      <w:spacing w:after="0" w:line="240" w:lineRule="auto"/>
    </w:pPr>
    <w:rPr>
      <w:rFonts w:ascii="Calibri" w:eastAsia="Calibri" w:hAnsi="Calibri"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customStyle="1" w:styleId="footnotedefaultstyleChar">
    <w:name w:val="footnote default style Char"/>
    <w:basedOn w:val="DefaultParagraphFont"/>
    <w:link w:val="footnotedefaultstyle"/>
    <w:locked/>
    <w:rPr>
      <w:rFonts w:ascii="Verdana" w:hAnsi="Verdana"/>
    </w:rPr>
  </w:style>
  <w:style w:type="paragraph" w:customStyle="1" w:styleId="footnotedefaultstyle">
    <w:name w:val="footnote default style"/>
    <w:basedOn w:val="Normal"/>
    <w:link w:val="footnotedefaultstyleChar"/>
    <w:pPr>
      <w:spacing w:after="0" w:line="240" w:lineRule="auto"/>
      <w:ind w:left="357" w:hanging="357"/>
      <w:jc w:val="both"/>
    </w:pPr>
    <w:rPr>
      <w:rFonts w:ascii="Verdana" w:hAnsi="Verdana"/>
    </w:rPr>
  </w:style>
  <w:style w:type="paragraph" w:customStyle="1" w:styleId="rtejustify">
    <w:name w:val="rtejustify"/>
    <w:basedOn w:val="Normal"/>
    <w:pPr>
      <w:spacing w:before="100" w:beforeAutospacing="1" w:after="100" w:afterAutospacing="1" w:line="240" w:lineRule="auto"/>
    </w:pPr>
    <w:rPr>
      <w:rFonts w:eastAsia="Times New Roman" w:cs="Times New Roman"/>
      <w:sz w:val="24"/>
      <w:szCs w:val="24"/>
    </w:rPr>
  </w:style>
  <w:style w:type="paragraph" w:customStyle="1" w:styleId="Declassification">
    <w:name w:val="Declassification"/>
    <w:basedOn w:val="Normal"/>
    <w:next w:val="Normal"/>
    <w:pPr>
      <w:spacing w:after="0" w:line="240" w:lineRule="auto"/>
      <w:jc w:val="both"/>
    </w:pPr>
    <w:rPr>
      <w:rFonts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paragraph" w:customStyle="1" w:styleId="doc-ti">
    <w:name w:val="doc-ti"/>
    <w:basedOn w:val="Normal"/>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9668">
      <w:bodyDiv w:val="1"/>
      <w:marLeft w:val="0"/>
      <w:marRight w:val="0"/>
      <w:marTop w:val="0"/>
      <w:marBottom w:val="0"/>
      <w:divBdr>
        <w:top w:val="none" w:sz="0" w:space="0" w:color="auto"/>
        <w:left w:val="none" w:sz="0" w:space="0" w:color="auto"/>
        <w:bottom w:val="none" w:sz="0" w:space="0" w:color="auto"/>
        <w:right w:val="none" w:sz="0" w:space="0" w:color="auto"/>
      </w:divBdr>
    </w:div>
    <w:div w:id="47151934">
      <w:bodyDiv w:val="1"/>
      <w:marLeft w:val="0"/>
      <w:marRight w:val="0"/>
      <w:marTop w:val="0"/>
      <w:marBottom w:val="0"/>
      <w:divBdr>
        <w:top w:val="none" w:sz="0" w:space="0" w:color="auto"/>
        <w:left w:val="none" w:sz="0" w:space="0" w:color="auto"/>
        <w:bottom w:val="none" w:sz="0" w:space="0" w:color="auto"/>
        <w:right w:val="none" w:sz="0" w:space="0" w:color="auto"/>
      </w:divBdr>
    </w:div>
    <w:div w:id="69355342">
      <w:bodyDiv w:val="1"/>
      <w:marLeft w:val="0"/>
      <w:marRight w:val="0"/>
      <w:marTop w:val="0"/>
      <w:marBottom w:val="0"/>
      <w:divBdr>
        <w:top w:val="none" w:sz="0" w:space="0" w:color="auto"/>
        <w:left w:val="none" w:sz="0" w:space="0" w:color="auto"/>
        <w:bottom w:val="none" w:sz="0" w:space="0" w:color="auto"/>
        <w:right w:val="none" w:sz="0" w:space="0" w:color="auto"/>
      </w:divBdr>
    </w:div>
    <w:div w:id="109395635">
      <w:bodyDiv w:val="1"/>
      <w:marLeft w:val="0"/>
      <w:marRight w:val="0"/>
      <w:marTop w:val="0"/>
      <w:marBottom w:val="0"/>
      <w:divBdr>
        <w:top w:val="none" w:sz="0" w:space="0" w:color="auto"/>
        <w:left w:val="none" w:sz="0" w:space="0" w:color="auto"/>
        <w:bottom w:val="none" w:sz="0" w:space="0" w:color="auto"/>
        <w:right w:val="none" w:sz="0" w:space="0" w:color="auto"/>
      </w:divBdr>
    </w:div>
    <w:div w:id="127480165">
      <w:bodyDiv w:val="1"/>
      <w:marLeft w:val="0"/>
      <w:marRight w:val="0"/>
      <w:marTop w:val="0"/>
      <w:marBottom w:val="0"/>
      <w:divBdr>
        <w:top w:val="none" w:sz="0" w:space="0" w:color="auto"/>
        <w:left w:val="none" w:sz="0" w:space="0" w:color="auto"/>
        <w:bottom w:val="none" w:sz="0" w:space="0" w:color="auto"/>
        <w:right w:val="none" w:sz="0" w:space="0" w:color="auto"/>
      </w:divBdr>
    </w:div>
    <w:div w:id="138235314">
      <w:bodyDiv w:val="1"/>
      <w:marLeft w:val="0"/>
      <w:marRight w:val="0"/>
      <w:marTop w:val="0"/>
      <w:marBottom w:val="0"/>
      <w:divBdr>
        <w:top w:val="none" w:sz="0" w:space="0" w:color="auto"/>
        <w:left w:val="none" w:sz="0" w:space="0" w:color="auto"/>
        <w:bottom w:val="none" w:sz="0" w:space="0" w:color="auto"/>
        <w:right w:val="none" w:sz="0" w:space="0" w:color="auto"/>
      </w:divBdr>
      <w:divsChild>
        <w:div w:id="1714885340">
          <w:marLeft w:val="0"/>
          <w:marRight w:val="0"/>
          <w:marTop w:val="0"/>
          <w:marBottom w:val="0"/>
          <w:divBdr>
            <w:top w:val="none" w:sz="0" w:space="0" w:color="auto"/>
            <w:left w:val="none" w:sz="0" w:space="0" w:color="auto"/>
            <w:bottom w:val="none" w:sz="0" w:space="0" w:color="auto"/>
            <w:right w:val="none" w:sz="0" w:space="0" w:color="auto"/>
          </w:divBdr>
          <w:divsChild>
            <w:div w:id="800611097">
              <w:marLeft w:val="0"/>
              <w:marRight w:val="0"/>
              <w:marTop w:val="0"/>
              <w:marBottom w:val="0"/>
              <w:divBdr>
                <w:top w:val="none" w:sz="0" w:space="0" w:color="auto"/>
                <w:left w:val="none" w:sz="0" w:space="0" w:color="auto"/>
                <w:bottom w:val="none" w:sz="0" w:space="0" w:color="auto"/>
                <w:right w:val="none" w:sz="0" w:space="0" w:color="auto"/>
              </w:divBdr>
              <w:divsChild>
                <w:div w:id="1390154784">
                  <w:marLeft w:val="0"/>
                  <w:marRight w:val="0"/>
                  <w:marTop w:val="0"/>
                  <w:marBottom w:val="0"/>
                  <w:divBdr>
                    <w:top w:val="none" w:sz="0" w:space="0" w:color="auto"/>
                    <w:left w:val="none" w:sz="0" w:space="0" w:color="auto"/>
                    <w:bottom w:val="none" w:sz="0" w:space="0" w:color="auto"/>
                    <w:right w:val="none" w:sz="0" w:space="0" w:color="auto"/>
                  </w:divBdr>
                  <w:divsChild>
                    <w:div w:id="214195939">
                      <w:marLeft w:val="0"/>
                      <w:marRight w:val="0"/>
                      <w:marTop w:val="0"/>
                      <w:marBottom w:val="0"/>
                      <w:divBdr>
                        <w:top w:val="none" w:sz="0" w:space="0" w:color="auto"/>
                        <w:left w:val="none" w:sz="0" w:space="0" w:color="auto"/>
                        <w:bottom w:val="none" w:sz="0" w:space="0" w:color="auto"/>
                        <w:right w:val="none" w:sz="0" w:space="0" w:color="auto"/>
                      </w:divBdr>
                      <w:divsChild>
                        <w:div w:id="43313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33958">
      <w:bodyDiv w:val="1"/>
      <w:marLeft w:val="0"/>
      <w:marRight w:val="0"/>
      <w:marTop w:val="0"/>
      <w:marBottom w:val="0"/>
      <w:divBdr>
        <w:top w:val="none" w:sz="0" w:space="0" w:color="auto"/>
        <w:left w:val="none" w:sz="0" w:space="0" w:color="auto"/>
        <w:bottom w:val="none" w:sz="0" w:space="0" w:color="auto"/>
        <w:right w:val="none" w:sz="0" w:space="0" w:color="auto"/>
      </w:divBdr>
    </w:div>
    <w:div w:id="180516488">
      <w:bodyDiv w:val="1"/>
      <w:marLeft w:val="0"/>
      <w:marRight w:val="0"/>
      <w:marTop w:val="0"/>
      <w:marBottom w:val="0"/>
      <w:divBdr>
        <w:top w:val="none" w:sz="0" w:space="0" w:color="auto"/>
        <w:left w:val="none" w:sz="0" w:space="0" w:color="auto"/>
        <w:bottom w:val="none" w:sz="0" w:space="0" w:color="auto"/>
        <w:right w:val="none" w:sz="0" w:space="0" w:color="auto"/>
      </w:divBdr>
    </w:div>
    <w:div w:id="183641237">
      <w:bodyDiv w:val="1"/>
      <w:marLeft w:val="0"/>
      <w:marRight w:val="0"/>
      <w:marTop w:val="0"/>
      <w:marBottom w:val="0"/>
      <w:divBdr>
        <w:top w:val="none" w:sz="0" w:space="0" w:color="auto"/>
        <w:left w:val="none" w:sz="0" w:space="0" w:color="auto"/>
        <w:bottom w:val="none" w:sz="0" w:space="0" w:color="auto"/>
        <w:right w:val="none" w:sz="0" w:space="0" w:color="auto"/>
      </w:divBdr>
    </w:div>
    <w:div w:id="205266399">
      <w:bodyDiv w:val="1"/>
      <w:marLeft w:val="0"/>
      <w:marRight w:val="0"/>
      <w:marTop w:val="0"/>
      <w:marBottom w:val="0"/>
      <w:divBdr>
        <w:top w:val="none" w:sz="0" w:space="0" w:color="auto"/>
        <w:left w:val="none" w:sz="0" w:space="0" w:color="auto"/>
        <w:bottom w:val="none" w:sz="0" w:space="0" w:color="auto"/>
        <w:right w:val="none" w:sz="0" w:space="0" w:color="auto"/>
      </w:divBdr>
    </w:div>
    <w:div w:id="207030180">
      <w:bodyDiv w:val="1"/>
      <w:marLeft w:val="0"/>
      <w:marRight w:val="0"/>
      <w:marTop w:val="0"/>
      <w:marBottom w:val="0"/>
      <w:divBdr>
        <w:top w:val="none" w:sz="0" w:space="0" w:color="auto"/>
        <w:left w:val="none" w:sz="0" w:space="0" w:color="auto"/>
        <w:bottom w:val="none" w:sz="0" w:space="0" w:color="auto"/>
        <w:right w:val="none" w:sz="0" w:space="0" w:color="auto"/>
      </w:divBdr>
    </w:div>
    <w:div w:id="262689349">
      <w:bodyDiv w:val="1"/>
      <w:marLeft w:val="0"/>
      <w:marRight w:val="0"/>
      <w:marTop w:val="0"/>
      <w:marBottom w:val="0"/>
      <w:divBdr>
        <w:top w:val="none" w:sz="0" w:space="0" w:color="auto"/>
        <w:left w:val="none" w:sz="0" w:space="0" w:color="auto"/>
        <w:bottom w:val="none" w:sz="0" w:space="0" w:color="auto"/>
        <w:right w:val="none" w:sz="0" w:space="0" w:color="auto"/>
      </w:divBdr>
    </w:div>
    <w:div w:id="291132663">
      <w:bodyDiv w:val="1"/>
      <w:marLeft w:val="0"/>
      <w:marRight w:val="0"/>
      <w:marTop w:val="0"/>
      <w:marBottom w:val="0"/>
      <w:divBdr>
        <w:top w:val="none" w:sz="0" w:space="0" w:color="auto"/>
        <w:left w:val="none" w:sz="0" w:space="0" w:color="auto"/>
        <w:bottom w:val="none" w:sz="0" w:space="0" w:color="auto"/>
        <w:right w:val="none" w:sz="0" w:space="0" w:color="auto"/>
      </w:divBdr>
    </w:div>
    <w:div w:id="300775213">
      <w:bodyDiv w:val="1"/>
      <w:marLeft w:val="0"/>
      <w:marRight w:val="0"/>
      <w:marTop w:val="0"/>
      <w:marBottom w:val="0"/>
      <w:divBdr>
        <w:top w:val="none" w:sz="0" w:space="0" w:color="auto"/>
        <w:left w:val="none" w:sz="0" w:space="0" w:color="auto"/>
        <w:bottom w:val="none" w:sz="0" w:space="0" w:color="auto"/>
        <w:right w:val="none" w:sz="0" w:space="0" w:color="auto"/>
      </w:divBdr>
    </w:div>
    <w:div w:id="372006173">
      <w:bodyDiv w:val="1"/>
      <w:marLeft w:val="0"/>
      <w:marRight w:val="0"/>
      <w:marTop w:val="0"/>
      <w:marBottom w:val="0"/>
      <w:divBdr>
        <w:top w:val="none" w:sz="0" w:space="0" w:color="auto"/>
        <w:left w:val="none" w:sz="0" w:space="0" w:color="auto"/>
        <w:bottom w:val="none" w:sz="0" w:space="0" w:color="auto"/>
        <w:right w:val="none" w:sz="0" w:space="0" w:color="auto"/>
      </w:divBdr>
    </w:div>
    <w:div w:id="373194080">
      <w:bodyDiv w:val="1"/>
      <w:marLeft w:val="0"/>
      <w:marRight w:val="0"/>
      <w:marTop w:val="0"/>
      <w:marBottom w:val="0"/>
      <w:divBdr>
        <w:top w:val="none" w:sz="0" w:space="0" w:color="auto"/>
        <w:left w:val="none" w:sz="0" w:space="0" w:color="auto"/>
        <w:bottom w:val="none" w:sz="0" w:space="0" w:color="auto"/>
        <w:right w:val="none" w:sz="0" w:space="0" w:color="auto"/>
      </w:divBdr>
    </w:div>
    <w:div w:id="460730473">
      <w:bodyDiv w:val="1"/>
      <w:marLeft w:val="0"/>
      <w:marRight w:val="0"/>
      <w:marTop w:val="0"/>
      <w:marBottom w:val="0"/>
      <w:divBdr>
        <w:top w:val="none" w:sz="0" w:space="0" w:color="auto"/>
        <w:left w:val="none" w:sz="0" w:space="0" w:color="auto"/>
        <w:bottom w:val="none" w:sz="0" w:space="0" w:color="auto"/>
        <w:right w:val="none" w:sz="0" w:space="0" w:color="auto"/>
      </w:divBdr>
    </w:div>
    <w:div w:id="461387523">
      <w:bodyDiv w:val="1"/>
      <w:marLeft w:val="0"/>
      <w:marRight w:val="0"/>
      <w:marTop w:val="0"/>
      <w:marBottom w:val="0"/>
      <w:divBdr>
        <w:top w:val="none" w:sz="0" w:space="0" w:color="auto"/>
        <w:left w:val="none" w:sz="0" w:space="0" w:color="auto"/>
        <w:bottom w:val="none" w:sz="0" w:space="0" w:color="auto"/>
        <w:right w:val="none" w:sz="0" w:space="0" w:color="auto"/>
      </w:divBdr>
    </w:div>
    <w:div w:id="575434405">
      <w:bodyDiv w:val="1"/>
      <w:marLeft w:val="0"/>
      <w:marRight w:val="0"/>
      <w:marTop w:val="0"/>
      <w:marBottom w:val="0"/>
      <w:divBdr>
        <w:top w:val="none" w:sz="0" w:space="0" w:color="auto"/>
        <w:left w:val="none" w:sz="0" w:space="0" w:color="auto"/>
        <w:bottom w:val="none" w:sz="0" w:space="0" w:color="auto"/>
        <w:right w:val="none" w:sz="0" w:space="0" w:color="auto"/>
      </w:divBdr>
    </w:div>
    <w:div w:id="607927946">
      <w:bodyDiv w:val="1"/>
      <w:marLeft w:val="0"/>
      <w:marRight w:val="0"/>
      <w:marTop w:val="0"/>
      <w:marBottom w:val="0"/>
      <w:divBdr>
        <w:top w:val="none" w:sz="0" w:space="0" w:color="auto"/>
        <w:left w:val="none" w:sz="0" w:space="0" w:color="auto"/>
        <w:bottom w:val="none" w:sz="0" w:space="0" w:color="auto"/>
        <w:right w:val="none" w:sz="0" w:space="0" w:color="auto"/>
      </w:divBdr>
      <w:divsChild>
        <w:div w:id="850022250">
          <w:marLeft w:val="0"/>
          <w:marRight w:val="0"/>
          <w:marTop w:val="0"/>
          <w:marBottom w:val="0"/>
          <w:divBdr>
            <w:top w:val="none" w:sz="0" w:space="0" w:color="auto"/>
            <w:left w:val="none" w:sz="0" w:space="0" w:color="auto"/>
            <w:bottom w:val="none" w:sz="0" w:space="0" w:color="auto"/>
            <w:right w:val="none" w:sz="0" w:space="0" w:color="auto"/>
          </w:divBdr>
          <w:divsChild>
            <w:div w:id="556169316">
              <w:marLeft w:val="0"/>
              <w:marRight w:val="0"/>
              <w:marTop w:val="0"/>
              <w:marBottom w:val="0"/>
              <w:divBdr>
                <w:top w:val="none" w:sz="0" w:space="0" w:color="auto"/>
                <w:left w:val="none" w:sz="0" w:space="0" w:color="auto"/>
                <w:bottom w:val="none" w:sz="0" w:space="0" w:color="auto"/>
                <w:right w:val="none" w:sz="0" w:space="0" w:color="auto"/>
              </w:divBdr>
              <w:divsChild>
                <w:div w:id="281882465">
                  <w:marLeft w:val="0"/>
                  <w:marRight w:val="0"/>
                  <w:marTop w:val="0"/>
                  <w:marBottom w:val="0"/>
                  <w:divBdr>
                    <w:top w:val="none" w:sz="0" w:space="0" w:color="auto"/>
                    <w:left w:val="none" w:sz="0" w:space="0" w:color="auto"/>
                    <w:bottom w:val="none" w:sz="0" w:space="0" w:color="auto"/>
                    <w:right w:val="none" w:sz="0" w:space="0" w:color="auto"/>
                  </w:divBdr>
                  <w:divsChild>
                    <w:div w:id="665787151">
                      <w:marLeft w:val="0"/>
                      <w:marRight w:val="0"/>
                      <w:marTop w:val="0"/>
                      <w:marBottom w:val="0"/>
                      <w:divBdr>
                        <w:top w:val="none" w:sz="0" w:space="0" w:color="auto"/>
                        <w:left w:val="none" w:sz="0" w:space="0" w:color="auto"/>
                        <w:bottom w:val="none" w:sz="0" w:space="0" w:color="auto"/>
                        <w:right w:val="none" w:sz="0" w:space="0" w:color="auto"/>
                      </w:divBdr>
                      <w:divsChild>
                        <w:div w:id="959649044">
                          <w:marLeft w:val="0"/>
                          <w:marRight w:val="0"/>
                          <w:marTop w:val="150"/>
                          <w:marBottom w:val="0"/>
                          <w:divBdr>
                            <w:top w:val="none" w:sz="0" w:space="0" w:color="auto"/>
                            <w:left w:val="none" w:sz="0" w:space="0" w:color="auto"/>
                            <w:bottom w:val="none" w:sz="0" w:space="0" w:color="auto"/>
                            <w:right w:val="none" w:sz="0" w:space="0" w:color="auto"/>
                          </w:divBdr>
                          <w:divsChild>
                            <w:div w:id="1542665418">
                              <w:marLeft w:val="0"/>
                              <w:marRight w:val="0"/>
                              <w:marTop w:val="0"/>
                              <w:marBottom w:val="0"/>
                              <w:divBdr>
                                <w:top w:val="none" w:sz="0" w:space="0" w:color="auto"/>
                                <w:left w:val="none" w:sz="0" w:space="0" w:color="auto"/>
                                <w:bottom w:val="none" w:sz="0" w:space="0" w:color="auto"/>
                                <w:right w:val="none" w:sz="0" w:space="0" w:color="auto"/>
                              </w:divBdr>
                              <w:divsChild>
                                <w:div w:id="355693972">
                                  <w:marLeft w:val="0"/>
                                  <w:marRight w:val="0"/>
                                  <w:marTop w:val="0"/>
                                  <w:marBottom w:val="0"/>
                                  <w:divBdr>
                                    <w:top w:val="none" w:sz="0" w:space="0" w:color="auto"/>
                                    <w:left w:val="none" w:sz="0" w:space="0" w:color="auto"/>
                                    <w:bottom w:val="none" w:sz="0" w:space="0" w:color="auto"/>
                                    <w:right w:val="none" w:sz="0" w:space="0" w:color="auto"/>
                                  </w:divBdr>
                                  <w:divsChild>
                                    <w:div w:id="1020623427">
                                      <w:marLeft w:val="0"/>
                                      <w:marRight w:val="0"/>
                                      <w:marTop w:val="0"/>
                                      <w:marBottom w:val="0"/>
                                      <w:divBdr>
                                        <w:top w:val="none" w:sz="0" w:space="0" w:color="auto"/>
                                        <w:left w:val="none" w:sz="0" w:space="0" w:color="auto"/>
                                        <w:bottom w:val="none" w:sz="0" w:space="0" w:color="auto"/>
                                        <w:right w:val="none" w:sz="0" w:space="0" w:color="auto"/>
                                      </w:divBdr>
                                      <w:divsChild>
                                        <w:div w:id="1049308148">
                                          <w:marLeft w:val="0"/>
                                          <w:marRight w:val="0"/>
                                          <w:marTop w:val="0"/>
                                          <w:marBottom w:val="0"/>
                                          <w:divBdr>
                                            <w:top w:val="none" w:sz="0" w:space="0" w:color="auto"/>
                                            <w:left w:val="none" w:sz="0" w:space="0" w:color="auto"/>
                                            <w:bottom w:val="none" w:sz="0" w:space="0" w:color="auto"/>
                                            <w:right w:val="none" w:sz="0" w:space="0" w:color="auto"/>
                                          </w:divBdr>
                                          <w:divsChild>
                                            <w:div w:id="2060124732">
                                              <w:marLeft w:val="0"/>
                                              <w:marRight w:val="0"/>
                                              <w:marTop w:val="0"/>
                                              <w:marBottom w:val="0"/>
                                              <w:divBdr>
                                                <w:top w:val="none" w:sz="0" w:space="0" w:color="auto"/>
                                                <w:left w:val="none" w:sz="0" w:space="0" w:color="auto"/>
                                                <w:bottom w:val="none" w:sz="0" w:space="0" w:color="auto"/>
                                                <w:right w:val="none" w:sz="0" w:space="0" w:color="auto"/>
                                              </w:divBdr>
                                              <w:divsChild>
                                                <w:div w:id="1241257141">
                                                  <w:marLeft w:val="0"/>
                                                  <w:marRight w:val="0"/>
                                                  <w:marTop w:val="0"/>
                                                  <w:marBottom w:val="0"/>
                                                  <w:divBdr>
                                                    <w:top w:val="none" w:sz="0" w:space="0" w:color="auto"/>
                                                    <w:left w:val="none" w:sz="0" w:space="0" w:color="auto"/>
                                                    <w:bottom w:val="none" w:sz="0" w:space="0" w:color="auto"/>
                                                    <w:right w:val="none" w:sz="0" w:space="0" w:color="auto"/>
                                                  </w:divBdr>
                                                  <w:divsChild>
                                                    <w:div w:id="581329241">
                                                      <w:marLeft w:val="0"/>
                                                      <w:marRight w:val="0"/>
                                                      <w:marTop w:val="0"/>
                                                      <w:marBottom w:val="0"/>
                                                      <w:divBdr>
                                                        <w:top w:val="none" w:sz="0" w:space="0" w:color="auto"/>
                                                        <w:left w:val="none" w:sz="0" w:space="0" w:color="auto"/>
                                                        <w:bottom w:val="none" w:sz="0" w:space="0" w:color="auto"/>
                                                        <w:right w:val="none" w:sz="0" w:space="0" w:color="auto"/>
                                                      </w:divBdr>
                                                      <w:divsChild>
                                                        <w:div w:id="206570183">
                                                          <w:marLeft w:val="0"/>
                                                          <w:marRight w:val="0"/>
                                                          <w:marTop w:val="0"/>
                                                          <w:marBottom w:val="0"/>
                                                          <w:divBdr>
                                                            <w:top w:val="none" w:sz="0" w:space="0" w:color="auto"/>
                                                            <w:left w:val="none" w:sz="0" w:space="0" w:color="auto"/>
                                                            <w:bottom w:val="none" w:sz="0" w:space="0" w:color="auto"/>
                                                            <w:right w:val="none" w:sz="0" w:space="0" w:color="auto"/>
                                                          </w:divBdr>
                                                          <w:divsChild>
                                                            <w:div w:id="462773388">
                                                              <w:marLeft w:val="0"/>
                                                              <w:marRight w:val="0"/>
                                                              <w:marTop w:val="0"/>
                                                              <w:marBottom w:val="0"/>
                                                              <w:divBdr>
                                                                <w:top w:val="none" w:sz="0" w:space="0" w:color="auto"/>
                                                                <w:left w:val="none" w:sz="0" w:space="0" w:color="auto"/>
                                                                <w:bottom w:val="none" w:sz="0" w:space="0" w:color="auto"/>
                                                                <w:right w:val="none" w:sz="0" w:space="0" w:color="auto"/>
                                                              </w:divBdr>
                                                              <w:divsChild>
                                                                <w:div w:id="1824925186">
                                                                  <w:marLeft w:val="0"/>
                                                                  <w:marRight w:val="0"/>
                                                                  <w:marTop w:val="0"/>
                                                                  <w:marBottom w:val="0"/>
                                                                  <w:divBdr>
                                                                    <w:top w:val="none" w:sz="0" w:space="0" w:color="auto"/>
                                                                    <w:left w:val="none" w:sz="0" w:space="0" w:color="auto"/>
                                                                    <w:bottom w:val="none" w:sz="0" w:space="0" w:color="auto"/>
                                                                    <w:right w:val="none" w:sz="0" w:space="0" w:color="auto"/>
                                                                  </w:divBdr>
                                                                  <w:divsChild>
                                                                    <w:div w:id="706687569">
                                                                      <w:marLeft w:val="0"/>
                                                                      <w:marRight w:val="0"/>
                                                                      <w:marTop w:val="0"/>
                                                                      <w:marBottom w:val="0"/>
                                                                      <w:divBdr>
                                                                        <w:top w:val="none" w:sz="0" w:space="0" w:color="auto"/>
                                                                        <w:left w:val="none" w:sz="0" w:space="0" w:color="auto"/>
                                                                        <w:bottom w:val="none" w:sz="0" w:space="0" w:color="auto"/>
                                                                        <w:right w:val="none" w:sz="0" w:space="0" w:color="auto"/>
                                                                      </w:divBdr>
                                                                      <w:divsChild>
                                                                        <w:div w:id="22795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4213952">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54321380">
      <w:bodyDiv w:val="1"/>
      <w:marLeft w:val="0"/>
      <w:marRight w:val="0"/>
      <w:marTop w:val="0"/>
      <w:marBottom w:val="0"/>
      <w:divBdr>
        <w:top w:val="none" w:sz="0" w:space="0" w:color="auto"/>
        <w:left w:val="none" w:sz="0" w:space="0" w:color="auto"/>
        <w:bottom w:val="none" w:sz="0" w:space="0" w:color="auto"/>
        <w:right w:val="none" w:sz="0" w:space="0" w:color="auto"/>
      </w:divBdr>
    </w:div>
    <w:div w:id="814033623">
      <w:bodyDiv w:val="1"/>
      <w:marLeft w:val="0"/>
      <w:marRight w:val="0"/>
      <w:marTop w:val="0"/>
      <w:marBottom w:val="0"/>
      <w:divBdr>
        <w:top w:val="none" w:sz="0" w:space="0" w:color="auto"/>
        <w:left w:val="none" w:sz="0" w:space="0" w:color="auto"/>
        <w:bottom w:val="none" w:sz="0" w:space="0" w:color="auto"/>
        <w:right w:val="none" w:sz="0" w:space="0" w:color="auto"/>
      </w:divBdr>
    </w:div>
    <w:div w:id="932324286">
      <w:bodyDiv w:val="1"/>
      <w:marLeft w:val="0"/>
      <w:marRight w:val="0"/>
      <w:marTop w:val="0"/>
      <w:marBottom w:val="0"/>
      <w:divBdr>
        <w:top w:val="none" w:sz="0" w:space="0" w:color="auto"/>
        <w:left w:val="none" w:sz="0" w:space="0" w:color="auto"/>
        <w:bottom w:val="none" w:sz="0" w:space="0" w:color="auto"/>
        <w:right w:val="none" w:sz="0" w:space="0" w:color="auto"/>
      </w:divBdr>
    </w:div>
    <w:div w:id="968626350">
      <w:bodyDiv w:val="1"/>
      <w:marLeft w:val="0"/>
      <w:marRight w:val="0"/>
      <w:marTop w:val="0"/>
      <w:marBottom w:val="0"/>
      <w:divBdr>
        <w:top w:val="none" w:sz="0" w:space="0" w:color="auto"/>
        <w:left w:val="none" w:sz="0" w:space="0" w:color="auto"/>
        <w:bottom w:val="none" w:sz="0" w:space="0" w:color="auto"/>
        <w:right w:val="none" w:sz="0" w:space="0" w:color="auto"/>
      </w:divBdr>
    </w:div>
    <w:div w:id="1045570462">
      <w:bodyDiv w:val="1"/>
      <w:marLeft w:val="0"/>
      <w:marRight w:val="0"/>
      <w:marTop w:val="0"/>
      <w:marBottom w:val="0"/>
      <w:divBdr>
        <w:top w:val="none" w:sz="0" w:space="0" w:color="auto"/>
        <w:left w:val="none" w:sz="0" w:space="0" w:color="auto"/>
        <w:bottom w:val="none" w:sz="0" w:space="0" w:color="auto"/>
        <w:right w:val="none" w:sz="0" w:space="0" w:color="auto"/>
      </w:divBdr>
    </w:div>
    <w:div w:id="1061368972">
      <w:bodyDiv w:val="1"/>
      <w:marLeft w:val="0"/>
      <w:marRight w:val="0"/>
      <w:marTop w:val="0"/>
      <w:marBottom w:val="0"/>
      <w:divBdr>
        <w:top w:val="none" w:sz="0" w:space="0" w:color="auto"/>
        <w:left w:val="none" w:sz="0" w:space="0" w:color="auto"/>
        <w:bottom w:val="none" w:sz="0" w:space="0" w:color="auto"/>
        <w:right w:val="none" w:sz="0" w:space="0" w:color="auto"/>
      </w:divBdr>
    </w:div>
    <w:div w:id="1096756206">
      <w:bodyDiv w:val="1"/>
      <w:marLeft w:val="0"/>
      <w:marRight w:val="0"/>
      <w:marTop w:val="0"/>
      <w:marBottom w:val="0"/>
      <w:divBdr>
        <w:top w:val="none" w:sz="0" w:space="0" w:color="auto"/>
        <w:left w:val="none" w:sz="0" w:space="0" w:color="auto"/>
        <w:bottom w:val="none" w:sz="0" w:space="0" w:color="auto"/>
        <w:right w:val="none" w:sz="0" w:space="0" w:color="auto"/>
      </w:divBdr>
    </w:div>
    <w:div w:id="1105732180">
      <w:bodyDiv w:val="1"/>
      <w:marLeft w:val="0"/>
      <w:marRight w:val="0"/>
      <w:marTop w:val="0"/>
      <w:marBottom w:val="0"/>
      <w:divBdr>
        <w:top w:val="none" w:sz="0" w:space="0" w:color="auto"/>
        <w:left w:val="none" w:sz="0" w:space="0" w:color="auto"/>
        <w:bottom w:val="none" w:sz="0" w:space="0" w:color="auto"/>
        <w:right w:val="none" w:sz="0" w:space="0" w:color="auto"/>
      </w:divBdr>
    </w:div>
    <w:div w:id="1112699578">
      <w:bodyDiv w:val="1"/>
      <w:marLeft w:val="0"/>
      <w:marRight w:val="0"/>
      <w:marTop w:val="0"/>
      <w:marBottom w:val="0"/>
      <w:divBdr>
        <w:top w:val="none" w:sz="0" w:space="0" w:color="auto"/>
        <w:left w:val="none" w:sz="0" w:space="0" w:color="auto"/>
        <w:bottom w:val="none" w:sz="0" w:space="0" w:color="auto"/>
        <w:right w:val="none" w:sz="0" w:space="0" w:color="auto"/>
      </w:divBdr>
    </w:div>
    <w:div w:id="1131288496">
      <w:bodyDiv w:val="1"/>
      <w:marLeft w:val="0"/>
      <w:marRight w:val="0"/>
      <w:marTop w:val="0"/>
      <w:marBottom w:val="0"/>
      <w:divBdr>
        <w:top w:val="none" w:sz="0" w:space="0" w:color="auto"/>
        <w:left w:val="none" w:sz="0" w:space="0" w:color="auto"/>
        <w:bottom w:val="none" w:sz="0" w:space="0" w:color="auto"/>
        <w:right w:val="none" w:sz="0" w:space="0" w:color="auto"/>
      </w:divBdr>
    </w:div>
    <w:div w:id="1216622994">
      <w:bodyDiv w:val="1"/>
      <w:marLeft w:val="0"/>
      <w:marRight w:val="0"/>
      <w:marTop w:val="0"/>
      <w:marBottom w:val="0"/>
      <w:divBdr>
        <w:top w:val="none" w:sz="0" w:space="0" w:color="auto"/>
        <w:left w:val="none" w:sz="0" w:space="0" w:color="auto"/>
        <w:bottom w:val="none" w:sz="0" w:space="0" w:color="auto"/>
        <w:right w:val="none" w:sz="0" w:space="0" w:color="auto"/>
      </w:divBdr>
    </w:div>
    <w:div w:id="1228803273">
      <w:bodyDiv w:val="1"/>
      <w:marLeft w:val="0"/>
      <w:marRight w:val="0"/>
      <w:marTop w:val="0"/>
      <w:marBottom w:val="0"/>
      <w:divBdr>
        <w:top w:val="none" w:sz="0" w:space="0" w:color="auto"/>
        <w:left w:val="none" w:sz="0" w:space="0" w:color="auto"/>
        <w:bottom w:val="none" w:sz="0" w:space="0" w:color="auto"/>
        <w:right w:val="none" w:sz="0" w:space="0" w:color="auto"/>
      </w:divBdr>
    </w:div>
    <w:div w:id="1249265688">
      <w:bodyDiv w:val="1"/>
      <w:marLeft w:val="0"/>
      <w:marRight w:val="0"/>
      <w:marTop w:val="0"/>
      <w:marBottom w:val="0"/>
      <w:divBdr>
        <w:top w:val="none" w:sz="0" w:space="0" w:color="auto"/>
        <w:left w:val="none" w:sz="0" w:space="0" w:color="auto"/>
        <w:bottom w:val="none" w:sz="0" w:space="0" w:color="auto"/>
        <w:right w:val="none" w:sz="0" w:space="0" w:color="auto"/>
      </w:divBdr>
    </w:div>
    <w:div w:id="1252543980">
      <w:bodyDiv w:val="1"/>
      <w:marLeft w:val="0"/>
      <w:marRight w:val="0"/>
      <w:marTop w:val="0"/>
      <w:marBottom w:val="0"/>
      <w:divBdr>
        <w:top w:val="none" w:sz="0" w:space="0" w:color="auto"/>
        <w:left w:val="none" w:sz="0" w:space="0" w:color="auto"/>
        <w:bottom w:val="none" w:sz="0" w:space="0" w:color="auto"/>
        <w:right w:val="none" w:sz="0" w:space="0" w:color="auto"/>
      </w:divBdr>
    </w:div>
    <w:div w:id="1292201186">
      <w:bodyDiv w:val="1"/>
      <w:marLeft w:val="0"/>
      <w:marRight w:val="0"/>
      <w:marTop w:val="0"/>
      <w:marBottom w:val="0"/>
      <w:divBdr>
        <w:top w:val="none" w:sz="0" w:space="0" w:color="auto"/>
        <w:left w:val="none" w:sz="0" w:space="0" w:color="auto"/>
        <w:bottom w:val="none" w:sz="0" w:space="0" w:color="auto"/>
        <w:right w:val="none" w:sz="0" w:space="0" w:color="auto"/>
      </w:divBdr>
    </w:div>
    <w:div w:id="1316103323">
      <w:bodyDiv w:val="1"/>
      <w:marLeft w:val="0"/>
      <w:marRight w:val="0"/>
      <w:marTop w:val="0"/>
      <w:marBottom w:val="0"/>
      <w:divBdr>
        <w:top w:val="none" w:sz="0" w:space="0" w:color="auto"/>
        <w:left w:val="none" w:sz="0" w:space="0" w:color="auto"/>
        <w:bottom w:val="none" w:sz="0" w:space="0" w:color="auto"/>
        <w:right w:val="none" w:sz="0" w:space="0" w:color="auto"/>
      </w:divBdr>
    </w:div>
    <w:div w:id="1389373861">
      <w:bodyDiv w:val="1"/>
      <w:marLeft w:val="0"/>
      <w:marRight w:val="0"/>
      <w:marTop w:val="0"/>
      <w:marBottom w:val="0"/>
      <w:divBdr>
        <w:top w:val="none" w:sz="0" w:space="0" w:color="auto"/>
        <w:left w:val="none" w:sz="0" w:space="0" w:color="auto"/>
        <w:bottom w:val="none" w:sz="0" w:space="0" w:color="auto"/>
        <w:right w:val="none" w:sz="0" w:space="0" w:color="auto"/>
      </w:divBdr>
    </w:div>
    <w:div w:id="1414551358">
      <w:bodyDiv w:val="1"/>
      <w:marLeft w:val="0"/>
      <w:marRight w:val="0"/>
      <w:marTop w:val="0"/>
      <w:marBottom w:val="0"/>
      <w:divBdr>
        <w:top w:val="none" w:sz="0" w:space="0" w:color="auto"/>
        <w:left w:val="none" w:sz="0" w:space="0" w:color="auto"/>
        <w:bottom w:val="none" w:sz="0" w:space="0" w:color="auto"/>
        <w:right w:val="none" w:sz="0" w:space="0" w:color="auto"/>
      </w:divBdr>
    </w:div>
    <w:div w:id="1430467448">
      <w:bodyDiv w:val="1"/>
      <w:marLeft w:val="0"/>
      <w:marRight w:val="0"/>
      <w:marTop w:val="0"/>
      <w:marBottom w:val="0"/>
      <w:divBdr>
        <w:top w:val="none" w:sz="0" w:space="0" w:color="auto"/>
        <w:left w:val="none" w:sz="0" w:space="0" w:color="auto"/>
        <w:bottom w:val="none" w:sz="0" w:space="0" w:color="auto"/>
        <w:right w:val="none" w:sz="0" w:space="0" w:color="auto"/>
      </w:divBdr>
    </w:div>
    <w:div w:id="1503470744">
      <w:bodyDiv w:val="1"/>
      <w:marLeft w:val="0"/>
      <w:marRight w:val="0"/>
      <w:marTop w:val="0"/>
      <w:marBottom w:val="0"/>
      <w:divBdr>
        <w:top w:val="none" w:sz="0" w:space="0" w:color="auto"/>
        <w:left w:val="none" w:sz="0" w:space="0" w:color="auto"/>
        <w:bottom w:val="none" w:sz="0" w:space="0" w:color="auto"/>
        <w:right w:val="none" w:sz="0" w:space="0" w:color="auto"/>
      </w:divBdr>
    </w:div>
    <w:div w:id="1556895582">
      <w:bodyDiv w:val="1"/>
      <w:marLeft w:val="0"/>
      <w:marRight w:val="0"/>
      <w:marTop w:val="0"/>
      <w:marBottom w:val="0"/>
      <w:divBdr>
        <w:top w:val="none" w:sz="0" w:space="0" w:color="auto"/>
        <w:left w:val="none" w:sz="0" w:space="0" w:color="auto"/>
        <w:bottom w:val="none" w:sz="0" w:space="0" w:color="auto"/>
        <w:right w:val="none" w:sz="0" w:space="0" w:color="auto"/>
      </w:divBdr>
    </w:div>
    <w:div w:id="1562247636">
      <w:bodyDiv w:val="1"/>
      <w:marLeft w:val="0"/>
      <w:marRight w:val="0"/>
      <w:marTop w:val="0"/>
      <w:marBottom w:val="0"/>
      <w:divBdr>
        <w:top w:val="none" w:sz="0" w:space="0" w:color="auto"/>
        <w:left w:val="none" w:sz="0" w:space="0" w:color="auto"/>
        <w:bottom w:val="none" w:sz="0" w:space="0" w:color="auto"/>
        <w:right w:val="none" w:sz="0" w:space="0" w:color="auto"/>
      </w:divBdr>
    </w:div>
    <w:div w:id="1627353436">
      <w:bodyDiv w:val="1"/>
      <w:marLeft w:val="0"/>
      <w:marRight w:val="0"/>
      <w:marTop w:val="0"/>
      <w:marBottom w:val="0"/>
      <w:divBdr>
        <w:top w:val="none" w:sz="0" w:space="0" w:color="auto"/>
        <w:left w:val="none" w:sz="0" w:space="0" w:color="auto"/>
        <w:bottom w:val="none" w:sz="0" w:space="0" w:color="auto"/>
        <w:right w:val="none" w:sz="0" w:space="0" w:color="auto"/>
      </w:divBdr>
    </w:div>
    <w:div w:id="1681808957">
      <w:bodyDiv w:val="1"/>
      <w:marLeft w:val="0"/>
      <w:marRight w:val="0"/>
      <w:marTop w:val="0"/>
      <w:marBottom w:val="0"/>
      <w:divBdr>
        <w:top w:val="none" w:sz="0" w:space="0" w:color="auto"/>
        <w:left w:val="none" w:sz="0" w:space="0" w:color="auto"/>
        <w:bottom w:val="none" w:sz="0" w:space="0" w:color="auto"/>
        <w:right w:val="none" w:sz="0" w:space="0" w:color="auto"/>
      </w:divBdr>
    </w:div>
    <w:div w:id="1698578156">
      <w:bodyDiv w:val="1"/>
      <w:marLeft w:val="0"/>
      <w:marRight w:val="0"/>
      <w:marTop w:val="0"/>
      <w:marBottom w:val="0"/>
      <w:divBdr>
        <w:top w:val="none" w:sz="0" w:space="0" w:color="auto"/>
        <w:left w:val="none" w:sz="0" w:space="0" w:color="auto"/>
        <w:bottom w:val="none" w:sz="0" w:space="0" w:color="auto"/>
        <w:right w:val="none" w:sz="0" w:space="0" w:color="auto"/>
      </w:divBdr>
    </w:div>
    <w:div w:id="1851219288">
      <w:bodyDiv w:val="1"/>
      <w:marLeft w:val="0"/>
      <w:marRight w:val="0"/>
      <w:marTop w:val="0"/>
      <w:marBottom w:val="0"/>
      <w:divBdr>
        <w:top w:val="none" w:sz="0" w:space="0" w:color="auto"/>
        <w:left w:val="none" w:sz="0" w:space="0" w:color="auto"/>
        <w:bottom w:val="none" w:sz="0" w:space="0" w:color="auto"/>
        <w:right w:val="none" w:sz="0" w:space="0" w:color="auto"/>
      </w:divBdr>
    </w:div>
    <w:div w:id="1853564359">
      <w:bodyDiv w:val="1"/>
      <w:marLeft w:val="0"/>
      <w:marRight w:val="0"/>
      <w:marTop w:val="0"/>
      <w:marBottom w:val="0"/>
      <w:divBdr>
        <w:top w:val="none" w:sz="0" w:space="0" w:color="auto"/>
        <w:left w:val="none" w:sz="0" w:space="0" w:color="auto"/>
        <w:bottom w:val="none" w:sz="0" w:space="0" w:color="auto"/>
        <w:right w:val="none" w:sz="0" w:space="0" w:color="auto"/>
      </w:divBdr>
    </w:div>
    <w:div w:id="1857964245">
      <w:bodyDiv w:val="1"/>
      <w:marLeft w:val="0"/>
      <w:marRight w:val="0"/>
      <w:marTop w:val="0"/>
      <w:marBottom w:val="0"/>
      <w:divBdr>
        <w:top w:val="none" w:sz="0" w:space="0" w:color="auto"/>
        <w:left w:val="none" w:sz="0" w:space="0" w:color="auto"/>
        <w:bottom w:val="none" w:sz="0" w:space="0" w:color="auto"/>
        <w:right w:val="none" w:sz="0" w:space="0" w:color="auto"/>
      </w:divBdr>
    </w:div>
    <w:div w:id="1946574416">
      <w:bodyDiv w:val="1"/>
      <w:marLeft w:val="0"/>
      <w:marRight w:val="0"/>
      <w:marTop w:val="0"/>
      <w:marBottom w:val="0"/>
      <w:divBdr>
        <w:top w:val="none" w:sz="0" w:space="0" w:color="auto"/>
        <w:left w:val="none" w:sz="0" w:space="0" w:color="auto"/>
        <w:bottom w:val="none" w:sz="0" w:space="0" w:color="auto"/>
        <w:right w:val="none" w:sz="0" w:space="0" w:color="auto"/>
      </w:divBdr>
    </w:div>
    <w:div w:id="1957788144">
      <w:bodyDiv w:val="1"/>
      <w:marLeft w:val="0"/>
      <w:marRight w:val="0"/>
      <w:marTop w:val="0"/>
      <w:marBottom w:val="0"/>
      <w:divBdr>
        <w:top w:val="none" w:sz="0" w:space="0" w:color="auto"/>
        <w:left w:val="none" w:sz="0" w:space="0" w:color="auto"/>
        <w:bottom w:val="none" w:sz="0" w:space="0" w:color="auto"/>
        <w:right w:val="none" w:sz="0" w:space="0" w:color="auto"/>
      </w:divBdr>
    </w:div>
    <w:div w:id="2044744286">
      <w:bodyDiv w:val="1"/>
      <w:marLeft w:val="0"/>
      <w:marRight w:val="0"/>
      <w:marTop w:val="0"/>
      <w:marBottom w:val="0"/>
      <w:divBdr>
        <w:top w:val="none" w:sz="0" w:space="0" w:color="auto"/>
        <w:left w:val="none" w:sz="0" w:space="0" w:color="auto"/>
        <w:bottom w:val="none" w:sz="0" w:space="0" w:color="auto"/>
        <w:right w:val="none" w:sz="0" w:space="0" w:color="auto"/>
      </w:divBdr>
    </w:div>
    <w:div w:id="2047755262">
      <w:bodyDiv w:val="1"/>
      <w:marLeft w:val="0"/>
      <w:marRight w:val="0"/>
      <w:marTop w:val="0"/>
      <w:marBottom w:val="0"/>
      <w:divBdr>
        <w:top w:val="none" w:sz="0" w:space="0" w:color="auto"/>
        <w:left w:val="none" w:sz="0" w:space="0" w:color="auto"/>
        <w:bottom w:val="none" w:sz="0" w:space="0" w:color="auto"/>
        <w:right w:val="none" w:sz="0" w:space="0" w:color="auto"/>
      </w:divBdr>
    </w:div>
    <w:div w:id="2094424862">
      <w:bodyDiv w:val="1"/>
      <w:marLeft w:val="0"/>
      <w:marRight w:val="0"/>
      <w:marTop w:val="0"/>
      <w:marBottom w:val="0"/>
      <w:divBdr>
        <w:top w:val="none" w:sz="0" w:space="0" w:color="auto"/>
        <w:left w:val="none" w:sz="0" w:space="0" w:color="auto"/>
        <w:bottom w:val="none" w:sz="0" w:space="0" w:color="auto"/>
        <w:right w:val="none" w:sz="0" w:space="0" w:color="auto"/>
      </w:divBdr>
    </w:div>
    <w:div w:id="2101676981">
      <w:bodyDiv w:val="1"/>
      <w:marLeft w:val="0"/>
      <w:marRight w:val="0"/>
      <w:marTop w:val="0"/>
      <w:marBottom w:val="0"/>
      <w:divBdr>
        <w:top w:val="none" w:sz="0" w:space="0" w:color="auto"/>
        <w:left w:val="none" w:sz="0" w:space="0" w:color="auto"/>
        <w:bottom w:val="none" w:sz="0" w:space="0" w:color="auto"/>
        <w:right w:val="none" w:sz="0" w:space="0" w:color="auto"/>
      </w:divBdr>
    </w:div>
    <w:div w:id="2102289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6.xml"/><Relationship Id="rId10" Type="http://schemas.openxmlformats.org/officeDocument/2006/relationships/header" Target="header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footer" Target="footer5.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commission/commissioners/sites/cwt/files/commissioner_mission_letters/andriukaitis_en.pdf" TargetMode="External"/><Relationship Id="rId2" Type="http://schemas.openxmlformats.org/officeDocument/2006/relationships/hyperlink" Target="https://ec.europa.eu/commission/sites/beta-political/files/juncker-political-guidelines-speech_el.pdf" TargetMode="External"/><Relationship Id="rId1" Type="http://schemas.openxmlformats.org/officeDocument/2006/relationships/hyperlink" Target="http://ec.europa.eu/health/ern/networks_el" TargetMode="External"/><Relationship Id="rId4" Type="http://schemas.openxmlformats.org/officeDocument/2006/relationships/hyperlink" Target="https://eur-lex.europa.eu/legal-content/EL/TXT/PDF/?uri=CELEX:32014D0927&amp;from=EL" TargetMode="External"/></Relationships>
</file>

<file path=word/_rels/header5.xml.rels><?xml version="1.0" encoding="UTF-8" standalone="yes"?>
<Relationships xmlns="http://schemas.openxmlformats.org/package/2006/relationships"><Relationship Id="rId2" Type="http://schemas.openxmlformats.org/officeDocument/2006/relationships/package" Target="embeddings/Microsoft_Word_Document1.docx"/><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8AFCD-6D57-48FF-B719-38EFC552A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3122</Words>
  <Characters>18702</Characters>
  <Application>Microsoft Office Word</Application>
  <DocSecurity>0</DocSecurity>
  <Lines>381</Lines>
  <Paragraphs>178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2019-07-05T05:11:00Z</dcterms:created>
  <dcterms:modified xsi:type="dcterms:W3CDTF">2019-07-29T12:02:00Z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 edited using">
    <vt:lpwstr>LW 6.0.1, Build 20180503</vt:lpwstr>
  </property>
  <property fmtid="{D5CDD505-2E9C-101B-9397-08002B2CF9AE}" pid="3" name="DocStatus">
    <vt:lpwstr>Green</vt:lpwstr>
  </property>
</Properties>
</file>