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E80B0F60-99E1-4208-9B01-DBB3E1CC1465" style="width:450.45pt;height:366.3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EXPUNERE DE MOTIVE</w:t>
      </w:r>
    </w:p>
    <w:p>
      <w:pPr>
        <w:pStyle w:val="ManualHeading1"/>
        <w:rPr>
          <w:rFonts w:eastAsia="Arial Unicode MS"/>
          <w:noProof/>
        </w:rPr>
      </w:pPr>
      <w:r>
        <w:t>1.</w:t>
      </w:r>
      <w:r>
        <w:tab/>
      </w:r>
      <w:r>
        <w:rPr>
          <w:noProof/>
        </w:rPr>
        <w:t>Obiectul propunerii</w:t>
      </w:r>
    </w:p>
    <w:p>
      <w:pPr>
        <w:rPr>
          <w:rFonts w:eastAsia="Arial Unicode MS"/>
          <w:noProof/>
          <w:color w:val="000000" w:themeColor="text1"/>
        </w:rPr>
      </w:pPr>
      <w:r>
        <w:rPr>
          <w:noProof/>
          <w:color w:val="000000" w:themeColor="text1"/>
        </w:rPr>
        <w:t>Prezenta propunere se referă la decizia de stabilire a poziției care urmează să fie adoptată în</w:t>
      </w:r>
      <w:r>
        <w:rPr>
          <w:noProof/>
        </w:rPr>
        <w:t xml:space="preserve"> numele Uniunii în cadrul Comitetului de gestiune instituit prin </w:t>
      </w:r>
      <w:r>
        <w:rPr>
          <w:noProof/>
          <w:color w:val="000000" w:themeColor="text1"/>
        </w:rPr>
        <w:t>Convenția internațională pentru armonizarea controalelor mărfurilor la frontiere (denumită în continuare „Convenția de armonizare”), în legătură cu adoptarea preconizată a modificării articolului 7 din anexa 8 la Convenția de armonizare în ceea ce privește frecvența rapoartelor din cadrul mecanismului.</w:t>
      </w:r>
    </w:p>
    <w:p>
      <w:pPr>
        <w:pStyle w:val="ManualHeading1"/>
        <w:rPr>
          <w:noProof/>
        </w:rPr>
      </w:pPr>
      <w:r>
        <w:t>2.</w:t>
      </w:r>
      <w:r>
        <w:tab/>
      </w:r>
      <w:r>
        <w:rPr>
          <w:noProof/>
        </w:rPr>
        <w:t>Contextul propunerii</w:t>
      </w:r>
    </w:p>
    <w:p>
      <w:pPr>
        <w:pStyle w:val="ManualHeading2"/>
        <w:rPr>
          <w:noProof/>
        </w:rPr>
      </w:pPr>
      <w:r>
        <w:t>2.1.</w:t>
      </w:r>
      <w:r>
        <w:tab/>
      </w:r>
      <w:r>
        <w:rPr>
          <w:noProof/>
        </w:rPr>
        <w:t xml:space="preserve">Convenția internațională privind armonizarea controalelor mărfurilor la frontiere </w:t>
      </w:r>
    </w:p>
    <w:p>
      <w:pPr>
        <w:rPr>
          <w:rFonts w:eastAsia="Arial Unicode MS"/>
          <w:noProof/>
        </w:rPr>
      </w:pPr>
      <w:r>
        <w:rPr>
          <w:noProof/>
        </w:rPr>
        <w:t>Obiectivul Convenției internaționale privind armonizarea controalelor mărfurilor la frontiere (denumită în continuare „Convenția de armonizare</w:t>
      </w:r>
      <w:r>
        <w:rPr>
          <w:noProof/>
          <w:color w:val="000000" w:themeColor="text1"/>
        </w:rPr>
        <w:t>”)</w:t>
      </w:r>
      <w:r>
        <w:rPr>
          <w:noProof/>
        </w:rPr>
        <w:t xml:space="preserve"> este să faciliteze și, astfel, să dezvolte comerțul internațional prin armonizarea (unde este cazul) a diferitelor controale la frontiere care se aplică circulației mărfurilor. Convenția de armonizare, semnată la Geneva la 21 octombrie 1982, a fost aprobată în numele Comunității prin Regulamentul (CEE) nr. 1262/84 al Consiliului din 10 aprilie 1984</w:t>
      </w:r>
      <w:r>
        <w:rPr>
          <w:rStyle w:val="FootnoteReference"/>
          <w:noProof/>
        </w:rPr>
        <w:footnoteReference w:id="1"/>
      </w:r>
      <w:r>
        <w:rPr>
          <w:noProof/>
        </w:rPr>
        <w:t>, care a intrat în vigoare la 12 septembrie 1987. În prezent, convenția are 58 de părți contractante, inclusiv Uniunea Europeană și statele sale membre.</w:t>
      </w:r>
    </w:p>
    <w:p>
      <w:pPr>
        <w:pStyle w:val="ManualHeading2"/>
        <w:rPr>
          <w:noProof/>
          <w:color w:val="000000" w:themeColor="text1"/>
        </w:rPr>
      </w:pPr>
      <w:r>
        <w:t>2.2.</w:t>
      </w:r>
      <w:r>
        <w:tab/>
      </w:r>
      <w:r>
        <w:rPr>
          <w:noProof/>
          <w:color w:val="000000" w:themeColor="text1"/>
        </w:rPr>
        <w:t>C</w:t>
      </w:r>
      <w:r>
        <w:rPr>
          <w:noProof/>
        </w:rPr>
        <w:t>omitetul de gestiune</w:t>
      </w:r>
    </w:p>
    <w:p>
      <w:pPr>
        <w:rPr>
          <w:noProof/>
        </w:rPr>
      </w:pPr>
      <w:r>
        <w:rPr>
          <w:noProof/>
        </w:rPr>
        <w:t xml:space="preserve">Comitetul de gestiune acționează în cadrul </w:t>
      </w:r>
      <w:r>
        <w:rPr>
          <w:noProof/>
          <w:color w:val="000000" w:themeColor="text1"/>
        </w:rPr>
        <w:t>Convenției de armonizare.</w:t>
      </w:r>
      <w:r>
        <w:rPr>
          <w:noProof/>
        </w:rPr>
        <w:t xml:space="preserve"> Rolul său este de a examina și a adopta modificări ale Convenției de armonizare. Propunerile sunt supuse la vot și fiecare stat care este parte contractantă și este reprezentat la o sesiune a Comitetului de gestiune deține un vot. </w:t>
      </w:r>
    </w:p>
    <w:p>
      <w:pPr>
        <w:rPr>
          <w:noProof/>
        </w:rPr>
      </w:pPr>
      <w:r>
        <w:rPr>
          <w:noProof/>
        </w:rPr>
        <w:t>Uniunea are competență exclusivă în domeniul vamal reglementat de Convenția de armonizare. Uniunea, în calitate de organizație economică regională, are în caz de vot doar un număr de voturi egal cu totalul voturilor atribuite statelor membre care sunt, de asemenea, părți contractante la convenție. Întrucât toate statele membre ale UE sunt părți contractante la convenție, Uniunea dispune de 28 de voturi.</w:t>
      </w:r>
    </w:p>
    <w:p>
      <w:pPr>
        <w:rPr>
          <w:noProof/>
        </w:rPr>
      </w:pPr>
      <w:r>
        <w:rPr>
          <w:noProof/>
        </w:rPr>
        <w:t xml:space="preserve">Modificările aduse </w:t>
      </w:r>
      <w:r>
        <w:rPr>
          <w:noProof/>
          <w:color w:val="000000" w:themeColor="text1"/>
        </w:rPr>
        <w:t>Convenției de armonizare</w:t>
      </w:r>
      <w:r>
        <w:rPr>
          <w:noProof/>
        </w:rPr>
        <w:t xml:space="preserve"> sunt adoptate cu o majoritate de două treimi din părțile prezente care votează. Pentru luarea unei decizii este necesar un cvorum format din cel puțin o treime din statele care sunt părți. </w:t>
      </w:r>
    </w:p>
    <w:p>
      <w:pPr>
        <w:pStyle w:val="ManualHeading2"/>
        <w:rPr>
          <w:noProof/>
        </w:rPr>
      </w:pPr>
      <w:r>
        <w:t>2.3.</w:t>
      </w:r>
      <w:r>
        <w:tab/>
      </w:r>
      <w:r>
        <w:rPr>
          <w:noProof/>
        </w:rPr>
        <w:t>Actul avut în vedere pentru adoptarea de către Comitetul de gestiune</w:t>
      </w:r>
    </w:p>
    <w:p>
      <w:pPr>
        <w:rPr>
          <w:rFonts w:eastAsia="Arial Unicode MS"/>
          <w:noProof/>
        </w:rPr>
      </w:pPr>
      <w:r>
        <w:rPr>
          <w:noProof/>
        </w:rPr>
        <w:t xml:space="preserve">În cadrul celei de a douăsprezecea sesiuni, Comitetul de gestiune va lua probabil o decizie cu privire la adoptarea modificărilor propuse ale </w:t>
      </w:r>
      <w:r>
        <w:rPr>
          <w:noProof/>
          <w:color w:val="000000" w:themeColor="text1"/>
        </w:rPr>
        <w:t>Convenției de armonizare</w:t>
      </w:r>
      <w:r>
        <w:rPr>
          <w:noProof/>
        </w:rPr>
        <w:t xml:space="preserve"> („actul avut în vedere”).</w:t>
      </w:r>
    </w:p>
    <w:p>
      <w:pPr>
        <w:rPr>
          <w:rFonts w:eastAsia="Arial Unicode MS"/>
          <w:noProof/>
          <w:color w:val="0000FF"/>
        </w:rPr>
      </w:pPr>
      <w:r>
        <w:rPr>
          <w:noProof/>
        </w:rPr>
        <w:t xml:space="preserve">Scopul actului avut în vedere este de a reduce frecvența rapoartelor din cadrul mecanismului referitor la progresele înregistrate în ceea ce privește îmbunătățirea procedurilor de trecere a frontierei pentru transportul rutier internațional. În prezent, fiecare parte contractantă la convenție este invitată să completeze și să trimită secretariatului CEE-ONU un proiect de chestionar privind punerea în aplicare a anexei 8 la Convenție (publicarea de dispoziții juridice, infrastructură, aplicare etc.). Actul avut în vedere va modifica frecvența de raportare de la doi la cinci ani, ceea ce va lăsa suficient timp pentru a obține rezultate interesante. </w:t>
      </w:r>
    </w:p>
    <w:p>
      <w:pPr>
        <w:rPr>
          <w:noProof/>
        </w:rPr>
      </w:pPr>
      <w:r>
        <w:rPr>
          <w:noProof/>
        </w:rPr>
        <w:t xml:space="preserve">Actul avut în vedere va deveni obligatoriu pentru părți în conformitate cu articolul 22 din Convenția de armonizare. Articolul 22 se referă la modificările propuse ale convenției și prevede că: </w:t>
      </w:r>
      <w:r>
        <w:rPr>
          <w:i/>
          <w:noProof/>
        </w:rPr>
        <w:t xml:space="preserve">„Orice modificare propusă, comunicată în conformitate cu dispozițiile alineatului precedent, intră în vigoare pentru toate părțile contractante la trei luni după expirarea unei perioade de 12 luni de la data la care s-a făcut comunicarea, în cazul în care, în această perioadă, nu s-a notificat nici o obiecție la modificarea propusă Secretarului General al Organizației Națiunilor Unite de către vreun stat care este parte contractantă sau vreo organizație de integrare economică regională care este parte contractantă, care hotărăște în condițiile definite la alineatul (2) de la articolul 16 din convenție.” </w:t>
      </w:r>
    </w:p>
    <w:p>
      <w:pPr>
        <w:pStyle w:val="ManualHeading1"/>
        <w:rPr>
          <w:rFonts w:eastAsia="Arial Unicode MS"/>
          <w:noProof/>
        </w:rPr>
      </w:pPr>
      <w:r>
        <w:t>3.</w:t>
      </w:r>
      <w:r>
        <w:tab/>
      </w:r>
      <w:r>
        <w:rPr>
          <w:noProof/>
        </w:rPr>
        <w:t>Poziția care urmează să fie adoptată în numele Uniunii</w:t>
      </w:r>
    </w:p>
    <w:p>
      <w:pPr>
        <w:pStyle w:val="Text1"/>
        <w:ind w:left="0"/>
        <w:rPr>
          <w:rFonts w:eastAsia="Arial Unicode MS"/>
          <w:noProof/>
        </w:rPr>
      </w:pPr>
      <w:r>
        <w:rPr>
          <w:noProof/>
        </w:rPr>
        <w:t>Uniunea împărtășește obiectivul unei abordări rezonabile referitor la frecvența rapoartelor din cadrul mecanismului cu privire la progresele înregistrate în legătură cu îmbunătățirea procedurilor de trecere a frontierei în transportul rutier internațional. În prezent, aceste studii globale sunt efectuate din doi în doi ani, ceea ce înseamnă că fiecare parte contractantă (inclusiv Uniunea Europeană) trebuie să prezinte o dată la doi ani un raport privind progresele înregistrate. Frecvența actuală a rapoartelor din cadrul mecanismului este împovărătoare pentru părțile contractante deoarece acest chestionar necesită adesea, la nivel național, o coordonare interministerială între autoritățile vamale și cele din domeniul transporturilor. În plus, astfel cum s-a discutat și coordonat cu statele membre în cadrul Grupului de experți în chestiuni vamale pentru TIR, se preconizează că studiile vor duce la rezultate similare în cazul în care vor fi efectuate o dată la cinci ani.</w:t>
      </w:r>
    </w:p>
    <w:p>
      <w:pPr>
        <w:pStyle w:val="Text1"/>
        <w:ind w:left="0"/>
        <w:rPr>
          <w:rFonts w:eastAsia="Arial Unicode MS"/>
          <w:noProof/>
        </w:rPr>
      </w:pPr>
      <w:r>
        <w:rPr>
          <w:noProof/>
        </w:rPr>
        <w:t xml:space="preserve">Prin urmare, se propune ca Uniunea să sprijine propunerea de modificare a articolului 7 din anexa 8 la Convenția de armonizare, care are drept scop modificarea de la doi la cinci ani a frecvenței rapoartelor din cadrul mecanismului. </w:t>
      </w:r>
    </w:p>
    <w:p>
      <w:pPr>
        <w:pStyle w:val="Text1"/>
        <w:ind w:left="0"/>
        <w:rPr>
          <w:rFonts w:eastAsia="Arial Unicode MS"/>
          <w:noProof/>
        </w:rPr>
      </w:pPr>
      <w:r>
        <w:rPr>
          <w:noProof/>
        </w:rPr>
        <w:t>Este oportun să se stabilească poziția care urmează să fie adoptată, în numele Uniunii, în cadrul Consiliului de gestiune, întrucât modificările vor avea caracter obligatoriu pentru Uniune.</w:t>
      </w:r>
    </w:p>
    <w:p>
      <w:pPr>
        <w:pStyle w:val="ManualHeading1"/>
        <w:rPr>
          <w:noProof/>
        </w:rPr>
      </w:pPr>
      <w:r>
        <w:t>4.</w:t>
      </w:r>
      <w:r>
        <w:tab/>
      </w:r>
      <w:r>
        <w:rPr>
          <w:noProof/>
        </w:rPr>
        <w:t>Temeiul juridic</w:t>
      </w:r>
    </w:p>
    <w:p>
      <w:pPr>
        <w:pStyle w:val="ManualHeading2"/>
        <w:rPr>
          <w:noProof/>
        </w:rPr>
      </w:pPr>
      <w:r>
        <w:t>4.1.</w:t>
      </w:r>
      <w:r>
        <w:tab/>
      </w:r>
      <w:r>
        <w:rPr>
          <w:noProof/>
        </w:rPr>
        <w:t>Temeiul juridic procedural</w:t>
      </w:r>
    </w:p>
    <w:p>
      <w:pPr>
        <w:pStyle w:val="ManualHeading3"/>
        <w:rPr>
          <w:noProof/>
        </w:rPr>
      </w:pPr>
      <w:r>
        <w:t>4.1.1.</w:t>
      </w:r>
      <w:r>
        <w:tab/>
      </w:r>
      <w:r>
        <w:rPr>
          <w:noProof/>
        </w:rPr>
        <w:t>Principii</w:t>
      </w:r>
    </w:p>
    <w:p>
      <w:pPr>
        <w:rPr>
          <w:i/>
          <w:noProof/>
        </w:rPr>
      </w:pPr>
      <w:r>
        <w:rPr>
          <w:noProof/>
        </w:rPr>
        <w:t xml:space="preserve">Articolul 218 alineatul (9) din Tratatul privind funcționarea Uniunii Europene (TFUE) prevede posibilitatea adoptării unor decizii de stabilire </w:t>
      </w:r>
      <w:r>
        <w:rPr>
          <w:i/>
          <w:noProof/>
        </w:rPr>
        <w:t>„a pozițiilor care trebuie adoptate în numele Uniunii în cadrul unui organism creat printr-un acord, în cazul în care acest organism trebuie să adopte acte cu efecte juridice, cu excepția actelor care modifică sau completează cadrul instituțional al acordului”.</w:t>
      </w:r>
    </w:p>
    <w:p>
      <w:pPr>
        <w:rPr>
          <w:noProof/>
        </w:rPr>
      </w:pPr>
      <w:r>
        <w:rPr>
          <w:noProof/>
        </w:rPr>
        <w:t>Articolul 218 alineatul (9) din TFUE se aplică indiferent dacă Uniunea este sau nu membră a organismului în cauză sau parte la acordul respectiv</w:t>
      </w:r>
      <w:r>
        <w:rPr>
          <w:rStyle w:val="FootnoteReference"/>
          <w:noProof/>
        </w:rPr>
        <w:footnoteReference w:id="2"/>
      </w:r>
      <w:r>
        <w:rPr>
          <w:noProof/>
        </w:rPr>
        <w:t>.</w:t>
      </w:r>
    </w:p>
    <w:p>
      <w:pPr>
        <w:rPr>
          <w:noProof/>
        </w:rPr>
      </w:pPr>
      <w:r>
        <w:rPr>
          <w:noProof/>
        </w:rPr>
        <w:t xml:space="preserve">Conceptul de </w:t>
      </w:r>
      <w:r>
        <w:rPr>
          <w:i/>
          <w:noProof/>
        </w:rPr>
        <w:t>„acte cu efecte juridice”</w:t>
      </w:r>
      <w:r>
        <w:rPr>
          <w:noProof/>
        </w:rPr>
        <w:t xml:space="preserve"> include actele care au efecte juridice în temeiul normelor de drept internațional aplicabile organismului în cauză. Sunt incluse, de asemenea, instrumentele care nu au un caracter obligatoriu în temeiul dreptului internațional, dar care </w:t>
      </w:r>
      <w:r>
        <w:rPr>
          <w:i/>
          <w:noProof/>
        </w:rPr>
        <w:t>„au vocația de a influența în mod decisiv conținutul reglementării adoptate de legiuitorul Uniunii”</w:t>
      </w:r>
      <w:r>
        <w:rPr>
          <w:rStyle w:val="FootnoteReference"/>
          <w:i/>
          <w:noProof/>
        </w:rPr>
        <w:footnoteReference w:id="3"/>
      </w:r>
      <w:r>
        <w:rPr>
          <w:i/>
          <w:noProof/>
        </w:rPr>
        <w:t>.</w:t>
      </w:r>
    </w:p>
    <w:p>
      <w:pPr>
        <w:pStyle w:val="ManualHeading3"/>
        <w:rPr>
          <w:noProof/>
        </w:rPr>
      </w:pPr>
      <w:r>
        <w:t>4.1.2.</w:t>
      </w:r>
      <w:r>
        <w:tab/>
      </w:r>
      <w:r>
        <w:rPr>
          <w:noProof/>
        </w:rPr>
        <w:t>Aplicarea în cazul în discuție</w:t>
      </w:r>
    </w:p>
    <w:p>
      <w:pPr>
        <w:rPr>
          <w:noProof/>
        </w:rPr>
      </w:pPr>
      <w:r>
        <w:rPr>
          <w:noProof/>
        </w:rPr>
        <w:t xml:space="preserve">Comitetul de gestiune este un organism înființat printr-un acord, și anume prin </w:t>
      </w:r>
      <w:r>
        <w:rPr>
          <w:noProof/>
          <w:color w:val="000000" w:themeColor="text1"/>
        </w:rPr>
        <w:t>Convenția internațională privind armonizarea controalelor mărfurilor la frontiere</w:t>
      </w:r>
      <w:r>
        <w:t>.</w:t>
      </w:r>
      <w:r>
        <w:rPr>
          <w:noProof/>
        </w:rPr>
        <w:t xml:space="preserve"> </w:t>
      </w:r>
    </w:p>
    <w:p>
      <w:pPr>
        <w:rPr>
          <w:noProof/>
        </w:rPr>
      </w:pPr>
      <w:r>
        <w:rPr>
          <w:noProof/>
        </w:rPr>
        <w:t>Actul pe care</w:t>
      </w:r>
      <w:r>
        <w:rPr>
          <w:noProof/>
          <w:color w:val="000000" w:themeColor="text1"/>
        </w:rPr>
        <w:t xml:space="preserve"> </w:t>
      </w:r>
      <w:r>
        <w:rPr>
          <w:noProof/>
        </w:rPr>
        <w:t xml:space="preserve">Comitetul de gestiune este invitat să îl adopte este un act cu efecte juridice. Actul avut în vedere va fi obligatoriu în temeiul dreptului internațional în conformitate cu articolul 22 din </w:t>
      </w:r>
      <w:r>
        <w:rPr>
          <w:noProof/>
          <w:color w:val="000000" w:themeColor="text1"/>
        </w:rPr>
        <w:t>Convenția internațională privind armonizarea controalelor mărfurilor la frontiere.</w:t>
      </w:r>
      <w:r>
        <w:rPr>
          <w:noProof/>
        </w:rPr>
        <w:t xml:space="preserve"> </w:t>
      </w:r>
    </w:p>
    <w:p>
      <w:pPr>
        <w:rPr>
          <w:noProof/>
        </w:rPr>
      </w:pPr>
      <w:r>
        <w:rPr>
          <w:noProof/>
        </w:rPr>
        <w:t>Actul avut în vedere nu completează și nici nu schimbă cadrul instituțional al acordului.</w:t>
      </w:r>
    </w:p>
    <w:p>
      <w:pPr>
        <w:rPr>
          <w:noProof/>
        </w:rPr>
      </w:pPr>
      <w:r>
        <w:rPr>
          <w:noProof/>
        </w:rPr>
        <w:t>Prin urmare, temeiul juridic procedural al propunerii de decizie este articolul 218 alineatul (9) din TFUE.</w:t>
      </w:r>
    </w:p>
    <w:p>
      <w:pPr>
        <w:pStyle w:val="ManualHeading2"/>
        <w:rPr>
          <w:noProof/>
        </w:rPr>
      </w:pPr>
      <w:r>
        <w:t>4.2.</w:t>
      </w:r>
      <w:r>
        <w:tab/>
      </w:r>
      <w:r>
        <w:rPr>
          <w:noProof/>
        </w:rPr>
        <w:t>Temeiul juridic material</w:t>
      </w:r>
    </w:p>
    <w:p>
      <w:pPr>
        <w:pStyle w:val="ManualHeading3"/>
        <w:rPr>
          <w:noProof/>
        </w:rPr>
      </w:pPr>
      <w:r>
        <w:t>4.2.1.</w:t>
      </w:r>
      <w:r>
        <w:tab/>
      </w:r>
      <w:r>
        <w:rPr>
          <w:noProof/>
        </w:rPr>
        <w:t>Principii</w:t>
      </w:r>
    </w:p>
    <w:p>
      <w:pPr>
        <w:rPr>
          <w:noProof/>
        </w:rPr>
      </w:pPr>
      <w:r>
        <w:rPr>
          <w:noProof/>
        </w:rPr>
        <w:t>Temeiul juridic material al unei decizii adoptate în temeiul articolului 218 alineatul (9) din TFUE depinde în primul rând de obiectivul și de conținutul actului avut în vedere cu privire la care se adoptă o poziție în numele Uniunii. În cazul în care actul avut în vedere urmărește două obiective sau include două elemente, iar unul dintre aceste obiective sau elemente poate fi identificat ca fiind obiectivul sau elementul principal, iar celălalt obiectiv sau element are mai degrabă un caracter accesoriu, decizia adoptată în temeiul articolului 218 alineatul (9) din TFUE trebuie să se întemeieze pe un singur temei juridic material, respectiv cel impus de obiectivul sau de elementul principal sau predominant.</w:t>
      </w:r>
    </w:p>
    <w:p>
      <w:pPr>
        <w:pStyle w:val="ManualHeading3"/>
        <w:rPr>
          <w:noProof/>
        </w:rPr>
      </w:pPr>
      <w:r>
        <w:t>4.2.2.</w:t>
      </w:r>
      <w:r>
        <w:tab/>
      </w:r>
      <w:r>
        <w:rPr>
          <w:noProof/>
        </w:rPr>
        <w:t>Aplicarea în cazul în discuție</w:t>
      </w:r>
    </w:p>
    <w:p>
      <w:pPr>
        <w:rPr>
          <w:noProof/>
        </w:rPr>
      </w:pPr>
      <w:r>
        <w:rPr>
          <w:noProof/>
        </w:rPr>
        <w:t>Obiectivul principal și conținutul actului avut în vedere se referă la domeniul vamal și al comerțului exterior.</w:t>
      </w:r>
    </w:p>
    <w:p>
      <w:pPr>
        <w:spacing w:before="0" w:after="240"/>
        <w:rPr>
          <w:rFonts w:eastAsia="Arial Unicode MS"/>
          <w:noProof/>
        </w:rPr>
      </w:pPr>
      <w:r>
        <w:rPr>
          <w:noProof/>
        </w:rPr>
        <w:t>Temeiul juridic material al deciziei propuse este, prin urmare, articolul 207 din TFUE.</w:t>
      </w:r>
    </w:p>
    <w:p>
      <w:pPr>
        <w:pStyle w:val="ManualHeading2"/>
        <w:rPr>
          <w:noProof/>
        </w:rPr>
      </w:pPr>
      <w:r>
        <w:t>4.3.</w:t>
      </w:r>
      <w:r>
        <w:tab/>
      </w:r>
      <w:r>
        <w:rPr>
          <w:noProof/>
        </w:rPr>
        <w:t>Concluzie</w:t>
      </w:r>
    </w:p>
    <w:p>
      <w:pPr>
        <w:spacing w:before="0" w:after="240"/>
        <w:rPr>
          <w:rFonts w:eastAsia="Arial Unicode MS"/>
          <w:noProof/>
        </w:rPr>
      </w:pPr>
      <w:r>
        <w:rPr>
          <w:noProof/>
        </w:rPr>
        <w:t>Temeiul juridic al deciziei propuse ar trebui să fie articolul 207, coroborat cu articolul 218 alineatul (9), din TFUE.</w:t>
      </w:r>
    </w:p>
    <w:p>
      <w:pPr>
        <w:pStyle w:val="ManualHeading1"/>
        <w:rPr>
          <w:noProof/>
        </w:rPr>
      </w:pPr>
      <w:r>
        <w:t>5.</w:t>
      </w:r>
      <w:r>
        <w:tab/>
      </w:r>
      <w:r>
        <w:rPr>
          <w:noProof/>
        </w:rPr>
        <w:t>Publicarea actului avut în vedere</w:t>
      </w:r>
    </w:p>
    <w:p>
      <w:pPr>
        <w:rPr>
          <w:noProof/>
        </w:rPr>
      </w:pPr>
      <w:r>
        <w:rPr>
          <w:noProof/>
        </w:rPr>
        <w:t xml:space="preserve">Deoarece actul Comitetului de gestiune va modifica anexa 8 la </w:t>
      </w:r>
      <w:r>
        <w:rPr>
          <w:noProof/>
          <w:color w:val="000000" w:themeColor="text1"/>
        </w:rPr>
        <w:t>Convenția internațională privind armonizarea controalelor mărfurilor la frontiere</w:t>
      </w:r>
      <w:r>
        <w:t>,</w:t>
      </w:r>
      <w:r>
        <w:rPr>
          <w:noProof/>
        </w:rPr>
        <w:t xml:space="preserve"> este oportună publicarea acestuia în </w:t>
      </w:r>
      <w:r>
        <w:rPr>
          <w:i/>
          <w:noProof/>
        </w:rPr>
        <w:t>Jurnalul Oficial al Uniunii Europene</w:t>
      </w:r>
      <w:r>
        <w:rPr>
          <w:noProof/>
        </w:rPr>
        <w:t xml:space="preserve"> după adoptarea sa.</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2019/0199 (NLE)</w:t>
      </w:r>
    </w:p>
    <w:p>
      <w:pPr>
        <w:pStyle w:val="Statut"/>
        <w:rPr>
          <w:noProof/>
        </w:rPr>
      </w:pPr>
      <w:r>
        <w:rPr>
          <w:noProof/>
        </w:rPr>
        <w:t>Propunere de</w:t>
      </w:r>
    </w:p>
    <w:p>
      <w:pPr>
        <w:pStyle w:val="Typedudocument"/>
        <w:rPr>
          <w:noProof/>
        </w:rPr>
      </w:pPr>
      <w:r>
        <w:rPr>
          <w:noProof/>
        </w:rPr>
        <w:t>DECIZIE A CONSILIULUI</w:t>
      </w:r>
    </w:p>
    <w:p>
      <w:pPr>
        <w:pStyle w:val="Titreobjet"/>
        <w:rPr>
          <w:noProof/>
        </w:rPr>
      </w:pPr>
      <w:r>
        <w:rPr>
          <w:noProof/>
        </w:rPr>
        <w:t>privind poziția care urmează să fie adoptată, în numele Uniunii Europene, în cadrul Comitetului de gestiune al Convenției internaționale privind armonizarea controalelor mărfurilor la frontiere</w:t>
      </w:r>
    </w:p>
    <w:p>
      <w:pPr>
        <w:pStyle w:val="Institutionquiagit"/>
        <w:rPr>
          <w:b/>
          <w:noProof/>
        </w:rPr>
      </w:pPr>
      <w:r>
        <w:rPr>
          <w:b/>
          <w:noProof/>
        </w:rPr>
        <w:t>CONSILIUL UNIUNII EUROPENE,</w:t>
      </w:r>
    </w:p>
    <w:p>
      <w:pPr>
        <w:rPr>
          <w:noProof/>
        </w:rPr>
      </w:pPr>
      <w:r>
        <w:rPr>
          <w:noProof/>
        </w:rPr>
        <w:t>având în vedere Tratatul privind funcționarea Uniunii Europene, în special articolul 20</w:t>
      </w:r>
      <w:r>
        <w:rPr>
          <w:noProof/>
          <w:color w:val="000000" w:themeColor="text1"/>
        </w:rPr>
        <w:t>7</w:t>
      </w:r>
      <w:r>
        <w:rPr>
          <w:noProof/>
        </w:rPr>
        <w:t xml:space="preserve"> coroborat cu articolul 218 alineatul (9),</w:t>
      </w:r>
    </w:p>
    <w:p>
      <w:pPr>
        <w:rPr>
          <w:noProof/>
        </w:rPr>
      </w:pPr>
      <w:r>
        <w:rPr>
          <w:noProof/>
        </w:rPr>
        <w:t>având în vedere propunerea Comisiei Europene,</w:t>
      </w:r>
    </w:p>
    <w:p>
      <w:pPr>
        <w:rPr>
          <w:noProof/>
        </w:rPr>
      </w:pPr>
      <w:r>
        <w:rPr>
          <w:noProof/>
        </w:rPr>
        <w:t>întrucât:</w:t>
      </w:r>
    </w:p>
    <w:p>
      <w:pPr>
        <w:pStyle w:val="ManualConsidrant"/>
        <w:rPr>
          <w:noProof/>
        </w:rPr>
      </w:pPr>
      <w:r>
        <w:t>(1)</w:t>
      </w:r>
      <w:r>
        <w:tab/>
      </w:r>
      <w:r>
        <w:rPr>
          <w:noProof/>
        </w:rPr>
        <w:t>Convenția internațională privind armonizarea controalelor mărfurilor la frontiere din 1982 (denumită în continuare „convenția”) a fost aprobată prin Regulamentul (CEE) nr. 1262/84 al Consiliului</w:t>
      </w:r>
      <w:r>
        <w:rPr>
          <w:rStyle w:val="FootnoteReference"/>
          <w:noProof/>
        </w:rPr>
        <w:footnoteReference w:id="4"/>
      </w:r>
      <w:r>
        <w:rPr>
          <w:noProof/>
        </w:rPr>
        <w:t>.</w:t>
      </w:r>
    </w:p>
    <w:p>
      <w:pPr>
        <w:pStyle w:val="ManualConsidrant"/>
        <w:rPr>
          <w:noProof/>
        </w:rPr>
      </w:pPr>
      <w:r>
        <w:t>(2)</w:t>
      </w:r>
      <w:r>
        <w:tab/>
      </w:r>
      <w:r>
        <w:rPr>
          <w:noProof/>
        </w:rPr>
        <w:t>În conformitate cu articolul 22 din convenție, Comitetul de gestiune poate adopta modificări cu o majoritate de două treimi din părțile contractante prezente care votează.</w:t>
      </w:r>
    </w:p>
    <w:p>
      <w:pPr>
        <w:pStyle w:val="ManualConsidrant"/>
        <w:rPr>
          <w:noProof/>
        </w:rPr>
      </w:pPr>
      <w:r>
        <w:t>(3)</w:t>
      </w:r>
      <w:r>
        <w:tab/>
      </w:r>
      <w:r>
        <w:rPr>
          <w:noProof/>
        </w:rPr>
        <w:t>În cadrul celei de a douăsprezecea sesiuni a sa, Comitetul de gestiune urmează să adopte o modificare a articolului 7 din anexa 8.</w:t>
      </w:r>
    </w:p>
    <w:p>
      <w:pPr>
        <w:pStyle w:val="ManualConsidrant"/>
        <w:rPr>
          <w:noProof/>
        </w:rPr>
      </w:pPr>
      <w:r>
        <w:t>(4)</w:t>
      </w:r>
      <w:r>
        <w:tab/>
      </w:r>
      <w:r>
        <w:rPr>
          <w:noProof/>
        </w:rPr>
        <w:t xml:space="preserve">Este oportun să se stabilească poziția care urmează să fie adoptată, în numele Uniunii, în cadrul Comitetului de gestiune, întrucât modificările aduse </w:t>
      </w:r>
      <w:r>
        <w:rPr>
          <w:noProof/>
          <w:color w:val="000000" w:themeColor="text1"/>
        </w:rPr>
        <w:t>convenției</w:t>
      </w:r>
      <w:r>
        <w:rPr>
          <w:noProof/>
        </w:rPr>
        <w:t xml:space="preserve"> vor avea caracter obligatoriu pentru Uniune.</w:t>
      </w:r>
    </w:p>
    <w:p>
      <w:pPr>
        <w:pStyle w:val="ManualConsidrant"/>
        <w:rPr>
          <w:noProof/>
        </w:rPr>
      </w:pPr>
      <w:r>
        <w:t>(5)</w:t>
      </w:r>
      <w:r>
        <w:tab/>
      </w:r>
      <w:r>
        <w:rPr>
          <w:noProof/>
        </w:rPr>
        <w:t>Uniunea sprijină prevederile noului articol 7 din anexa 8 la convenție întrucât, în urma reducerii frecvenței rapoartelor din cadrul mecanismului cu privire la progresele înregistrate în legătură cu îmbunătățirea procedurilor de trecere a frontierei în transportul rutier internațional, statele membre se vor confrunta cu mai puține formalități administrative.</w:t>
      </w:r>
    </w:p>
    <w:p>
      <w:pPr>
        <w:pStyle w:val="ManualConsidrant"/>
        <w:rPr>
          <w:noProof/>
        </w:rPr>
      </w:pPr>
      <w:r>
        <w:t>(6)</w:t>
      </w:r>
      <w:r>
        <w:tab/>
      </w:r>
      <w:r>
        <w:rPr>
          <w:noProof/>
        </w:rPr>
        <w:t xml:space="preserve">Poziția care urmează să fie adoptată în numele Uniunii în cadrul Comitetului de gestiune al convenției ar trebui să se bazeze, așadar, pe propunerile de modificări anexate la prezenta decizie, </w:t>
      </w:r>
    </w:p>
    <w:p>
      <w:pPr>
        <w:rPr>
          <w:noProof/>
        </w:rPr>
      </w:pPr>
    </w:p>
    <w:p>
      <w:pPr>
        <w:pStyle w:val="Formuledadoption"/>
        <w:rPr>
          <w:noProof/>
        </w:rPr>
      </w:pPr>
      <w:r>
        <w:rPr>
          <w:noProof/>
        </w:rPr>
        <w:t>ADOPTĂ PREZENTA DECIZIE:</w:t>
      </w:r>
    </w:p>
    <w:p>
      <w:pPr>
        <w:pStyle w:val="Titrearticle"/>
        <w:rPr>
          <w:noProof/>
        </w:rPr>
      </w:pPr>
      <w:r>
        <w:rPr>
          <w:noProof/>
        </w:rPr>
        <w:t>Articolul 1</w:t>
      </w:r>
    </w:p>
    <w:p>
      <w:pPr>
        <w:jc w:val="left"/>
        <w:rPr>
          <w:noProof/>
          <w:color w:val="000000" w:themeColor="text1"/>
        </w:rPr>
      </w:pPr>
      <w:r>
        <w:rPr>
          <w:noProof/>
        </w:rPr>
        <w:t>Poziția care urmează să fie adoptată în numele Uniunii în cadrul celei de a douăsprezecea sesiuni sau a unei sesiuni ulterioare a Comitetului de gestiune este de a sprijini proiectul de modificare anexat la prezenta decizie.</w:t>
      </w:r>
    </w:p>
    <w:p>
      <w:pPr>
        <w:pStyle w:val="Titrearticle"/>
        <w:rPr>
          <w:noProof/>
        </w:rPr>
      </w:pPr>
      <w:r>
        <w:rPr>
          <w:noProof/>
        </w:rPr>
        <w:t>Articolul 2</w:t>
      </w:r>
    </w:p>
    <w:p>
      <w:pPr>
        <w:rPr>
          <w:noProof/>
        </w:rPr>
      </w:pPr>
      <w:r>
        <w:rPr>
          <w:noProof/>
        </w:rPr>
        <w:t xml:space="preserve">Modificările de redactare aduse proiectului de modificare menționat la articolul 1 pot fi convenite de reprezentantul Uniunii în cadrul Comitetului de gestiune. </w:t>
      </w:r>
    </w:p>
    <w:p>
      <w:pPr>
        <w:pStyle w:val="Titrearticle"/>
        <w:rPr>
          <w:noProof/>
          <w:color w:val="000000" w:themeColor="text1"/>
        </w:rPr>
      </w:pPr>
      <w:r>
        <w:rPr>
          <w:noProof/>
        </w:rPr>
        <w:t>Articolul 3</w:t>
      </w:r>
    </w:p>
    <w:p>
      <w:pPr>
        <w:rPr>
          <w:noProof/>
        </w:rPr>
      </w:pPr>
      <w:r>
        <w:rPr>
          <w:noProof/>
        </w:rPr>
        <w:t>Prezenta decizie intră în vigoare la data adoptării.</w:t>
      </w:r>
    </w:p>
    <w:p>
      <w:pPr>
        <w:rPr>
          <w:noProof/>
        </w:rPr>
      </w:pPr>
    </w:p>
    <w:p>
      <w:pPr>
        <w:rPr>
          <w:noProof/>
        </w:rPr>
      </w:pPr>
      <w:r>
        <w:rPr>
          <w:noProof/>
        </w:rPr>
        <w:t>Prezenta decizie se adresează Comisiei.</w:t>
      </w:r>
    </w:p>
    <w:p>
      <w:pPr>
        <w:rPr>
          <w:noProof/>
        </w:rPr>
      </w:pPr>
    </w:p>
    <w:p>
      <w:pPr>
        <w:pStyle w:val="Fait"/>
        <w:rPr>
          <w:noProof/>
        </w:rPr>
      </w:pPr>
      <w:r>
        <w:t>Adoptată la Bruxelles,</w:t>
      </w:r>
    </w:p>
    <w:p>
      <w:pPr>
        <w:pStyle w:val="Institutionquisigne"/>
        <w:rPr>
          <w:noProof/>
        </w:rPr>
      </w:pPr>
      <w:r>
        <w:rPr>
          <w:noProof/>
        </w:rPr>
        <w:tab/>
        <w:t>Pentru Consiliu</w:t>
      </w:r>
    </w:p>
    <w:p>
      <w:pPr>
        <w:pStyle w:val="Personnequisigne"/>
        <w:rPr>
          <w:noProof/>
        </w:rPr>
      </w:pPr>
      <w:r>
        <w:rPr>
          <w:noProof/>
        </w:rPr>
        <w:tab/>
        <w:t>Președintele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it-IT"/>
        </w:rPr>
      </w:pPr>
      <w:r>
        <w:rPr>
          <w:rStyle w:val="FootnoteReference"/>
        </w:rPr>
        <w:footnoteRef/>
      </w:r>
      <w:r>
        <w:tab/>
        <w:t>JO L 126, 12.5.1984, p. 1-2.</w:t>
      </w:r>
    </w:p>
  </w:footnote>
  <w:footnote w:id="2">
    <w:p>
      <w:pPr>
        <w:pStyle w:val="FootnoteText"/>
      </w:pPr>
      <w:r>
        <w:rPr>
          <w:rStyle w:val="FootnoteReference"/>
        </w:rPr>
        <w:footnoteRef/>
      </w:r>
      <w:r>
        <w:tab/>
        <w:t xml:space="preserve">Hotărârea Curții de Justiție din 7 octombrie 2014, Germania/Consiliul, Cauza C-399/12, ECLI:EU:C:2014:2258, punctul 64. </w:t>
      </w:r>
    </w:p>
  </w:footnote>
  <w:footnote w:id="3">
    <w:p>
      <w:pPr>
        <w:pStyle w:val="FootnoteText"/>
      </w:pPr>
      <w:r>
        <w:rPr>
          <w:rStyle w:val="FootnoteReference"/>
        </w:rPr>
        <w:footnoteRef/>
      </w:r>
      <w:r>
        <w:tab/>
        <w:t xml:space="preserve">Hotărârea Curții de Justiție din 7 octombrie 2014, Germania/Consiliul, Cauza C-399/12, ECLI:EU:C:2014:2258, punctele 61-64. </w:t>
      </w:r>
    </w:p>
  </w:footnote>
  <w:footnote w:id="4">
    <w:p>
      <w:pPr>
        <w:pStyle w:val="FootnoteText"/>
        <w:rPr>
          <w:lang w:val="fr-BE"/>
        </w:rPr>
      </w:pPr>
      <w:r>
        <w:rPr>
          <w:rStyle w:val="FootnoteReference"/>
        </w:rPr>
        <w:footnoteRef/>
      </w:r>
      <w:r>
        <w:tab/>
        <w:t>JO L 126, 12.5.1984, p.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CF4958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BD2636C"/>
    <w:lvl w:ilvl="0">
      <w:start w:val="1"/>
      <w:numFmt w:val="decimal"/>
      <w:pStyle w:val="ListNumber3"/>
      <w:lvlText w:val="%1."/>
      <w:lvlJc w:val="left"/>
      <w:pPr>
        <w:tabs>
          <w:tab w:val="num" w:pos="926"/>
        </w:tabs>
        <w:ind w:left="926" w:hanging="360"/>
      </w:pPr>
    </w:lvl>
  </w:abstractNum>
  <w:abstractNum w:abstractNumId="2">
    <w:nsid w:val="FFFFFF7F"/>
    <w:multiLevelType w:val="singleLevel"/>
    <w:tmpl w:val="733AF122"/>
    <w:lvl w:ilvl="0">
      <w:start w:val="1"/>
      <w:numFmt w:val="decimal"/>
      <w:pStyle w:val="ListNumber2"/>
      <w:lvlText w:val="%1."/>
      <w:lvlJc w:val="left"/>
      <w:pPr>
        <w:tabs>
          <w:tab w:val="num" w:pos="643"/>
        </w:tabs>
        <w:ind w:left="643" w:hanging="360"/>
      </w:pPr>
    </w:lvl>
  </w:abstractNum>
  <w:abstractNum w:abstractNumId="3">
    <w:nsid w:val="FFFFFF81"/>
    <w:multiLevelType w:val="singleLevel"/>
    <w:tmpl w:val="7A2A057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732E77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C5A13F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29609B60"/>
    <w:lvl w:ilvl="0">
      <w:start w:val="1"/>
      <w:numFmt w:val="decimal"/>
      <w:pStyle w:val="ListNumber"/>
      <w:lvlText w:val="%1."/>
      <w:lvlJc w:val="left"/>
      <w:pPr>
        <w:tabs>
          <w:tab w:val="num" w:pos="360"/>
        </w:tabs>
        <w:ind w:left="360" w:hanging="360"/>
      </w:pPr>
    </w:lvl>
  </w:abstractNum>
  <w:abstractNum w:abstractNumId="7">
    <w:nsid w:val="FFFFFF89"/>
    <w:multiLevelType w:val="singleLevel"/>
    <w:tmpl w:val="75B0581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num>
  <w:num w:numId="3">
    <w:abstractNumId w:val="1"/>
  </w:num>
  <w:num w:numId="4">
    <w:abstractNumId w:val="7"/>
  </w:num>
  <w:num w:numId="5">
    <w:abstractNumId w:val="5"/>
  </w:num>
  <w:num w:numId="6">
    <w:abstractNumId w:val="4"/>
  </w:num>
  <w:num w:numId="7">
    <w:abstractNumId w:val="3"/>
  </w:num>
  <w:num w:numId="8">
    <w:abstractNumId w:val="6"/>
  </w:num>
  <w:num w:numId="9">
    <w:abstractNumId w:val="2"/>
  </w:num>
  <w:num w:numId="10">
    <w:abstractNumId w:val="0"/>
  </w:num>
  <w:num w:numId="11">
    <w:abstractNumId w:val="21"/>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hideSpellingErrors/>
  <w:hideGrammaticalErrors/>
  <w:attachedTemplate r:id="rId1"/>
  <w:revisionView w:markup="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9-17 14:06:54"/>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E80B0F60-99E1-4208-9B01-DBB3E1CC1465"/>
    <w:docVar w:name="LW_COVERPAGE_TYPE" w:val="1"/>
    <w:docVar w:name="LW_CROSSREFERENCE" w:val="&lt;UNUSED&gt;"/>
    <w:docVar w:name="LW_DocType" w:val="COM"/>
    <w:docVar w:name="LW_EMISSION" w:val="25.9.2019"/>
    <w:docVar w:name="LW_EMISSION_ISODATE" w:val="2019-09-25"/>
    <w:docVar w:name="LW_EMISSION_LOCATION" w:val="BRX"/>
    <w:docVar w:name="LW_EMISSION_PREFIX" w:val="Bruxelles,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RO"/>
    <w:docVar w:name="LW_LEVEL_OF_SENSITIVITY" w:val="Standard treatment"/>
    <w:docVar w:name="LW_NOM.INST" w:val="COMISIA EUROPEAN\u258?"/>
    <w:docVar w:name="LW_NOM.INST_JOINTDOC" w:val="&lt;EMPTY&gt;"/>
    <w:docVar w:name="LW_PART_NBR" w:val="1"/>
    <w:docVar w:name="LW_PART_NBR_TOTAL" w:val="1"/>
    <w:docVar w:name="LW_REF.II.NEW.CP" w:val="NLE"/>
    <w:docVar w:name="LW_REF.II.NEW.CP_NUMBER" w:val="0199"/>
    <w:docVar w:name="LW_REF.II.NEW.CP_YEAR" w:val="2019"/>
    <w:docVar w:name="LW_REF.INST.NEW" w:val="COM"/>
    <w:docVar w:name="LW_REF.INST.NEW_ADOPTED" w:val="final"/>
    <w:docVar w:name="LW_REF.INST.NEW_TEXT" w:val="(2019) 42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unere de"/>
    <w:docVar w:name="LW_SUPERTITRE" w:val="&lt;UNUSED&gt;"/>
    <w:docVar w:name="LW_TITRE.OBJ.CP" w:val="privind pozi\u539?ia care urmeaz\u259? s\u259? fie adoptat\u259?, în numele Uniunii Europene, în cadrul Comitetului de gestiune al Conven\u539?iei interna\u539?ionale privind armonizarea controalelor m\u259?rfurilor la frontiere"/>
    <w:docVar w:name="LW_TYPE.DOC.CP" w:val="DECIZIE A CONSILIULU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3">
    <w:name w:val="List Number 3"/>
    <w:basedOn w:val="Normal"/>
    <w:pPr>
      <w:numPr>
        <w:numId w:val="3"/>
      </w:numPr>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ro-RO"/>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3">
    <w:name w:val="List Number 3"/>
    <w:basedOn w:val="Normal"/>
    <w:pPr>
      <w:numPr>
        <w:numId w:val="3"/>
      </w:numPr>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ro-RO"/>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A0DF4-DE4E-49C8-AC6B-52EFDEC16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6</Pages>
  <Words>1583</Words>
  <Characters>9295</Characters>
  <Application>Microsoft Office Word</Application>
  <DocSecurity>0</DocSecurity>
  <Lines>165</Lines>
  <Paragraphs>74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19</cp:revision>
  <cp:lastPrinted>2019-06-19T14:31:00Z</cp:lastPrinted>
  <dcterms:created xsi:type="dcterms:W3CDTF">2019-08-05T08:42:00Z</dcterms:created>
  <dcterms:modified xsi:type="dcterms:W3CDTF">2019-09-17T12:06:00Z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