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5886CAE2-4027-4BA4-83B7-2AA6F6060D0C" style="width:450.75pt;height:366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  <w:color w:val="000000" w:themeColor="text1"/>
        </w:rPr>
      </w:pPr>
      <w:r>
        <w:rPr>
          <w:noProof/>
        </w:rPr>
        <w:t>Din il-proposta tikkonċerna d-Deċiżjoni li tistabbilixxi l-pożizzjoni li trid tittieħed f’isem l-Unjoni fil-Kumitat Amministrattiv stabbilit mill-Konvenzjoni Internazzjonali fuq l-Armonizzazzjoni ta’ Kontrolli tal-Merkanzija fuq il-Fruntieri (“il-Konvenzjoni fuq l-Armonizzazzjoni”) b’rabta mal-adozzjoni prevista ta’ emendi għall-Artikolu 7 tal-Anness 8 tal-Konvenzjoni fuq l-Armonizzazzjoni fir-rigward tal-frekwenza tal-mekkaniżmu ta’ rappurtar.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Il-Konvenzjoni Internazzjonali fuq l-Armonizzazzjoni ta’ Kontrolli tal-Merkanzija fuq il-Fruntieri </w:t>
      </w:r>
    </w:p>
    <w:p>
      <w:pPr>
        <w:rPr>
          <w:rFonts w:eastAsia="Arial Unicode MS"/>
          <w:noProof/>
        </w:rPr>
      </w:pPr>
      <w:r>
        <w:rPr>
          <w:noProof/>
        </w:rPr>
        <w:t>Il-Konvenzjoni Internazzjonali fuq l-Armonizzazzjoni ta’ Kontrolli tal-Merkanzija fuq il-Fruntieri (“il-Konvenzjoni fuq l-Armonizzazzjoni”) għandha l-għan li tiffaċilita, u b’hekk tiżviluppa, il-kummerċ internazzjonali permezz tal-armonizzazzjoni (fejn tkun xierqa) tad-diversi kontrolli fil-fruntieri li jiġu applikati għaċ-ċaqliq tal-merkanzija. Il-Konvenzjoni fuq l-Armonizzazzjoni, iffirmata f’Ġinevra fil-21 ta’ Ottubru 1982, ġiet approvata f’isem il-Komunità permezz tar-Regolament tal-Kunsill (KEE) Nru 1262/84 tal-10 ta’ April 1984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li daħal fis-seħħ fit-12 ta’ Settembru 1987. Attwalment, il-Konvenzjoni għandha 58 Parti Kontraenti, inkluż l-Unjoni Ewropea u l-Istati Membri tagħha.</w:t>
      </w:r>
    </w:p>
    <w:p>
      <w:pPr>
        <w:pStyle w:val="ManualHeading2"/>
        <w:rPr>
          <w:noProof/>
          <w:color w:val="000000" w:themeColor="text1"/>
        </w:rPr>
      </w:pPr>
      <w:r>
        <w:t>2.2.</w:t>
      </w:r>
      <w:r>
        <w:tab/>
      </w:r>
      <w:r>
        <w:rPr>
          <w:noProof/>
        </w:rPr>
        <w:t>Il-Kumitat Amministrattiv</w:t>
      </w:r>
    </w:p>
    <w:p>
      <w:pPr>
        <w:rPr>
          <w:noProof/>
        </w:rPr>
      </w:pPr>
      <w:r>
        <w:rPr>
          <w:noProof/>
        </w:rPr>
        <w:t xml:space="preserve">Il-Kumitat Amministrattiv jaġixxi fil-qafas tal-Konvenzjoni fuq l-Armonizzazzjoni. Ir-rwol tiegħu huwa li jikkunsidra u jadotta emendi għall-Konvenzjoni fuq l-Armonizzazzjoni. Issir votazzjoni rigward il-proposti u kull Stat, li huwa Parti Kontraenti u li jkun irrappreżentat f’sessjoni tal-Kumitat Amministrattiv, għandu vot wieħed. </w:t>
      </w:r>
    </w:p>
    <w:p>
      <w:pPr>
        <w:rPr>
          <w:noProof/>
        </w:rPr>
      </w:pPr>
      <w:r>
        <w:rPr>
          <w:noProof/>
        </w:rPr>
        <w:t>L-Unjoni għandha kompetenza esklużiva fil-qasam tad-dwana rregolata mill-Konvenzjoni fuq l-Armonizzazzjoni. L-Unjoni, bħala organizzazzjoni ekonomika reġjonali, fil-każ ta’ votazzjoni għandu jkollha numru ta’ voti biss daqs it-total ta’ voti allokati lill-Istati Membri tagħha li huma wkoll Partijiet Kontraenti għall-Konvenzjoni. Peress li l-Istati Membri kollha tal-UE huma Partijiet Kontraenti għall-Konvenzjoni, l-Unjoni għandha 28 vot.</w:t>
      </w:r>
    </w:p>
    <w:p>
      <w:pPr>
        <w:rPr>
          <w:noProof/>
        </w:rPr>
      </w:pPr>
      <w:r>
        <w:rPr>
          <w:noProof/>
        </w:rPr>
        <w:t xml:space="preserve">L-emendi għall-Konvenzjoni fuq l-Armonizzazzjoni jiġu adottati b’maġġoranza ta’ żewġ terzi tal-membri preżenti u li jivvutaw. Sabiex tittieħed deċiżjoni, huwa meħtieġ kworum ta’ mhux inqas minn terz tal-Istati li huma Partijiet. </w:t>
      </w:r>
    </w:p>
    <w:p>
      <w:pPr>
        <w:pStyle w:val="ManualHeading2"/>
        <w:rPr>
          <w:noProof/>
          <w:color w:val="000000" w:themeColor="text1"/>
        </w:rPr>
      </w:pPr>
      <w:r>
        <w:t>2.3.</w:t>
      </w:r>
      <w:r>
        <w:tab/>
      </w:r>
      <w:r>
        <w:rPr>
          <w:noProof/>
        </w:rPr>
        <w:t>L-att previst tal-Kumitat Amministrattiv</w:t>
      </w:r>
    </w:p>
    <w:p>
      <w:pPr>
        <w:rPr>
          <w:rFonts w:eastAsia="Arial Unicode MS"/>
          <w:noProof/>
        </w:rPr>
      </w:pPr>
      <w:r>
        <w:rPr>
          <w:noProof/>
        </w:rPr>
        <w:t>Fit-tnax-il sessjoni tiegħu, il-Kumitat Amministrattiv x’aktarx jieħu deċiżjoni dwar l-adozzjoni tal-emendi proposti għall-Konvenzjoni fuq l-Armonizzazzjoni (“l-att previst”).</w:t>
      </w:r>
    </w:p>
    <w:p>
      <w:pPr>
        <w:rPr>
          <w:rFonts w:eastAsia="Arial Unicode MS"/>
          <w:noProof/>
          <w:color w:val="0000FF"/>
        </w:rPr>
      </w:pPr>
      <w:r>
        <w:rPr>
          <w:noProof/>
        </w:rPr>
        <w:t xml:space="preserve">Il-fini tal-att previst huwa li jnaqqas il-frekwenza tal-mekkaniżmu ta’ rappurtar dwar il-progress li jkun sar biex jittejbu l-proċeduri tal-qsim tal-fruntieri għat-trasport internazzjonali bit-triq. Attwalment, kull Parti Kontraenti għall-Konvenzjoni hija mitluba timla u tibgħat lis-segretarjat tan-NU/KEE, abbozz ta’ kwestjonarju dwar l-implimentazzjoni tal-Anness 8 tal-Konvenzjoni (il-pubblikazzjoni ta’ dispożizzjonijiet legali, l-infrastruttura, l-applikazzjoni, eċċ.). L-att previst se jbiddel l-iskeda ta’ żmien għar-rappurtar minn sentejn għal ħames snin, li jfisser li se jħalli biżżejjed żmien biex jinkiseb riżultat interessanti.    </w:t>
      </w:r>
    </w:p>
    <w:p>
      <w:pPr>
        <w:rPr>
          <w:noProof/>
        </w:rPr>
      </w:pPr>
      <w:r>
        <w:rPr>
          <w:noProof/>
        </w:rPr>
        <w:lastRenderedPageBreak/>
        <w:t xml:space="preserve">L-att previst se jsir vinkolanti għall-Partijiet f’konformità mal-Artikolu 22 tal-Konvenzjoni fuq l-Armonizzazzjoni. L-Artikolu 22 jikkonċerna l-emendi proposti għall-Konvenzjoni u jistipula: </w:t>
      </w:r>
      <w:r>
        <w:rPr>
          <w:i/>
          <w:noProof/>
        </w:rPr>
        <w:t xml:space="preserve">“Kwalunkwe emenda proposta kkomunikata skont il-paragrafu preċedenti għandha tidħol fis-seħħ fir-rigward tal-Partijiet Kontraenti kollha tliet xhur wara l-iskadenza ta’ perjodu ta’ 12-il xahar wara d-data tal-komunikazzjoni tal-emenda proposta, matul liema perjodu l-ebda oġġezzjoni għall-emenda proposta ma tkun ġiet komunikata lis-Segretarju Ġenerali tan-Nazzjonijiet Uniti minn Stat li huwa Parti Kontraenti jew minn organizzazzjoni għall-integrazzjoni ekonomika reġjonali, li hi stess tkun Parti Kontraenti, li mbagħad taġixxi skont il-kondizzjonijiet speċifikati fl-Artikolu 16(2) ta’ din il-Konvenzjoni.” 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Il-pożizzjoni li trid tittieħed f’isem l-Unjoni</w:t>
      </w:r>
    </w:p>
    <w:p>
      <w:pPr>
        <w:pStyle w:val="Text1"/>
        <w:ind w:left="0"/>
        <w:rPr>
          <w:rFonts w:eastAsia="Arial Unicode MS"/>
          <w:noProof/>
        </w:rPr>
      </w:pPr>
      <w:r>
        <w:rPr>
          <w:noProof/>
        </w:rPr>
        <w:t>L-Unjoni tikkondividi l-objettiv ta’ approċċ raġonevoli għall-frekwenza tal-mekkaniżmu ta’ rappurtar dwar il-progress li jkun sar biex jittejbu l-proċeduri tal-qsim tal-fruntieri għat-trasport internazzjonali bit-triq. Attwalment, l-istħarriġ globali jseħħ kull sentejn, li jfisser li kull sentejn kull Parti Kontraenti (inkluż l-Unjoni Ewropea) ikollha tirrapporta dwar il-progress li jkun sar. Il-frekwenza attwali tal-mekkaniżmu ta’ rappurtar hija piż għall-Partijiet Kontraenti minħabba li l-kwestjonarju ħafna drabi jkun jirrikjedi koordinazzjoni interministerjali bejn l-awtoritajiet doganali u tat-trasport fil-livell nazzjonali. Barra minn hekk, kif ġie diskuss u kkoordinat fil-Grupp ta’ Esperti Doganali għat-TIR mal-Istati Membri, huwa mistenni li l-istħarriġ iwassal għal riżultati simili meta jitwettaq kull ħames snin.</w:t>
      </w:r>
    </w:p>
    <w:p>
      <w:pPr>
        <w:pStyle w:val="Text1"/>
        <w:ind w:left="0"/>
        <w:rPr>
          <w:rFonts w:eastAsia="Arial Unicode MS"/>
          <w:noProof/>
        </w:rPr>
      </w:pPr>
      <w:r>
        <w:rPr>
          <w:noProof/>
        </w:rPr>
        <w:t xml:space="preserve">Għalhekk, qed jiġi propost li l-Unjoni tappoġġa l-proposta għal emenda tal-Artikolu 7 tal-Anness 8 tal-Konvenzjoni fuq l-Armonizzazzjoni, li għandha l-għan li testendi l-frekwenza tal-mekkaniżmu ta’ rappurtar minn sentejn għal ħames snin. </w:t>
      </w:r>
    </w:p>
    <w:p>
      <w:pPr>
        <w:pStyle w:val="Text1"/>
        <w:ind w:left="0"/>
        <w:rPr>
          <w:rFonts w:eastAsia="Arial Unicode MS"/>
          <w:noProof/>
        </w:rPr>
      </w:pPr>
      <w:r>
        <w:rPr>
          <w:noProof/>
        </w:rPr>
        <w:t>Ikun xieraq li tiġi stabbilita l-pożizzjoni li trid tittieħed f’isem l-Unjoni fil-Kumitat Amministrattiv, peress li l-emendi se jkunu vinkolanti għall-Unjoni.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i/>
          <w:noProof/>
        </w:rPr>
      </w:pPr>
      <w:r>
        <w:rPr>
          <w:noProof/>
        </w:rPr>
        <w:t xml:space="preserve">L-Artikolu 218(9) tat-Trattat dwar il-Funzjonament tal-Unjoni Ewropea (TFUE) jipprevedi Deċiżjonijiet li jistabbilixxu </w:t>
      </w:r>
      <w:r>
        <w:rPr>
          <w:i/>
          <w:noProof/>
        </w:rPr>
        <w:t>“l-pożizzjonijiet li għandhom jiġu adottati f’isem l-Unjoni f’sede stabbilita fi ftehim, meta dik is-sede tintalab tadotta atti li jkollhom effetti legali, sakemm dawn ma jkunux atti li jissupplimentaw jew jemendaw il-qafas istituzzjonali tal-ftehim”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L-Artikolu 218(9) tat-TFUE japplika irrispettivament jekk l-Unjoni tkunx membru tal-korp jew tkunx Parti għall-ftehim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Il-kunċett ta’ </w:t>
      </w:r>
      <w:r>
        <w:rPr>
          <w:i/>
          <w:noProof/>
        </w:rPr>
        <w:t>“atti li jkollhom effetti legali”</w:t>
      </w:r>
      <w:r>
        <w:rPr>
          <w:noProof/>
        </w:rPr>
        <w:t xml:space="preserve"> jinkludi l-atti li jkollhom effetti legali bis-saħħa tar-regoli tad-dritt internazzjonali li jirregolaw il-korp inkwistjoni. Jinkludi wkoll l-istrumenti li ma għandhomx effett vinkolanti skont id-dritt internazzjonali, iżda li </w:t>
      </w:r>
      <w:r>
        <w:rPr>
          <w:i/>
          <w:noProof/>
        </w:rPr>
        <w:t>“jistgħu jinfluwenzaw b’mod determinanti l-kontenut tal-leġiżlazzjoni adottata mil-leġiżlatur tal-Unjoni”</w:t>
      </w:r>
      <w:r>
        <w:rPr>
          <w:rStyle w:val="FootnoteReference"/>
          <w:i/>
          <w:noProof/>
        </w:rPr>
        <w:footnoteReference w:id="3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lastRenderedPageBreak/>
        <w:t>4.1.2.</w:t>
      </w:r>
      <w:r>
        <w:tab/>
      </w:r>
      <w:r>
        <w:rPr>
          <w:noProof/>
        </w:rPr>
        <w:t>Applikazzjoni għal dan il-każ</w:t>
      </w:r>
    </w:p>
    <w:p>
      <w:pPr>
        <w:rPr>
          <w:noProof/>
        </w:rPr>
      </w:pPr>
      <w:r>
        <w:rPr>
          <w:noProof/>
        </w:rPr>
        <w:t>Il-Kumitat Amministrattiv huwa korp stabbilit permezz ta’ ftehim, jiġifieri l-Konvenzjoni Internazzjonali fuq l-Armonizzazzjoni ta’ Kontrolli tal-Merkanzija fuq il-Fruntieri</w:t>
      </w:r>
      <w:r>
        <w:t>.</w:t>
      </w:r>
    </w:p>
    <w:p>
      <w:pPr>
        <w:rPr>
          <w:noProof/>
        </w:rPr>
      </w:pPr>
      <w:r>
        <w:rPr>
          <w:noProof/>
        </w:rPr>
        <w:t xml:space="preserve">L-att li l-Kumitat Amministrattiv mitlub jadotta jikkostitwixxi att b’effetti legali. L-att previst se jkun vinkolanti skont id-dritt internazzjonali f’konformità mal-Artikolu 22 tal-Konvenzjoni Internazzjonali fuq l-Armonizzazzjoni ta’ Kontrolli tal-Merkanzija fuq il-Fruntieri. </w:t>
      </w:r>
    </w:p>
    <w:p>
      <w:pPr>
        <w:rPr>
          <w:noProof/>
        </w:rPr>
      </w:pPr>
      <w:r>
        <w:rPr>
          <w:noProof/>
        </w:rPr>
        <w:t>L-att previst ma jissupplimentax jew ma jemendax il-qafas istituzzjonali tal-Ftehim.</w:t>
      </w:r>
    </w:p>
    <w:p>
      <w:pPr>
        <w:rPr>
          <w:noProof/>
        </w:rPr>
      </w:pPr>
      <w:r>
        <w:rPr>
          <w:noProof/>
        </w:rPr>
        <w:t>Għaldaqstant, il-bażi ġuridika proċedurali għad-Deċiżjoni proposta hija l-Artikolu 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biex tittieħed Deċiżjoni skont l-Artikolu 218(9) tat-TFUE tiddependi primarjament mill-objettiv u mill-kontenut tal-att previst li dwaru tittieħed pożizzjoni f’isem l-Unjoni. Jekk l-att previst ikollu żewġ għanijiet jew żewġ komponenti, u jekk wieħed minn dawk l-għanijiet jew il-komponenti jkun jista’ jiġi identifikat bħala dak ewlieni, filwaqt li l-ieħor ikun sempliċement inċidentali, id-Deċiżjoni skont l-Artikolu 218(9) tat-TFUE trid tkun ibbażata fuq bażi ġuridika sostantiva waħda, jiġifieri dik meħtieġa mill-għan jew mill-komponent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 dan il-każ</w:t>
      </w:r>
    </w:p>
    <w:p>
      <w:pPr>
        <w:rPr>
          <w:noProof/>
        </w:rPr>
      </w:pPr>
      <w:r>
        <w:rPr>
          <w:noProof/>
        </w:rPr>
        <w:t>L-objettiv ewlieni u l-kontenut tal-att previst huma relatati mal-politika doganali u mal-politika tal-kummerċ barrani.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Għalhekk, il-bażi ġuridika sostantiva tad-Deċiżjoni proposta hija l-Artikolu 207 tat-TFUE.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Il-bażi ġuridika tad-Deċiżjoni proposta jenħtieġ li tkun l-Artikolu 207 flimkien mal-Artikolu 218(9) tat-TFUE.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Pubblikazzjoni tal-att previst</w:t>
      </w:r>
    </w:p>
    <w:p>
      <w:pPr>
        <w:rPr>
          <w:noProof/>
        </w:rPr>
      </w:pPr>
      <w:r>
        <w:rPr>
          <w:noProof/>
        </w:rPr>
        <w:t>Peress li l-att tal-Kumitat Amministrattiv se jemenda l-Anness 8 tal-Konvenzjoni Internazzjonali fuq l-Armonizzazzjoni ta’ Kontrolli tal-Merkanzija fuq il-Fruntieri</w:t>
      </w:r>
      <w:r>
        <w:t xml:space="preserve">, </w:t>
      </w:r>
      <w:r>
        <w:rPr>
          <w:noProof/>
        </w:rPr>
        <w:t>jixraq li dan jiġi ppubblikat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wara l-adozzjoni tiegħu.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2019/0199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trid tittieħed f’isem l-Unjoni Ewropea fil-Kumitat Amministrattiv tal-Konvenzjoni Internazzjonali fuq l-Armonizzazzjoni ta’ Kontrolli tal-Merkanzija fuq il-Fruntieri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 207 flimkien mal-Artikolu 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Il-Konvenzjoni Internazzjonali fuq l-Armonizzazzjoni ta’ Kontrolli tal-Merkanzija fuq il-Fruntieri (“il-Konvenzjoni”), tal-1982, ġiet approvata permezz tar-Regolament tal-Kunsill (KEE) Nru 1262/84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Skont l-Artikolu 22 tal-Konvenzjoni, il-Kumitat Amministrattiv jista’ jadotta emendi b’maġġoranza ta’ żewġ terzi tal-Partijiet Kontraenti preżenti u li jivvutaw.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Il-Kumitat Amministrattiv, fit-tnax-il sessjoni tiegħu, irid jadotta emenda għall-Artikolu 7 tal-Anness 8.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Ikun xieraq li tiġi stabbilita l-pożizzjoni li trid tittieħed f’isem l-Unjoni fil-Kumitat Amministrattiv, peress li l-emendi għall-Konvenzjoni se jkunu vinkolanti għall-Unjoni.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L-Unjoni tappoġġa l-Artikolu 7 il-ġdid tal-Anness 8 tal-Konvenzjoni fuq l-Armonizzazzjoni peress li bis-saħħa tat-tnaqqis tal-frekwenza tal-mekkaniżmu ta’ rappurtar dwar il-progress li jkun sar biex jittejbu l-proċeduri tal-qsim tal-fruntieri għat-trasport internazzjonali bit-triq, l-Istati Membri jkollhom inqas formalitajiet amministrattivi.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Għalhekk, il-pożizzjoni li trid tiġi adottata f’isem l-Unjoni fil-Kumitat Amministrattiv tal-Konvenzjoni jenħtieġ li tkun ibbażata fuq l-abbozz ta’ emendi mehmuż ma’ din id-Deċiżjoni, 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jc w:val="left"/>
        <w:rPr>
          <w:noProof/>
          <w:color w:val="000000" w:themeColor="text1"/>
        </w:rPr>
      </w:pPr>
      <w:r>
        <w:rPr>
          <w:noProof/>
        </w:rPr>
        <w:t>Il-pożizzjoni li trid tittieħed f’isem l-Unjoni fit-tnax-il sessjoni jew f’sessjoni sussegwenti tal-Kumitat Amministrattiv għandha tkun ta’ appoġġ għall-abbozz ta’ emendi mehmuż ma’ din id-Deċiżjoni.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Artikolu 2</w:t>
      </w:r>
    </w:p>
    <w:p>
      <w:pPr>
        <w:rPr>
          <w:noProof/>
        </w:rPr>
      </w:pPr>
      <w:r>
        <w:rPr>
          <w:noProof/>
        </w:rPr>
        <w:t xml:space="preserve">Bidliet editorjali fl-abbozz ta’ emendi msemmi fl-Artikolu 1 jistgħu jiġu miftiehma mir-rappreżentant tal-Unjoni fil-Kumitat Amministrattiv. </w:t>
      </w:r>
    </w:p>
    <w:p>
      <w:pPr>
        <w:pStyle w:val="Titrearticle"/>
        <w:rPr>
          <w:noProof/>
          <w:color w:val="000000" w:themeColor="text1"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>Din id-Deċiżjoni għandha tidħol fis-seħħ fid-data tal-adozzjoni tagħha.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ĠU L 126, 12.5.1984, p. 1-2.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 ta’ Ottubru 2014, Il-Ġermanja vs Il-Kunsill, il-Kawża C-399/12, ECLI:EU:C:2014:2258, il-paragrafu 64.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 ta’ Ottubru 2014, Il-Ġermanja vs Il-Kunsill, il-Kawża C-399/12, ECLI:EU:C:2014:2258, il-paragrafi 61 sa 64.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ĠU L 126, 12.05.1984, p.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CF495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BD263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33AF1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A2A05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732E77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5A13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9609B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5B058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21"/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9-17 14:07:44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886CAE2-4027-4BA4-83B7-2AA6F6060D0C"/>
    <w:docVar w:name="LW_COVERPAGE_TYPE" w:val="1"/>
    <w:docVar w:name="LW_CROSSREFERENCE" w:val="&lt;UNUSED&gt;"/>
    <w:docVar w:name="LW_DocType" w:val="COM"/>
    <w:docVar w:name="LW_EMISSION" w:val="25.9.2019"/>
    <w:docVar w:name="LW_EMISSION_ISODATE" w:val="2019-09-25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99"/>
    <w:docVar w:name="LW_REF.II.NEW.CP_YEAR" w:val="2019"/>
    <w:docVar w:name="LW_REF.INST.NEW" w:val="COM"/>
    <w:docVar w:name="LW_REF.INST.NEW_ADOPTED" w:val="final"/>
    <w:docVar w:name="LW_REF.INST.NEW_TEXT" w:val="(2019) 42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trid tittie\u295?ed f\u8217?isem l-Unjoni Ewropea fil-Kumitat Amministrattiv tal-Konvenzjoni Internazzjonali fuq l-Armonizzazzjoni ta\u8217? Kontrolli tal-Merkanzija fuq il-Fruntieri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CAFE-4478-48F0-B068-D4DB6740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1213</Words>
  <Characters>9288</Characters>
  <Application>Microsoft Office Word</Application>
  <DocSecurity>0</DocSecurity>
  <Lines>157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19</cp:revision>
  <cp:lastPrinted>2019-06-19T14:31:00Z</cp:lastPrinted>
  <dcterms:created xsi:type="dcterms:W3CDTF">2019-08-02T12:40:00Z</dcterms:created>
  <dcterms:modified xsi:type="dcterms:W3CDTF">2019-09-17T12:07:00Z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