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F21B3D9-A747-4296-AE4E-F1908E7C0A72"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noProof/>
        </w:rPr>
        <w:id w:val="-1536187396"/>
        <w:docPartObj>
          <w:docPartGallery w:val="Table of Contents"/>
          <w:docPartUnique/>
        </w:docPartObj>
      </w:sdtPr>
      <w:sdtEndPr>
        <w:rPr>
          <w:b/>
          <w:bCs/>
        </w:rPr>
      </w:sdtEndPr>
      <w:sdtContent>
        <w:p>
          <w:pPr>
            <w:rPr>
              <w:rFonts w:ascii="Times New Roman" w:hAnsi="Times New Roman" w:cs="Times New Roman"/>
              <w:b/>
              <w:noProof/>
              <w:sz w:val="28"/>
              <w:szCs w:val="24"/>
            </w:rPr>
          </w:pPr>
          <w:r>
            <w:rPr>
              <w:rFonts w:ascii="Times New Roman" w:hAnsi="Times New Roman"/>
              <w:b/>
              <w:noProof/>
              <w:sz w:val="28"/>
            </w:rPr>
            <w:t>Obsah</w:t>
          </w:r>
        </w:p>
        <w:p>
          <w:pPr>
            <w:pStyle w:val="TOC1"/>
            <w:tabs>
              <w:tab w:val="left" w:pos="440"/>
              <w:tab w:val="right" w:leader="dot" w:pos="9016"/>
            </w:tabs>
            <w:rPr>
              <w:rFonts w:eastAsiaTheme="minorEastAsia"/>
              <w:noProof/>
              <w:lang w:val="en-US"/>
            </w:rPr>
          </w:pPr>
          <w:r>
            <w:rPr>
              <w:rFonts w:ascii="Times New Roman" w:hAnsi="Times New Roman" w:cs="Times New Roman"/>
              <w:noProof/>
            </w:rPr>
            <w:fldChar w:fldCharType="begin"/>
          </w:r>
          <w:r>
            <w:rPr>
              <w:rFonts w:ascii="Times New Roman" w:hAnsi="Times New Roman" w:cs="Times New Roman"/>
              <w:noProof/>
            </w:rPr>
            <w:instrText xml:space="preserve"> TOC \o "1-3" \h \z \u </w:instrText>
          </w:r>
          <w:r>
            <w:rPr>
              <w:rFonts w:ascii="Times New Roman" w:hAnsi="Times New Roman" w:cs="Times New Roman"/>
              <w:noProof/>
            </w:rPr>
            <w:fldChar w:fldCharType="separate"/>
          </w:r>
          <w:hyperlink w:anchor="_Toc18568213" w:history="1">
            <w:r>
              <w:rPr>
                <w:rStyle w:val="Hyperlink"/>
                <w:rFonts w:ascii="Times New Roman" w:hAnsi="Times New Roman"/>
                <w:noProof/>
              </w:rPr>
              <w:t>1.</w:t>
            </w:r>
            <w:r>
              <w:rPr>
                <w:rFonts w:eastAsiaTheme="minorEastAsia"/>
                <w:noProof/>
                <w:lang w:val="en-US"/>
              </w:rPr>
              <w:tab/>
            </w:r>
            <w:r>
              <w:rPr>
                <w:rStyle w:val="Hyperlink"/>
                <w:rFonts w:ascii="Times New Roman" w:hAnsi="Times New Roman"/>
                <w:noProof/>
              </w:rPr>
              <w:t>Shrnutí</w:t>
            </w:r>
            <w:r>
              <w:rPr>
                <w:noProof/>
                <w:webHidden/>
              </w:rPr>
              <w:tab/>
            </w:r>
            <w:r>
              <w:rPr>
                <w:noProof/>
                <w:webHidden/>
              </w:rPr>
              <w:fldChar w:fldCharType="begin"/>
            </w:r>
            <w:r>
              <w:rPr>
                <w:noProof/>
                <w:webHidden/>
              </w:rPr>
              <w:instrText xml:space="preserve"> PAGEREF _Toc18568213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440"/>
              <w:tab w:val="right" w:leader="dot" w:pos="9016"/>
            </w:tabs>
            <w:rPr>
              <w:rFonts w:eastAsiaTheme="minorEastAsia"/>
              <w:noProof/>
              <w:lang w:val="en-US"/>
            </w:rPr>
          </w:pPr>
          <w:hyperlink w:anchor="_Toc18568214" w:history="1">
            <w:r>
              <w:rPr>
                <w:rStyle w:val="Hyperlink"/>
                <w:rFonts w:ascii="Times New Roman" w:hAnsi="Times New Roman"/>
                <w:noProof/>
              </w:rPr>
              <w:t>2.</w:t>
            </w:r>
            <w:r>
              <w:rPr>
                <w:rFonts w:eastAsiaTheme="minorEastAsia"/>
                <w:noProof/>
                <w:lang w:val="en-US"/>
              </w:rPr>
              <w:tab/>
            </w:r>
            <w:r>
              <w:rPr>
                <w:rStyle w:val="Hyperlink"/>
                <w:rFonts w:ascii="Times New Roman" w:hAnsi="Times New Roman"/>
                <w:noProof/>
              </w:rPr>
              <w:t>Úvod</w:t>
            </w:r>
            <w:r>
              <w:rPr>
                <w:noProof/>
                <w:webHidden/>
              </w:rPr>
              <w:tab/>
            </w:r>
            <w:r>
              <w:rPr>
                <w:noProof/>
                <w:webHidden/>
              </w:rPr>
              <w:fldChar w:fldCharType="begin"/>
            </w:r>
            <w:r>
              <w:rPr>
                <w:noProof/>
                <w:webHidden/>
              </w:rPr>
              <w:instrText xml:space="preserve"> PAGEREF _Toc18568214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440"/>
              <w:tab w:val="right" w:leader="dot" w:pos="9016"/>
            </w:tabs>
            <w:rPr>
              <w:rFonts w:eastAsiaTheme="minorEastAsia"/>
              <w:noProof/>
              <w:lang w:val="en-US"/>
            </w:rPr>
          </w:pPr>
          <w:hyperlink w:anchor="_Toc18568215" w:history="1">
            <w:r>
              <w:rPr>
                <w:rStyle w:val="Hyperlink"/>
                <w:rFonts w:ascii="Times New Roman" w:hAnsi="Times New Roman"/>
                <w:noProof/>
              </w:rPr>
              <w:t>3.</w:t>
            </w:r>
            <w:r>
              <w:rPr>
                <w:rFonts w:eastAsiaTheme="minorEastAsia"/>
                <w:noProof/>
                <w:lang w:val="en-US"/>
              </w:rPr>
              <w:tab/>
            </w:r>
            <w:r>
              <w:rPr>
                <w:rStyle w:val="Hyperlink"/>
                <w:rFonts w:ascii="Times New Roman" w:hAnsi="Times New Roman"/>
                <w:noProof/>
              </w:rPr>
              <w:t>Kontext nařízení</w:t>
            </w:r>
            <w:r>
              <w:rPr>
                <w:noProof/>
                <w:webHidden/>
              </w:rPr>
              <w:tab/>
            </w:r>
            <w:r>
              <w:rPr>
                <w:noProof/>
                <w:webHidden/>
              </w:rPr>
              <w:fldChar w:fldCharType="begin"/>
            </w:r>
            <w:r>
              <w:rPr>
                <w:noProof/>
                <w:webHidden/>
              </w:rPr>
              <w:instrText xml:space="preserve"> PAGEREF _Toc18568215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16"/>
            </w:tabs>
            <w:rPr>
              <w:rFonts w:eastAsiaTheme="minorEastAsia"/>
              <w:noProof/>
              <w:lang w:val="en-US"/>
            </w:rPr>
          </w:pPr>
          <w:hyperlink w:anchor="_Toc18568216" w:history="1">
            <w:r>
              <w:rPr>
                <w:rStyle w:val="Hyperlink"/>
                <w:noProof/>
              </w:rPr>
              <w:t>3.1 Evropský kontext</w:t>
            </w:r>
            <w:r>
              <w:rPr>
                <w:noProof/>
                <w:webHidden/>
              </w:rPr>
              <w:tab/>
            </w:r>
            <w:r>
              <w:rPr>
                <w:noProof/>
                <w:webHidden/>
              </w:rPr>
              <w:fldChar w:fldCharType="begin"/>
            </w:r>
            <w:r>
              <w:rPr>
                <w:noProof/>
                <w:webHidden/>
              </w:rPr>
              <w:instrText xml:space="preserve"> PAGEREF _Toc18568216 \h </w:instrText>
            </w:r>
            <w:r>
              <w:rPr>
                <w:noProof/>
                <w:webHidden/>
              </w:rPr>
            </w:r>
            <w:r>
              <w:rPr>
                <w:noProof/>
                <w:webHidden/>
              </w:rPr>
              <w:fldChar w:fldCharType="separate"/>
            </w:r>
            <w:r>
              <w:rPr>
                <w:noProof/>
                <w:webHidden/>
              </w:rPr>
              <w:t>3</w:t>
            </w:r>
            <w:r>
              <w:rPr>
                <w:noProof/>
                <w:webHidden/>
              </w:rPr>
              <w:fldChar w:fldCharType="end"/>
            </w:r>
          </w:hyperlink>
        </w:p>
        <w:p>
          <w:pPr>
            <w:pStyle w:val="TOC2"/>
            <w:tabs>
              <w:tab w:val="right" w:leader="dot" w:pos="9016"/>
            </w:tabs>
            <w:rPr>
              <w:rFonts w:eastAsiaTheme="minorEastAsia"/>
              <w:noProof/>
              <w:lang w:val="en-US"/>
            </w:rPr>
          </w:pPr>
          <w:hyperlink w:anchor="_Toc18568217" w:history="1">
            <w:r>
              <w:rPr>
                <w:rStyle w:val="Hyperlink"/>
                <w:noProof/>
              </w:rPr>
              <w:t>3.2 Mezinárodní kontext</w:t>
            </w:r>
            <w:r>
              <w:rPr>
                <w:noProof/>
                <w:webHidden/>
              </w:rPr>
              <w:tab/>
            </w:r>
            <w:r>
              <w:rPr>
                <w:noProof/>
                <w:webHidden/>
              </w:rPr>
              <w:fldChar w:fldCharType="begin"/>
            </w:r>
            <w:r>
              <w:rPr>
                <w:noProof/>
                <w:webHidden/>
              </w:rPr>
              <w:instrText xml:space="preserve"> PAGEREF _Toc18568217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440"/>
              <w:tab w:val="right" w:leader="dot" w:pos="9016"/>
            </w:tabs>
            <w:rPr>
              <w:rFonts w:eastAsiaTheme="minorEastAsia"/>
              <w:noProof/>
              <w:lang w:val="en-US"/>
            </w:rPr>
          </w:pPr>
          <w:hyperlink w:anchor="_Toc18568218" w:history="1">
            <w:r>
              <w:rPr>
                <w:rStyle w:val="Hyperlink"/>
                <w:rFonts w:ascii="Times New Roman" w:hAnsi="Times New Roman"/>
                <w:noProof/>
              </w:rPr>
              <w:t>4.</w:t>
            </w:r>
            <w:r>
              <w:rPr>
                <w:rFonts w:eastAsiaTheme="minorEastAsia"/>
                <w:noProof/>
                <w:lang w:val="en-US"/>
              </w:rPr>
              <w:tab/>
            </w:r>
            <w:r>
              <w:rPr>
                <w:rStyle w:val="Hyperlink"/>
                <w:rFonts w:ascii="Times New Roman" w:hAnsi="Times New Roman"/>
                <w:noProof/>
              </w:rPr>
              <w:t>Provádění nařízení</w:t>
            </w:r>
            <w:r>
              <w:rPr>
                <w:noProof/>
                <w:webHidden/>
              </w:rPr>
              <w:tab/>
            </w:r>
            <w:r>
              <w:rPr>
                <w:noProof/>
                <w:webHidden/>
              </w:rPr>
              <w:fldChar w:fldCharType="begin"/>
            </w:r>
            <w:r>
              <w:rPr>
                <w:noProof/>
                <w:webHidden/>
              </w:rPr>
              <w:instrText xml:space="preserve"> PAGEREF _Toc18568218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016"/>
            </w:tabs>
            <w:rPr>
              <w:rFonts w:eastAsiaTheme="minorEastAsia"/>
              <w:noProof/>
              <w:lang w:val="en-US"/>
            </w:rPr>
          </w:pPr>
          <w:hyperlink w:anchor="_Toc18568219" w:history="1">
            <w:r>
              <w:rPr>
                <w:rStyle w:val="Hyperlink"/>
                <w:noProof/>
              </w:rPr>
              <w:t>4.1 Cíle a účinnost</w:t>
            </w:r>
            <w:r>
              <w:rPr>
                <w:noProof/>
                <w:webHidden/>
              </w:rPr>
              <w:tab/>
            </w:r>
            <w:r>
              <w:rPr>
                <w:noProof/>
                <w:webHidden/>
              </w:rPr>
              <w:fldChar w:fldCharType="begin"/>
            </w:r>
            <w:r>
              <w:rPr>
                <w:noProof/>
                <w:webHidden/>
              </w:rPr>
              <w:instrText xml:space="preserve"> PAGEREF _Toc18568219 \h </w:instrText>
            </w:r>
            <w:r>
              <w:rPr>
                <w:noProof/>
                <w:webHidden/>
              </w:rPr>
            </w:r>
            <w:r>
              <w:rPr>
                <w:noProof/>
                <w:webHidden/>
              </w:rPr>
              <w:fldChar w:fldCharType="separate"/>
            </w:r>
            <w:r>
              <w:rPr>
                <w:noProof/>
                <w:webHidden/>
              </w:rPr>
              <w:t>4</w:t>
            </w:r>
            <w:r>
              <w:rPr>
                <w:noProof/>
                <w:webHidden/>
              </w:rPr>
              <w:fldChar w:fldCharType="end"/>
            </w:r>
          </w:hyperlink>
        </w:p>
        <w:p>
          <w:pPr>
            <w:pStyle w:val="TOC2"/>
            <w:tabs>
              <w:tab w:val="right" w:leader="dot" w:pos="9016"/>
            </w:tabs>
            <w:rPr>
              <w:rFonts w:eastAsiaTheme="minorEastAsia"/>
              <w:noProof/>
              <w:lang w:val="en-US"/>
            </w:rPr>
          </w:pPr>
          <w:hyperlink w:anchor="_Toc18568220" w:history="1">
            <w:r>
              <w:rPr>
                <w:rStyle w:val="Hyperlink"/>
                <w:noProof/>
              </w:rPr>
              <w:t>4.2 Definice kulturních statků</w:t>
            </w:r>
            <w:r>
              <w:rPr>
                <w:noProof/>
                <w:webHidden/>
              </w:rPr>
              <w:tab/>
            </w:r>
            <w:r>
              <w:rPr>
                <w:noProof/>
                <w:webHidden/>
              </w:rPr>
              <w:fldChar w:fldCharType="begin"/>
            </w:r>
            <w:r>
              <w:rPr>
                <w:noProof/>
                <w:webHidden/>
              </w:rPr>
              <w:instrText xml:space="preserve"> PAGEREF _Toc18568220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16"/>
            </w:tabs>
            <w:rPr>
              <w:rFonts w:eastAsiaTheme="minorEastAsia"/>
              <w:noProof/>
              <w:lang w:val="en-US"/>
            </w:rPr>
          </w:pPr>
          <w:hyperlink w:anchor="_Toc18568221" w:history="1">
            <w:r>
              <w:rPr>
                <w:rStyle w:val="Hyperlink"/>
                <w:noProof/>
              </w:rPr>
              <w:t>4.3 Prahové hodnoty pro stáří kulturních statků a finanční limity</w:t>
            </w:r>
            <w:r>
              <w:rPr>
                <w:noProof/>
                <w:webHidden/>
              </w:rPr>
              <w:tab/>
            </w:r>
            <w:r>
              <w:rPr>
                <w:noProof/>
                <w:webHidden/>
              </w:rPr>
              <w:fldChar w:fldCharType="begin"/>
            </w:r>
            <w:r>
              <w:rPr>
                <w:noProof/>
                <w:webHidden/>
              </w:rPr>
              <w:instrText xml:space="preserve"> PAGEREF _Toc18568221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16"/>
            </w:tabs>
            <w:rPr>
              <w:rFonts w:eastAsiaTheme="minorEastAsia"/>
              <w:noProof/>
              <w:lang w:val="en-US"/>
            </w:rPr>
          </w:pPr>
          <w:hyperlink w:anchor="_Toc18568222" w:history="1">
            <w:r>
              <w:rPr>
                <w:rStyle w:val="Hyperlink"/>
                <w:noProof/>
              </w:rPr>
              <w:t>4.4 Číselné údaje o standardních vývozních povoleních</w:t>
            </w:r>
            <w:r>
              <w:rPr>
                <w:noProof/>
                <w:webHidden/>
              </w:rPr>
              <w:tab/>
            </w:r>
            <w:r>
              <w:rPr>
                <w:noProof/>
                <w:webHidden/>
              </w:rPr>
              <w:fldChar w:fldCharType="begin"/>
            </w:r>
            <w:r>
              <w:rPr>
                <w:noProof/>
                <w:webHidden/>
              </w:rPr>
              <w:instrText xml:space="preserve"> PAGEREF _Toc18568222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9016"/>
            </w:tabs>
            <w:rPr>
              <w:rFonts w:eastAsiaTheme="minorEastAsia"/>
              <w:noProof/>
              <w:lang w:val="en-US"/>
            </w:rPr>
          </w:pPr>
          <w:hyperlink w:anchor="_Toc18568223" w:history="1">
            <w:r>
              <w:rPr>
                <w:rStyle w:val="Hyperlink"/>
                <w:noProof/>
              </w:rPr>
              <w:t>4.5 Zvláštní a obecná otevřená povolení</w:t>
            </w:r>
            <w:r>
              <w:rPr>
                <w:noProof/>
                <w:webHidden/>
              </w:rPr>
              <w:tab/>
            </w:r>
            <w:r>
              <w:rPr>
                <w:noProof/>
                <w:webHidden/>
              </w:rPr>
              <w:fldChar w:fldCharType="begin"/>
            </w:r>
            <w:r>
              <w:rPr>
                <w:noProof/>
                <w:webHidden/>
              </w:rPr>
              <w:instrText xml:space="preserve"> PAGEREF _Toc18568223 \h </w:instrText>
            </w:r>
            <w:r>
              <w:rPr>
                <w:noProof/>
                <w:webHidden/>
              </w:rPr>
            </w:r>
            <w:r>
              <w:rPr>
                <w:noProof/>
                <w:webHidden/>
              </w:rPr>
              <w:fldChar w:fldCharType="separate"/>
            </w:r>
            <w:r>
              <w:rPr>
                <w:noProof/>
                <w:webHidden/>
              </w:rPr>
              <w:t>6</w:t>
            </w:r>
            <w:r>
              <w:rPr>
                <w:noProof/>
                <w:webHidden/>
              </w:rPr>
              <w:fldChar w:fldCharType="end"/>
            </w:r>
          </w:hyperlink>
        </w:p>
        <w:p>
          <w:pPr>
            <w:pStyle w:val="TOC2"/>
            <w:tabs>
              <w:tab w:val="right" w:leader="dot" w:pos="9016"/>
            </w:tabs>
            <w:rPr>
              <w:rFonts w:eastAsiaTheme="minorEastAsia"/>
              <w:noProof/>
              <w:lang w:val="en-US"/>
            </w:rPr>
          </w:pPr>
          <w:hyperlink w:anchor="_Toc18568224" w:history="1">
            <w:r>
              <w:rPr>
                <w:rStyle w:val="Hyperlink"/>
                <w:noProof/>
              </w:rPr>
              <w:t>4.6 Výjimky z požadavků na vývozní povolení</w:t>
            </w:r>
            <w:r>
              <w:rPr>
                <w:noProof/>
                <w:webHidden/>
              </w:rPr>
              <w:tab/>
            </w:r>
            <w:r>
              <w:rPr>
                <w:noProof/>
                <w:webHidden/>
              </w:rPr>
              <w:fldChar w:fldCharType="begin"/>
            </w:r>
            <w:r>
              <w:rPr>
                <w:noProof/>
                <w:webHidden/>
              </w:rPr>
              <w:instrText xml:space="preserve"> PAGEREF _Toc18568224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lang w:val="en-US"/>
            </w:rPr>
          </w:pPr>
          <w:hyperlink w:anchor="_Toc18568225" w:history="1">
            <w:r>
              <w:rPr>
                <w:rStyle w:val="Hyperlink"/>
                <w:noProof/>
              </w:rPr>
              <w:t>4.7 Důvody zamítnutí žádosti o povolení</w:t>
            </w:r>
            <w:r>
              <w:rPr>
                <w:noProof/>
                <w:webHidden/>
              </w:rPr>
              <w:tab/>
            </w:r>
            <w:r>
              <w:rPr>
                <w:noProof/>
                <w:webHidden/>
              </w:rPr>
              <w:fldChar w:fldCharType="begin"/>
            </w:r>
            <w:r>
              <w:rPr>
                <w:noProof/>
                <w:webHidden/>
              </w:rPr>
              <w:instrText xml:space="preserve"> PAGEREF _Toc18568225 \h </w:instrText>
            </w:r>
            <w:r>
              <w:rPr>
                <w:noProof/>
                <w:webHidden/>
              </w:rPr>
            </w:r>
            <w:r>
              <w:rPr>
                <w:noProof/>
                <w:webHidden/>
              </w:rPr>
              <w:fldChar w:fldCharType="separate"/>
            </w:r>
            <w:r>
              <w:rPr>
                <w:noProof/>
                <w:webHidden/>
              </w:rPr>
              <w:t>8</w:t>
            </w:r>
            <w:r>
              <w:rPr>
                <w:noProof/>
                <w:webHidden/>
              </w:rPr>
              <w:fldChar w:fldCharType="end"/>
            </w:r>
          </w:hyperlink>
        </w:p>
        <w:p>
          <w:pPr>
            <w:pStyle w:val="TOC2"/>
            <w:tabs>
              <w:tab w:val="right" w:leader="dot" w:pos="9016"/>
            </w:tabs>
            <w:rPr>
              <w:rFonts w:eastAsiaTheme="minorEastAsia"/>
              <w:noProof/>
              <w:lang w:val="en-US"/>
            </w:rPr>
          </w:pPr>
          <w:hyperlink w:anchor="_Toc18568226" w:history="1">
            <w:r>
              <w:rPr>
                <w:rStyle w:val="Hyperlink"/>
                <w:noProof/>
              </w:rPr>
              <w:t>4.8 Potíže s formuláři povolení</w:t>
            </w:r>
            <w:r>
              <w:rPr>
                <w:noProof/>
                <w:webHidden/>
              </w:rPr>
              <w:tab/>
            </w:r>
            <w:r>
              <w:rPr>
                <w:noProof/>
                <w:webHidden/>
              </w:rPr>
              <w:fldChar w:fldCharType="begin"/>
            </w:r>
            <w:r>
              <w:rPr>
                <w:noProof/>
                <w:webHidden/>
              </w:rPr>
              <w:instrText xml:space="preserve"> PAGEREF _Toc18568226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16"/>
            </w:tabs>
            <w:rPr>
              <w:rFonts w:eastAsiaTheme="minorEastAsia"/>
              <w:noProof/>
              <w:lang w:val="en-US"/>
            </w:rPr>
          </w:pPr>
          <w:hyperlink w:anchor="_Toc18568227" w:history="1">
            <w:r>
              <w:rPr>
                <w:rStyle w:val="Hyperlink"/>
                <w:noProof/>
              </w:rPr>
              <w:t>4.9 Zrušení nebo odebrání povolení</w:t>
            </w:r>
            <w:r>
              <w:rPr>
                <w:noProof/>
                <w:webHidden/>
              </w:rPr>
              <w:tab/>
            </w:r>
            <w:r>
              <w:rPr>
                <w:noProof/>
                <w:webHidden/>
              </w:rPr>
              <w:fldChar w:fldCharType="begin"/>
            </w:r>
            <w:r>
              <w:rPr>
                <w:noProof/>
                <w:webHidden/>
              </w:rPr>
              <w:instrText xml:space="preserve"> PAGEREF _Toc18568227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16"/>
            </w:tabs>
            <w:rPr>
              <w:rFonts w:eastAsiaTheme="minorEastAsia"/>
              <w:noProof/>
              <w:lang w:val="en-US"/>
            </w:rPr>
          </w:pPr>
          <w:hyperlink w:anchor="_Toc18568228" w:history="1">
            <w:r>
              <w:rPr>
                <w:rStyle w:val="Hyperlink"/>
                <w:noProof/>
              </w:rPr>
              <w:t>4.10 Používání elektronických systémů</w:t>
            </w:r>
            <w:r>
              <w:rPr>
                <w:noProof/>
                <w:webHidden/>
              </w:rPr>
              <w:tab/>
            </w:r>
            <w:r>
              <w:rPr>
                <w:noProof/>
                <w:webHidden/>
              </w:rPr>
              <w:fldChar w:fldCharType="begin"/>
            </w:r>
            <w:r>
              <w:rPr>
                <w:noProof/>
                <w:webHidden/>
              </w:rPr>
              <w:instrText xml:space="preserve"> PAGEREF _Toc18568228 \h </w:instrText>
            </w:r>
            <w:r>
              <w:rPr>
                <w:noProof/>
                <w:webHidden/>
              </w:rPr>
            </w:r>
            <w:r>
              <w:rPr>
                <w:noProof/>
                <w:webHidden/>
              </w:rPr>
              <w:fldChar w:fldCharType="separate"/>
            </w:r>
            <w:r>
              <w:rPr>
                <w:noProof/>
                <w:webHidden/>
              </w:rPr>
              <w:t>9</w:t>
            </w:r>
            <w:r>
              <w:rPr>
                <w:noProof/>
                <w:webHidden/>
              </w:rPr>
              <w:fldChar w:fldCharType="end"/>
            </w:r>
          </w:hyperlink>
        </w:p>
        <w:p>
          <w:pPr>
            <w:pStyle w:val="TOC2"/>
            <w:tabs>
              <w:tab w:val="right" w:leader="dot" w:pos="9016"/>
            </w:tabs>
            <w:rPr>
              <w:rFonts w:eastAsiaTheme="minorEastAsia"/>
              <w:noProof/>
              <w:lang w:val="en-US"/>
            </w:rPr>
          </w:pPr>
          <w:hyperlink w:anchor="_Toc18568229" w:history="1">
            <w:r>
              <w:rPr>
                <w:rStyle w:val="Hyperlink"/>
                <w:noProof/>
              </w:rPr>
              <w:t>4.11 Sankce a jiná opatření</w:t>
            </w:r>
            <w:r>
              <w:rPr>
                <w:noProof/>
                <w:webHidden/>
              </w:rPr>
              <w:tab/>
            </w:r>
            <w:r>
              <w:rPr>
                <w:noProof/>
                <w:webHidden/>
              </w:rPr>
              <w:fldChar w:fldCharType="begin"/>
            </w:r>
            <w:r>
              <w:rPr>
                <w:noProof/>
                <w:webHidden/>
              </w:rPr>
              <w:instrText xml:space="preserve"> PAGEREF _Toc18568229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9016"/>
            </w:tabs>
            <w:rPr>
              <w:rFonts w:eastAsiaTheme="minorEastAsia"/>
              <w:noProof/>
              <w:lang w:val="en-US"/>
            </w:rPr>
          </w:pPr>
          <w:hyperlink w:anchor="_Toc18568230" w:history="1">
            <w:r>
              <w:rPr>
                <w:rStyle w:val="Hyperlink"/>
                <w:noProof/>
              </w:rPr>
              <w:t>4.12 Spolupráce mezi orgány</w:t>
            </w:r>
            <w:r>
              <w:rPr>
                <w:noProof/>
                <w:webHidden/>
              </w:rPr>
              <w:tab/>
            </w:r>
            <w:r>
              <w:rPr>
                <w:noProof/>
                <w:webHidden/>
              </w:rPr>
              <w:fldChar w:fldCharType="begin"/>
            </w:r>
            <w:r>
              <w:rPr>
                <w:noProof/>
                <w:webHidden/>
              </w:rPr>
              <w:instrText xml:space="preserve"> PAGEREF _Toc18568230 \h </w:instrText>
            </w:r>
            <w:r>
              <w:rPr>
                <w:noProof/>
                <w:webHidden/>
              </w:rPr>
            </w:r>
            <w:r>
              <w:rPr>
                <w:noProof/>
                <w:webHidden/>
              </w:rPr>
              <w:fldChar w:fldCharType="separate"/>
            </w:r>
            <w:r>
              <w:rPr>
                <w:noProof/>
                <w:webHidden/>
              </w:rPr>
              <w:t>10</w:t>
            </w:r>
            <w:r>
              <w:rPr>
                <w:noProof/>
                <w:webHidden/>
              </w:rPr>
              <w:fldChar w:fldCharType="end"/>
            </w:r>
          </w:hyperlink>
        </w:p>
        <w:p>
          <w:pPr>
            <w:pStyle w:val="TOC2"/>
            <w:tabs>
              <w:tab w:val="right" w:leader="dot" w:pos="9016"/>
            </w:tabs>
            <w:rPr>
              <w:rFonts w:eastAsiaTheme="minorEastAsia"/>
              <w:noProof/>
              <w:lang w:val="en-US"/>
            </w:rPr>
          </w:pPr>
          <w:hyperlink w:anchor="_Toc18568231" w:history="1">
            <w:r>
              <w:rPr>
                <w:rStyle w:val="Hyperlink"/>
                <w:noProof/>
              </w:rPr>
              <w:t>4.13 Materiální a lidské zdroje</w:t>
            </w:r>
            <w:r>
              <w:rPr>
                <w:noProof/>
                <w:webHidden/>
              </w:rPr>
              <w:tab/>
            </w:r>
            <w:r>
              <w:rPr>
                <w:noProof/>
                <w:webHidden/>
              </w:rPr>
              <w:fldChar w:fldCharType="begin"/>
            </w:r>
            <w:r>
              <w:rPr>
                <w:noProof/>
                <w:webHidden/>
              </w:rPr>
              <w:instrText xml:space="preserve"> PAGEREF _Toc18568231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440"/>
              <w:tab w:val="right" w:leader="dot" w:pos="9016"/>
            </w:tabs>
            <w:rPr>
              <w:rFonts w:eastAsiaTheme="minorEastAsia"/>
              <w:noProof/>
              <w:lang w:val="en-US"/>
            </w:rPr>
          </w:pPr>
          <w:hyperlink w:anchor="_Toc18568232" w:history="1">
            <w:r>
              <w:rPr>
                <w:rStyle w:val="Hyperlink"/>
                <w:noProof/>
              </w:rPr>
              <w:t>5.</w:t>
            </w:r>
            <w:r>
              <w:rPr>
                <w:rFonts w:eastAsiaTheme="minorEastAsia"/>
                <w:noProof/>
                <w:lang w:val="en-US"/>
              </w:rPr>
              <w:tab/>
            </w:r>
            <w:r>
              <w:rPr>
                <w:rStyle w:val="Hyperlink"/>
                <w:noProof/>
              </w:rPr>
              <w:t>Závěry a nedořešené otázky</w:t>
            </w:r>
            <w:r>
              <w:rPr>
                <w:noProof/>
                <w:webHidden/>
              </w:rPr>
              <w:tab/>
            </w:r>
            <w:r>
              <w:rPr>
                <w:noProof/>
                <w:webHidden/>
              </w:rPr>
              <w:fldChar w:fldCharType="begin"/>
            </w:r>
            <w:r>
              <w:rPr>
                <w:noProof/>
                <w:webHidden/>
              </w:rPr>
              <w:instrText xml:space="preserve"> PAGEREF _Toc18568232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440"/>
              <w:tab w:val="right" w:leader="dot" w:pos="9016"/>
            </w:tabs>
            <w:rPr>
              <w:rFonts w:eastAsiaTheme="minorEastAsia"/>
              <w:noProof/>
              <w:lang w:val="en-US"/>
            </w:rPr>
          </w:pPr>
          <w:hyperlink w:anchor="_Toc18568233" w:history="1">
            <w:r>
              <w:rPr>
                <w:rStyle w:val="Hyperlink"/>
                <w:rFonts w:ascii="Times New Roman" w:hAnsi="Times New Roman"/>
                <w:noProof/>
              </w:rPr>
              <w:t>6.</w:t>
            </w:r>
            <w:r>
              <w:rPr>
                <w:rFonts w:eastAsiaTheme="minorEastAsia"/>
                <w:noProof/>
                <w:lang w:val="en-US"/>
              </w:rPr>
              <w:tab/>
            </w:r>
            <w:r>
              <w:rPr>
                <w:rStyle w:val="Hyperlink"/>
                <w:rFonts w:ascii="Times New Roman" w:hAnsi="Times New Roman"/>
                <w:noProof/>
              </w:rPr>
              <w:t>PŘÍLOHY</w:t>
            </w:r>
            <w:r>
              <w:rPr>
                <w:noProof/>
                <w:webHidden/>
              </w:rPr>
              <w:tab/>
            </w:r>
            <w:r>
              <w:rPr>
                <w:noProof/>
                <w:webHidden/>
              </w:rPr>
              <w:fldChar w:fldCharType="begin"/>
            </w:r>
            <w:r>
              <w:rPr>
                <w:noProof/>
                <w:webHidden/>
              </w:rPr>
              <w:instrText xml:space="preserve"> PAGEREF _Toc18568233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16"/>
            </w:tabs>
            <w:rPr>
              <w:rFonts w:eastAsiaTheme="minorEastAsia"/>
              <w:noProof/>
              <w:lang w:val="en-US"/>
            </w:rPr>
          </w:pPr>
          <w:hyperlink w:anchor="_Toc18568234" w:history="1">
            <w:r>
              <w:rPr>
                <w:rStyle w:val="Hyperlink"/>
                <w:noProof/>
              </w:rPr>
              <w:t>Tabulka 1. Standardní povolení vydaná členskými státy *</w:t>
            </w:r>
            <w:r>
              <w:rPr>
                <w:noProof/>
                <w:webHidden/>
              </w:rPr>
              <w:tab/>
            </w:r>
            <w:r>
              <w:rPr>
                <w:noProof/>
                <w:webHidden/>
              </w:rPr>
              <w:fldChar w:fldCharType="begin"/>
            </w:r>
            <w:r>
              <w:rPr>
                <w:noProof/>
                <w:webHidden/>
              </w:rPr>
              <w:instrText xml:space="preserve"> PAGEREF _Toc18568234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9016"/>
            </w:tabs>
            <w:rPr>
              <w:rFonts w:eastAsiaTheme="minorEastAsia"/>
              <w:noProof/>
              <w:lang w:val="en-US"/>
            </w:rPr>
          </w:pPr>
          <w:hyperlink w:anchor="_Toc18568235" w:history="1">
            <w:r>
              <w:rPr>
                <w:rStyle w:val="Hyperlink"/>
                <w:noProof/>
              </w:rPr>
              <w:t>Tabulka 2. Zvláštní otevřená povolení v oběhu</w:t>
            </w:r>
            <w:r>
              <w:rPr>
                <w:noProof/>
                <w:webHidden/>
              </w:rPr>
              <w:tab/>
            </w:r>
            <w:r>
              <w:rPr>
                <w:noProof/>
                <w:webHidden/>
              </w:rPr>
              <w:fldChar w:fldCharType="begin"/>
            </w:r>
            <w:r>
              <w:rPr>
                <w:noProof/>
                <w:webHidden/>
              </w:rPr>
              <w:instrText xml:space="preserve"> PAGEREF _Toc18568235 \h </w:instrText>
            </w:r>
            <w:r>
              <w:rPr>
                <w:noProof/>
                <w:webHidden/>
              </w:rPr>
            </w:r>
            <w:r>
              <w:rPr>
                <w:noProof/>
                <w:webHidden/>
              </w:rPr>
              <w:fldChar w:fldCharType="separate"/>
            </w:r>
            <w:r>
              <w:rPr>
                <w:noProof/>
                <w:webHidden/>
              </w:rPr>
              <w:t>14</w:t>
            </w:r>
            <w:r>
              <w:rPr>
                <w:noProof/>
                <w:webHidden/>
              </w:rPr>
              <w:fldChar w:fldCharType="end"/>
            </w:r>
          </w:hyperlink>
        </w:p>
        <w:p>
          <w:pPr>
            <w:pStyle w:val="TOC2"/>
            <w:tabs>
              <w:tab w:val="right" w:leader="dot" w:pos="9016"/>
            </w:tabs>
            <w:rPr>
              <w:rFonts w:eastAsiaTheme="minorEastAsia"/>
              <w:noProof/>
              <w:lang w:val="en-US"/>
            </w:rPr>
          </w:pPr>
          <w:hyperlink w:anchor="_Toc18568236" w:history="1">
            <w:r>
              <w:rPr>
                <w:rStyle w:val="Hyperlink"/>
                <w:noProof/>
              </w:rPr>
              <w:t>Tabulka 3. Obecná otevřená povolení v oběhu</w:t>
            </w:r>
            <w:r>
              <w:rPr>
                <w:noProof/>
                <w:webHidden/>
              </w:rPr>
              <w:tab/>
            </w:r>
            <w:r>
              <w:rPr>
                <w:noProof/>
                <w:webHidden/>
              </w:rPr>
              <w:fldChar w:fldCharType="begin"/>
            </w:r>
            <w:r>
              <w:rPr>
                <w:noProof/>
                <w:webHidden/>
              </w:rPr>
              <w:instrText xml:space="preserve"> PAGEREF _Toc18568236 \h </w:instrText>
            </w:r>
            <w:r>
              <w:rPr>
                <w:noProof/>
                <w:webHidden/>
              </w:rPr>
            </w:r>
            <w:r>
              <w:rPr>
                <w:noProof/>
                <w:webHidden/>
              </w:rPr>
              <w:fldChar w:fldCharType="separate"/>
            </w:r>
            <w:r>
              <w:rPr>
                <w:noProof/>
                <w:webHidden/>
              </w:rPr>
              <w:t>15</w:t>
            </w:r>
            <w:r>
              <w:rPr>
                <w:noProof/>
                <w:webHidden/>
              </w:rPr>
              <w:fldChar w:fldCharType="end"/>
            </w:r>
          </w:hyperlink>
        </w:p>
        <w:p>
          <w:pPr>
            <w:pStyle w:val="TOC2"/>
            <w:tabs>
              <w:tab w:val="right" w:leader="dot" w:pos="9016"/>
            </w:tabs>
            <w:rPr>
              <w:rFonts w:eastAsiaTheme="minorEastAsia"/>
              <w:noProof/>
              <w:lang w:val="en-US"/>
            </w:rPr>
          </w:pPr>
          <w:hyperlink w:anchor="_Toc18568237" w:history="1">
            <w:r>
              <w:rPr>
                <w:rStyle w:val="Hyperlink"/>
                <w:noProof/>
              </w:rPr>
              <w:t>Tabulka 4. Zamítnuté žádosti o standardní povolení</w:t>
            </w:r>
            <w:r>
              <w:rPr>
                <w:noProof/>
                <w:webHidden/>
              </w:rPr>
              <w:tab/>
            </w:r>
            <w:r>
              <w:rPr>
                <w:noProof/>
                <w:webHidden/>
              </w:rPr>
              <w:fldChar w:fldCharType="begin"/>
            </w:r>
            <w:r>
              <w:rPr>
                <w:noProof/>
                <w:webHidden/>
              </w:rPr>
              <w:instrText xml:space="preserve"> PAGEREF _Toc18568237 \h </w:instrText>
            </w:r>
            <w:r>
              <w:rPr>
                <w:noProof/>
                <w:webHidden/>
              </w:rPr>
            </w:r>
            <w:r>
              <w:rPr>
                <w:noProof/>
                <w:webHidden/>
              </w:rPr>
              <w:fldChar w:fldCharType="separate"/>
            </w:r>
            <w:r>
              <w:rPr>
                <w:noProof/>
                <w:webHidden/>
              </w:rPr>
              <w:t>16</w:t>
            </w:r>
            <w:r>
              <w:rPr>
                <w:noProof/>
                <w:webHidden/>
              </w:rPr>
              <w:fldChar w:fldCharType="end"/>
            </w:r>
          </w:hyperlink>
        </w:p>
        <w:p>
          <w:pPr>
            <w:pStyle w:val="TOC2"/>
            <w:tabs>
              <w:tab w:val="right" w:leader="dot" w:pos="9016"/>
            </w:tabs>
            <w:rPr>
              <w:rFonts w:eastAsiaTheme="minorEastAsia"/>
              <w:noProof/>
              <w:lang w:val="en-US"/>
            </w:rPr>
          </w:pPr>
          <w:hyperlink w:anchor="_Toc18568238" w:history="1">
            <w:r>
              <w:rPr>
                <w:rStyle w:val="Hyperlink"/>
                <w:noProof/>
              </w:rPr>
              <w:t>Tabulka 5. Zjištěné zásilky v rozporu s pravidly</w:t>
            </w:r>
            <w:r>
              <w:rPr>
                <w:noProof/>
                <w:webHidden/>
              </w:rPr>
              <w:tab/>
            </w:r>
            <w:r>
              <w:rPr>
                <w:noProof/>
                <w:webHidden/>
              </w:rPr>
              <w:fldChar w:fldCharType="begin"/>
            </w:r>
            <w:r>
              <w:rPr>
                <w:noProof/>
                <w:webHidden/>
              </w:rPr>
              <w:instrText xml:space="preserve"> PAGEREF _Toc18568238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016"/>
            </w:tabs>
            <w:rPr>
              <w:rFonts w:eastAsiaTheme="minorEastAsia"/>
              <w:noProof/>
              <w:lang w:val="en-US"/>
            </w:rPr>
          </w:pPr>
          <w:hyperlink w:anchor="_Toc18568239" w:history="1">
            <w:r>
              <w:rPr>
                <w:rStyle w:val="Hyperlink"/>
                <w:noProof/>
              </w:rPr>
              <w:t>Tabulka 6. Standardní povolení vydaná členskými státy ve srovnání se zamítnutými standardními povoleními a zjištěnými zásilkami v rozporu s pravidly</w:t>
            </w:r>
            <w:r>
              <w:rPr>
                <w:noProof/>
                <w:webHidden/>
              </w:rPr>
              <w:tab/>
            </w:r>
            <w:r>
              <w:rPr>
                <w:noProof/>
                <w:webHidden/>
              </w:rPr>
              <w:fldChar w:fldCharType="begin"/>
            </w:r>
            <w:r>
              <w:rPr>
                <w:noProof/>
                <w:webHidden/>
              </w:rPr>
              <w:instrText xml:space="preserve"> PAGEREF _Toc18568239 \h </w:instrText>
            </w:r>
            <w:r>
              <w:rPr>
                <w:noProof/>
                <w:webHidden/>
              </w:rPr>
            </w:r>
            <w:r>
              <w:rPr>
                <w:noProof/>
                <w:webHidden/>
              </w:rPr>
              <w:fldChar w:fldCharType="separate"/>
            </w:r>
            <w:r>
              <w:rPr>
                <w:noProof/>
                <w:webHidden/>
              </w:rPr>
              <w:t>18</w:t>
            </w:r>
            <w:r>
              <w:rPr>
                <w:noProof/>
                <w:webHidden/>
              </w:rPr>
              <w:fldChar w:fldCharType="end"/>
            </w:r>
          </w:hyperlink>
        </w:p>
        <w:p>
          <w:pPr>
            <w:rPr>
              <w:noProof/>
            </w:rPr>
          </w:pPr>
          <w:r>
            <w:rPr>
              <w:rFonts w:ascii="Times New Roman" w:hAnsi="Times New Roman" w:cs="Times New Roman"/>
              <w:b/>
              <w:bCs/>
              <w:noProof/>
            </w:rPr>
            <w:fldChar w:fldCharType="end"/>
          </w:r>
        </w:p>
      </w:sdtContent>
    </w:sdt>
    <w:p>
      <w:pPr>
        <w:rPr>
          <w:noProof/>
        </w:rPr>
      </w:pPr>
    </w:p>
    <w:p>
      <w:pPr>
        <w:rPr>
          <w:noProof/>
        </w:rPr>
      </w:pPr>
      <w:r>
        <w:rPr>
          <w:noProof/>
        </w:rPr>
        <w:br w:type="page"/>
      </w:r>
    </w:p>
    <w:p>
      <w:pPr>
        <w:rPr>
          <w:noProof/>
        </w:rPr>
      </w:pPr>
    </w:p>
    <w:p>
      <w:pPr>
        <w:pStyle w:val="Heading1"/>
        <w:rPr>
          <w:rFonts w:ascii="Times New Roman" w:hAnsi="Times New Roman"/>
          <w:noProof/>
        </w:rPr>
      </w:pPr>
      <w:bookmarkStart w:id="2" w:name="_Toc18568213"/>
      <w:r>
        <w:rPr>
          <w:rFonts w:ascii="Times New Roman" w:hAnsi="Times New Roman"/>
          <w:noProof/>
        </w:rPr>
        <w:t>Shrnutí</w:t>
      </w:r>
      <w:bookmarkEnd w:id="2"/>
    </w:p>
    <w:p>
      <w:pPr>
        <w:jc w:val="both"/>
        <w:rPr>
          <w:rFonts w:ascii="Times New Roman" w:hAnsi="Times New Roman" w:cs="Times New Roman"/>
          <w:noProof/>
          <w:sz w:val="24"/>
          <w:szCs w:val="24"/>
        </w:rPr>
      </w:pPr>
      <w:r>
        <w:rPr>
          <w:rFonts w:ascii="Times New Roman" w:hAnsi="Times New Roman"/>
          <w:noProof/>
        </w:rPr>
        <w:t>Tato zpráva hodnotí provádění systému vývozních povolení pro kulturní statky zřízeného nařízením (ES) č. 116/2009 o vývozu kulturních statků a prováděcím nařízením Komise (EU) č. 1081/2012.</w:t>
      </w:r>
      <w:r>
        <w:rPr>
          <w:rFonts w:ascii="Times New Roman" w:hAnsi="Times New Roman" w:cs="Times New Roman"/>
          <w:noProof/>
          <w:vertAlign w:val="superscript"/>
        </w:rPr>
        <w:footnoteReference w:id="1"/>
      </w:r>
      <w:r>
        <w:rPr>
          <w:rFonts w:ascii="Times New Roman" w:hAnsi="Times New Roman"/>
          <w:noProof/>
        </w:rPr>
        <w:t xml:space="preserve"> </w:t>
      </w:r>
    </w:p>
    <w:p>
      <w:pPr>
        <w:jc w:val="both"/>
        <w:rPr>
          <w:rFonts w:ascii="Times New Roman" w:hAnsi="Times New Roman" w:cs="Times New Roman"/>
          <w:noProof/>
          <w:sz w:val="24"/>
          <w:szCs w:val="24"/>
        </w:rPr>
      </w:pPr>
      <w:r>
        <w:rPr>
          <w:rFonts w:ascii="Times New Roman" w:hAnsi="Times New Roman"/>
          <w:noProof/>
        </w:rPr>
        <w:t xml:space="preserve">Zpráva vychází z údajů, které poskytly členské státy ve svých odpovědích na dotazník, jenž se týkal všech aspektů provádění systému vývozních povolení. Zahrnuje období od roku 2014 do roku 2017. Číselné údaje uvedené v příloze se týkají tří typů vývozních povolení: standardních povolení, zvláštních otevřených povolení (opakovaný dočasný vývoz soukromými osobami) a obecného otevřeného povolení (opakovaný dočasný vývoz muzei nebo obdobnými institucemi).  </w:t>
      </w:r>
    </w:p>
    <w:p>
      <w:pPr>
        <w:jc w:val="both"/>
        <w:rPr>
          <w:rFonts w:ascii="Times New Roman" w:hAnsi="Times New Roman" w:cs="Times New Roman"/>
          <w:noProof/>
          <w:sz w:val="24"/>
          <w:szCs w:val="24"/>
        </w:rPr>
      </w:pPr>
      <w:r>
        <w:rPr>
          <w:rFonts w:ascii="Times New Roman" w:hAnsi="Times New Roman"/>
          <w:noProof/>
        </w:rPr>
        <w:t>Zpráva rovněž přináší informace o stávajících iniciativách a výzvách pro budoucnost, jako je spolupráce mezi orgány členských států, které jsou zapojeny do provádění nařízení, podpora společného porozumění ustanovením nařízení ze strany členských států, zjišťování osvědčených postupů pro příslušné orgány a celní úřady při zkoumání původu kulturních statků, a zkoumá technické, finanční a právní možnosti týkající se použití elektronických prostředků k vydávání a kontrole vývozních povolení, jako jsou vývoj centralizovaného elektronického systému nebo spojení s takovým systémem, který by byl propojen s vnitrostátními systémy celního řízení.</w:t>
      </w:r>
    </w:p>
    <w:p>
      <w:pPr>
        <w:rPr>
          <w:rFonts w:ascii="Times New Roman" w:hAnsi="Times New Roman" w:cs="Times New Roman"/>
          <w:noProof/>
        </w:rPr>
      </w:pPr>
      <w:r>
        <w:rPr>
          <w:noProof/>
        </w:rPr>
        <w:br w:type="page"/>
      </w:r>
    </w:p>
    <w:p>
      <w:pPr>
        <w:pStyle w:val="Heading1"/>
        <w:rPr>
          <w:rFonts w:ascii="Times New Roman" w:hAnsi="Times New Roman"/>
          <w:noProof/>
        </w:rPr>
      </w:pPr>
      <w:bookmarkStart w:id="3" w:name="_Toc18568214"/>
      <w:r>
        <w:rPr>
          <w:rFonts w:ascii="Times New Roman" w:hAnsi="Times New Roman"/>
          <w:noProof/>
        </w:rPr>
        <w:lastRenderedPageBreak/>
        <w:t>Úvod</w:t>
      </w:r>
      <w:bookmarkEnd w:id="3"/>
    </w:p>
    <w:p>
      <w:pPr>
        <w:jc w:val="both"/>
        <w:rPr>
          <w:rFonts w:ascii="Times New Roman" w:hAnsi="Times New Roman" w:cs="Times New Roman"/>
          <w:noProof/>
          <w:sz w:val="24"/>
          <w:szCs w:val="24"/>
        </w:rPr>
      </w:pPr>
      <w:r>
        <w:rPr>
          <w:rFonts w:ascii="Times New Roman" w:hAnsi="Times New Roman"/>
          <w:noProof/>
        </w:rPr>
        <w:t>Nařízení Rady (ES) č. 116/2009 o vývozu kulturních statků</w:t>
      </w:r>
      <w:r>
        <w:rPr>
          <w:rFonts w:ascii="Times New Roman" w:hAnsi="Times New Roman" w:cs="Times New Roman"/>
          <w:noProof/>
          <w:vertAlign w:val="superscript"/>
        </w:rPr>
        <w:footnoteReference w:id="2"/>
      </w:r>
      <w:r>
        <w:rPr>
          <w:rFonts w:ascii="Times New Roman" w:hAnsi="Times New Roman"/>
          <w:noProof/>
        </w:rPr>
        <w:t xml:space="preserve"> (dále jen „nařízení“), podle nějž podléhá vývoz jistých kulturních statků mimo celní území Evropské unie (dále jen „EU“) povinnosti předložit vývozní povolení, a které zajišťuje, že vývoz těchto statků podléhá jednotné kontrole na vnějších hranicích Unie. Příloha I stanoví věcnou působnost tohoto nařízení pomocí seznamu kategorií kulturních statků, na něž se vztahuje, jakož i stanovením minimálního stáří a/nebo požadavků na hodnotu u většiny z uvedených kategorií.</w:t>
      </w:r>
    </w:p>
    <w:p>
      <w:pPr>
        <w:jc w:val="both"/>
        <w:rPr>
          <w:rFonts w:ascii="Times New Roman" w:hAnsi="Times New Roman" w:cs="Times New Roman"/>
          <w:noProof/>
          <w:sz w:val="24"/>
          <w:szCs w:val="24"/>
        </w:rPr>
      </w:pPr>
      <w:r>
        <w:rPr>
          <w:rFonts w:ascii="Times New Roman" w:hAnsi="Times New Roman"/>
          <w:noProof/>
        </w:rPr>
        <w:t xml:space="preserve">Vývozní povolení vydává příslušný orgán posledního členského státu, na jehož území se kulturní statek oprávněně a s konečnou platností nacházel. Celní kontroly poté zajišťují, aby kulturní statky mohly opustit celní území EU jen tehdy, jsou-li doprovázeny platným vývozním povolením. </w:t>
      </w:r>
    </w:p>
    <w:p>
      <w:pPr>
        <w:jc w:val="both"/>
        <w:rPr>
          <w:rFonts w:ascii="Times New Roman" w:hAnsi="Times New Roman" w:cs="Times New Roman"/>
          <w:noProof/>
          <w:sz w:val="24"/>
          <w:szCs w:val="24"/>
        </w:rPr>
      </w:pPr>
      <w:r>
        <w:rPr>
          <w:rFonts w:ascii="Times New Roman" w:hAnsi="Times New Roman"/>
          <w:noProof/>
        </w:rPr>
        <w:t>Aby byla zajištěna jednotnost vývozního povolení stanoveného tímto nařízením, bylo nutné vymezit podmínky pro sestavování, vydávání a používání formuláře povolení. Prováděcí nařízení (EU) č. 1081/2012</w:t>
      </w:r>
      <w:r>
        <w:rPr>
          <w:rFonts w:ascii="Times New Roman" w:hAnsi="Times New Roman" w:cs="Times New Roman"/>
          <w:noProof/>
          <w:vertAlign w:val="superscript"/>
        </w:rPr>
        <w:footnoteReference w:id="3"/>
      </w:r>
      <w:r>
        <w:rPr>
          <w:rFonts w:ascii="Times New Roman" w:hAnsi="Times New Roman"/>
          <w:noProof/>
        </w:rPr>
        <w:t xml:space="preserve"> stanoví tři typy vývozních povolení (standardní povolení, zvláštní otevřené povolení a obecné otevřené povolení) a pravidla jejich používání. Vnitrostátní právní předpisy některých členských států mohou ukládat další omezení, včetně požadavku obdržet povolení, pro pohyb statků označených jako národní kulturní poklad. </w:t>
      </w:r>
    </w:p>
    <w:p>
      <w:pPr>
        <w:jc w:val="both"/>
        <w:rPr>
          <w:rFonts w:ascii="Times New Roman" w:hAnsi="Times New Roman" w:cs="Times New Roman"/>
          <w:noProof/>
          <w:sz w:val="24"/>
          <w:szCs w:val="24"/>
        </w:rPr>
      </w:pPr>
      <w:r>
        <w:rPr>
          <w:rFonts w:ascii="Times New Roman" w:hAnsi="Times New Roman"/>
          <w:noProof/>
        </w:rPr>
        <w:t>Aktualizovaný seznam orgánů příslušných k vydávání vývozních povolení byl zveřejněn v Úředním věstníku společně se seznamem celních úřadů příslušných k vyřizování vývozních formalit</w:t>
      </w:r>
      <w:r>
        <w:rPr>
          <w:rFonts w:ascii="Times New Roman" w:hAnsi="Times New Roman" w:cs="Times New Roman"/>
          <w:noProof/>
          <w:vertAlign w:val="superscript"/>
        </w:rPr>
        <w:footnoteReference w:id="4"/>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Cílem nařízení je zajištění souladu mezi základní zásadou volného pohybu zboží a ochranou národních kulturních pokladů v historickém rámci vytváření vnitřního trhu, který zrušil veškeré vnitřní hranice mezi členskými státy.</w:t>
      </w:r>
    </w:p>
    <w:p>
      <w:pPr>
        <w:jc w:val="both"/>
        <w:rPr>
          <w:rFonts w:ascii="Times New Roman" w:hAnsi="Times New Roman" w:cs="Times New Roman"/>
          <w:noProof/>
          <w:sz w:val="24"/>
          <w:szCs w:val="24"/>
        </w:rPr>
      </w:pPr>
      <w:r>
        <w:rPr>
          <w:rFonts w:ascii="Times New Roman" w:hAnsi="Times New Roman"/>
          <w:noProof/>
        </w:rPr>
        <w:t xml:space="preserve">V souladu s článkem 10 nařízení je Komise povinna pravidelně předkládat Evropskému parlamentu, Radě a Evropskému hospodářskému a sociálnímu výboru zprávu o provádění tohoto nařízení. </w:t>
      </w:r>
    </w:p>
    <w:p>
      <w:pPr>
        <w:jc w:val="both"/>
        <w:rPr>
          <w:rFonts w:ascii="Times New Roman" w:hAnsi="Times New Roman" w:cs="Times New Roman"/>
          <w:noProof/>
          <w:sz w:val="24"/>
          <w:szCs w:val="24"/>
        </w:rPr>
      </w:pPr>
      <w:r>
        <w:rPr>
          <w:rFonts w:ascii="Times New Roman" w:hAnsi="Times New Roman"/>
          <w:noProof/>
        </w:rPr>
        <w:t xml:space="preserve">Předkládaná zpráva se opírá o informace, včetně statistických údajů o využívání povolení, které poskytly členské státy ve svých odpovědích na dotazník, jenž se týkal všech aspektů provádění systému vývozních povolení, a o diskuse skupiny odborníků na celní problematiku související s kulturními statky.  </w:t>
      </w:r>
    </w:p>
    <w:p>
      <w:pPr>
        <w:pStyle w:val="Heading1"/>
        <w:rPr>
          <w:rFonts w:ascii="Times New Roman" w:hAnsi="Times New Roman"/>
          <w:noProof/>
        </w:rPr>
      </w:pPr>
      <w:bookmarkStart w:id="4" w:name="_Toc18568215"/>
      <w:r>
        <w:rPr>
          <w:rFonts w:ascii="Times New Roman" w:hAnsi="Times New Roman"/>
          <w:noProof/>
        </w:rPr>
        <w:t>Kontext nařízení</w:t>
      </w:r>
      <w:bookmarkEnd w:id="4"/>
    </w:p>
    <w:p>
      <w:pPr>
        <w:pStyle w:val="Heading2"/>
        <w:rPr>
          <w:noProof/>
        </w:rPr>
      </w:pPr>
      <w:bookmarkStart w:id="5" w:name="_Toc18568216"/>
      <w:r>
        <w:rPr>
          <w:noProof/>
        </w:rPr>
        <w:t>3.1 Evropský kontext</w:t>
      </w:r>
      <w:bookmarkEnd w:id="5"/>
    </w:p>
    <w:p>
      <w:pPr>
        <w:jc w:val="both"/>
        <w:rPr>
          <w:rFonts w:ascii="Times New Roman" w:hAnsi="Times New Roman" w:cs="Times New Roman"/>
          <w:noProof/>
          <w:sz w:val="24"/>
          <w:szCs w:val="24"/>
        </w:rPr>
      </w:pPr>
      <w:r>
        <w:rPr>
          <w:rFonts w:ascii="Times New Roman" w:hAnsi="Times New Roman"/>
          <w:noProof/>
        </w:rPr>
        <w:t>Systém, který nařízení zavedlo na úrovni EU, doplňuje ostatní nástroje a iniciativy zaměřené na ochranu kulturních statků. Nejdůležitějším z nich je směrnice 2014/60/EU o navracení kulturních statků neoprávněně vyvezených z území členského státu</w:t>
      </w:r>
      <w:r>
        <w:rPr>
          <w:rFonts w:ascii="Times New Roman" w:hAnsi="Times New Roman" w:cs="Times New Roman"/>
          <w:noProof/>
          <w:vertAlign w:val="superscript"/>
        </w:rPr>
        <w:footnoteReference w:id="5"/>
      </w:r>
      <w:r>
        <w:rPr>
          <w:rFonts w:ascii="Times New Roman" w:hAnsi="Times New Roman"/>
          <w:noProof/>
        </w:rPr>
        <w:t>. Směrnice umožňuje navrácení kulturních statků, které členské stát vymezil jako národní kulturní poklad umělecké, historické nebo archeologické hodnoty. Za tímto účelem musí ústřední orgány členských států pověřené prováděním směrnice vzájemně spolupracovat a vyměňovat si informace o kulturních statcích, které byly neoprávněně vyvezeny, a to s využitím systému pro výměnu informací o vnitřním trhu (IMI).</w:t>
      </w:r>
    </w:p>
    <w:p>
      <w:pPr>
        <w:jc w:val="both"/>
        <w:rPr>
          <w:rFonts w:ascii="Times New Roman" w:hAnsi="Times New Roman" w:cs="Times New Roman"/>
          <w:noProof/>
          <w:sz w:val="24"/>
          <w:szCs w:val="24"/>
        </w:rPr>
      </w:pPr>
      <w:r>
        <w:rPr>
          <w:rFonts w:ascii="Times New Roman" w:hAnsi="Times New Roman"/>
          <w:noProof/>
        </w:rPr>
        <w:t>Dalším důležitým doplněním nařízení je nedávno přijaté nařízení Evropského parlamentu a Rady (EU) č. 2019/880 o vstupu a dovozu kulturních statků</w:t>
      </w:r>
      <w:r>
        <w:rPr>
          <w:rFonts w:ascii="Times New Roman" w:hAnsi="Times New Roman" w:cs="Times New Roman"/>
          <w:noProof/>
          <w:vertAlign w:val="superscript"/>
        </w:rPr>
        <w:footnoteReference w:id="6"/>
      </w:r>
      <w:r>
        <w:rPr>
          <w:rFonts w:ascii="Times New Roman" w:hAnsi="Times New Roman"/>
          <w:noProof/>
        </w:rPr>
        <w:t>. Tento nový nástroj stanoví pravidla a podmínky pro dočasný nebo trvalý dovoz do kulturních statků, které byly vytvořeny nebo objeveny v třetích zemích, do Unie, jakož i pro zásilky těchto statků v přepravě. Typologie nařízení (EU) č. 2019/880 byla vzhledem ke svému rozměru zahraničního obchodu ovlivněna především Úmluvou UNESCO z roku 1970 o opatřeních zákazu a zamezení nedovoleného dovozu, vývozu a převodu vlastnictví kulturních statků</w:t>
      </w:r>
      <w:r>
        <w:rPr>
          <w:rFonts w:ascii="Times New Roman" w:hAnsi="Times New Roman" w:cs="Times New Roman"/>
          <w:noProof/>
          <w:vertAlign w:val="superscript"/>
        </w:rPr>
        <w:footnoteReference w:id="7"/>
      </w:r>
      <w:r>
        <w:rPr>
          <w:rFonts w:ascii="Times New Roman" w:hAnsi="Times New Roman"/>
          <w:noProof/>
        </w:rPr>
        <w:t>.</w:t>
      </w:r>
    </w:p>
    <w:p>
      <w:pPr>
        <w:jc w:val="both"/>
        <w:rPr>
          <w:rFonts w:ascii="Times New Roman" w:hAnsi="Times New Roman" w:cs="Times New Roman"/>
          <w:noProof/>
          <w:sz w:val="24"/>
          <w:szCs w:val="24"/>
        </w:rPr>
      </w:pPr>
      <w:r>
        <w:rPr>
          <w:rFonts w:ascii="Times New Roman" w:hAnsi="Times New Roman"/>
          <w:noProof/>
        </w:rPr>
        <w:t xml:space="preserve">Dvě související opatření Unie </w:t>
      </w:r>
      <w:r>
        <w:rPr>
          <w:rFonts w:ascii="Times New Roman" w:hAnsi="Times New Roman"/>
          <w:i/>
          <w:iCs/>
          <w:noProof/>
        </w:rPr>
        <w:t>ad hoc</w:t>
      </w:r>
      <w:r>
        <w:rPr>
          <w:rFonts w:ascii="Times New Roman" w:hAnsi="Times New Roman"/>
          <w:noProof/>
        </w:rPr>
        <w:t>, nařízení Rady (ES) č. 1210/2003</w:t>
      </w:r>
      <w:r>
        <w:rPr>
          <w:rFonts w:ascii="Times New Roman" w:hAnsi="Times New Roman" w:cs="Times New Roman"/>
          <w:noProof/>
          <w:vertAlign w:val="superscript"/>
        </w:rPr>
        <w:footnoteReference w:id="8"/>
      </w:r>
      <w:r>
        <w:rPr>
          <w:rFonts w:ascii="Times New Roman" w:hAnsi="Times New Roman"/>
          <w:noProof/>
        </w:rPr>
        <w:t xml:space="preserve"> a nařízení Rady (EU) č. 36/2012</w:t>
      </w:r>
      <w:r>
        <w:rPr>
          <w:rFonts w:ascii="Times New Roman" w:hAnsi="Times New Roman" w:cs="Times New Roman"/>
          <w:noProof/>
          <w:vertAlign w:val="superscript"/>
        </w:rPr>
        <w:footnoteReference w:id="9"/>
      </w:r>
      <w:r>
        <w:rPr>
          <w:rFonts w:ascii="Times New Roman" w:hAnsi="Times New Roman"/>
          <w:noProof/>
        </w:rPr>
        <w:t xml:space="preserve">, zakazují obchod s kulturními statky s Irákem a Sýrií. </w:t>
      </w:r>
    </w:p>
    <w:p>
      <w:pPr>
        <w:pStyle w:val="Heading2"/>
        <w:rPr>
          <w:noProof/>
        </w:rPr>
      </w:pPr>
      <w:bookmarkStart w:id="6" w:name="_Toc18568217"/>
      <w:r>
        <w:rPr>
          <w:noProof/>
        </w:rPr>
        <w:t>3.2 Mezinárodní kontext</w:t>
      </w:r>
      <w:bookmarkEnd w:id="6"/>
    </w:p>
    <w:p>
      <w:pPr>
        <w:jc w:val="both"/>
        <w:rPr>
          <w:rFonts w:ascii="Times New Roman" w:hAnsi="Times New Roman" w:cs="Times New Roman"/>
          <w:noProof/>
          <w:sz w:val="24"/>
          <w:szCs w:val="24"/>
        </w:rPr>
      </w:pPr>
      <w:r>
        <w:rPr>
          <w:rFonts w:ascii="Times New Roman" w:hAnsi="Times New Roman"/>
          <w:noProof/>
        </w:rPr>
        <w:t>Na mezinárodní úrovni je, co se vývozu kulturních statků týče, nejdůležitějším nástrojem úmluva UNESCO z roku 1970. Úmluva dosud čítá 140 smluvních stran a byla ratifikována 26 členskými státy.</w:t>
      </w:r>
    </w:p>
    <w:p>
      <w:pPr>
        <w:pStyle w:val="Heading1"/>
        <w:rPr>
          <w:rFonts w:ascii="Times New Roman" w:hAnsi="Times New Roman"/>
          <w:noProof/>
        </w:rPr>
      </w:pPr>
      <w:bookmarkStart w:id="7" w:name="_Toc18568218"/>
      <w:r>
        <w:rPr>
          <w:rFonts w:ascii="Times New Roman" w:hAnsi="Times New Roman"/>
          <w:noProof/>
        </w:rPr>
        <w:t>Provádění nařízení</w:t>
      </w:r>
      <w:bookmarkEnd w:id="7"/>
    </w:p>
    <w:p>
      <w:pPr>
        <w:pStyle w:val="Heading2"/>
        <w:rPr>
          <w:noProof/>
        </w:rPr>
      </w:pPr>
      <w:bookmarkStart w:id="8" w:name="_Toc18568219"/>
      <w:r>
        <w:rPr>
          <w:noProof/>
        </w:rPr>
        <w:t>4.1 Cíle a účinnost</w:t>
      </w:r>
      <w:bookmarkEnd w:id="8"/>
    </w:p>
    <w:p>
      <w:pPr>
        <w:jc w:val="both"/>
        <w:rPr>
          <w:rFonts w:ascii="Times New Roman" w:hAnsi="Times New Roman" w:cs="Times New Roman"/>
          <w:noProof/>
          <w:sz w:val="24"/>
        </w:rPr>
      </w:pPr>
      <w:r>
        <w:rPr>
          <w:rFonts w:ascii="Times New Roman" w:hAnsi="Times New Roman"/>
          <w:noProof/>
        </w:rPr>
        <w:t xml:space="preserve">Nařízení stanoví jednotná pravidla pro kontrolu kulturních statků před jejich vývozem mimo celní území Unie s cílem zachovat volný pohyb v rámci vnitřního trhu na straně jedné a chránit národní kulturní poklady členských států na straně druhé. Členské státy mají celkově za to, že nařízení těchto cílů dosáhlo. Nicméně byly rovněž určeny oblasti, které je třeba zlepšit. </w:t>
      </w:r>
    </w:p>
    <w:p>
      <w:pPr>
        <w:jc w:val="both"/>
        <w:rPr>
          <w:rFonts w:ascii="Times New Roman" w:hAnsi="Times New Roman" w:cs="Times New Roman"/>
          <w:noProof/>
          <w:sz w:val="24"/>
        </w:rPr>
      </w:pPr>
      <w:r>
        <w:rPr>
          <w:rFonts w:ascii="Times New Roman" w:hAnsi="Times New Roman"/>
          <w:noProof/>
        </w:rPr>
        <w:t xml:space="preserve">Nařízení prokázalo svou účinnost zejména v boji proti nedovolenému obchodování s kulturními statky. Většina členských států považuje svůj systém povolení za nástroj, který zajišťuje zákonnost obchodu s třetími zeměmi, zejména pokud jde o kulturní statky, které vyžadují vývozní povolení bez ohledu na svou hodnotu (např. archeologické předměty, součásti památek atd.), zatímco v ostatních kategoriích kulturních statků nastaly případy, kdy byly statky záměrně podhodnoceny, aby je bylo možné vyvézt bez povolení. </w:t>
      </w:r>
    </w:p>
    <w:p>
      <w:pPr>
        <w:jc w:val="both"/>
        <w:rPr>
          <w:rFonts w:ascii="Times New Roman" w:hAnsi="Times New Roman" w:cs="Times New Roman"/>
          <w:noProof/>
          <w:sz w:val="24"/>
        </w:rPr>
      </w:pPr>
      <w:r>
        <w:rPr>
          <w:rFonts w:ascii="Times New Roman" w:hAnsi="Times New Roman"/>
          <w:noProof/>
        </w:rPr>
        <w:t xml:space="preserve">Členské státy zdůrazňují, že příslušným orgánům odpovědným za vydávání povolení by pomohlo více informací o právních předpisech ostatních států, které se týkají národního kulturního dědictví, aby mohly bojovat proti nedovolenému obchodování efektivněji. Co se celních kontrol týče, stále se mohou zlepšovat, pokud se do nich zapojí více lidských a materiálních zdrojů na vnějších hranicích a budou se zjišťovat a přijímat osvědčené postupy. </w:t>
      </w:r>
    </w:p>
    <w:p>
      <w:pPr>
        <w:jc w:val="both"/>
        <w:rPr>
          <w:rFonts w:ascii="Times New Roman" w:hAnsi="Times New Roman" w:cs="Times New Roman"/>
          <w:noProof/>
          <w:sz w:val="24"/>
        </w:rPr>
      </w:pPr>
      <w:r>
        <w:rPr>
          <w:rFonts w:ascii="Times New Roman" w:hAnsi="Times New Roman"/>
          <w:noProof/>
        </w:rPr>
        <w:t>V roce 2017 byla vytvořena projektová skupina, která má za cíl prověřit pracovní postupy členských států používané za účelem zjišťování původu kulturních statků, a to jak postupy příslušných orgánů (při obdržení žádosti o povolení), tak celních úřadů (při kontrole zásilek nebo vývozních povolení), ale také za účelem zjistit osvědčené postupy a vytvořit praktická doporučení pro vydávání povolení a celní kontroly.</w:t>
      </w:r>
    </w:p>
    <w:p>
      <w:pPr>
        <w:jc w:val="both"/>
        <w:rPr>
          <w:rFonts w:ascii="Times New Roman" w:hAnsi="Times New Roman" w:cs="Times New Roman"/>
          <w:noProof/>
          <w:sz w:val="24"/>
        </w:rPr>
      </w:pPr>
      <w:r>
        <w:rPr>
          <w:rFonts w:ascii="Times New Roman" w:hAnsi="Times New Roman"/>
          <w:noProof/>
        </w:rPr>
        <w:t>K dalším prostředkům, jež by dle členských států zlepšily celkovou účinnost nařízení, patří pokyny ohledně porozumění pojmům „oprávněně a s konečnou platností“ určujícím, který členský stát je příslušný vydávat vývozní povolení.</w:t>
      </w:r>
      <w:r>
        <w:rPr>
          <w:rFonts w:ascii="Times New Roman" w:hAnsi="Times New Roman" w:cs="Times New Roman"/>
          <w:noProof/>
          <w:vertAlign w:val="superscript"/>
        </w:rPr>
        <w:footnoteReference w:id="10"/>
      </w:r>
      <w:r>
        <w:rPr>
          <w:rFonts w:ascii="Times New Roman" w:hAnsi="Times New Roman"/>
          <w:noProof/>
        </w:rPr>
        <w:t xml:space="preserve"> To by zabránilo bezohledným subjektům v dočasném přesunu kulturních statků do jiného členského státu pouze za účelem žádosti o povolení v jiném členském státě, než je stát, který daný předmět označil a chrání jakožto svůj národní kulturní statek.</w:t>
      </w:r>
    </w:p>
    <w:p>
      <w:pPr>
        <w:pStyle w:val="Heading2"/>
        <w:rPr>
          <w:noProof/>
        </w:rPr>
      </w:pPr>
      <w:bookmarkStart w:id="9" w:name="_Toc18568220"/>
      <w:r>
        <w:rPr>
          <w:noProof/>
        </w:rPr>
        <w:t>4.2 Definice kulturních statků</w:t>
      </w:r>
      <w:bookmarkEnd w:id="9"/>
    </w:p>
    <w:p>
      <w:pPr>
        <w:jc w:val="both"/>
        <w:rPr>
          <w:rFonts w:ascii="Times New Roman" w:hAnsi="Times New Roman" w:cs="Times New Roman"/>
          <w:noProof/>
          <w:sz w:val="24"/>
        </w:rPr>
      </w:pPr>
      <w:r>
        <w:rPr>
          <w:rFonts w:ascii="Times New Roman" w:hAnsi="Times New Roman"/>
          <w:noProof/>
        </w:rPr>
        <w:t>Nařízení nestanoví, co je kulturní statek. Namísto toho nabízí v příloze I seznam 15 kategorií statků, které spadají do jeho působnosti. Většinu kategorií v seznamu doplňuje minimální stáří a mezní hodnota, do které kulturní statky nepotřebují vývozní povolení. Všeobecně se jedná o výsledek kompromisu založený na kategoriích uvedených v článku 1 úmluvy UNESCO z roku 1970 s doplněním prahových hodnot stáří a hodnoty. Obecně se má za to, že příloha I poskytuje vhodný rámec.</w:t>
      </w:r>
    </w:p>
    <w:p>
      <w:pPr>
        <w:jc w:val="both"/>
        <w:rPr>
          <w:rFonts w:ascii="Times New Roman" w:hAnsi="Times New Roman" w:cs="Times New Roman"/>
          <w:noProof/>
          <w:sz w:val="24"/>
        </w:rPr>
      </w:pPr>
      <w:r>
        <w:rPr>
          <w:rFonts w:ascii="Times New Roman" w:hAnsi="Times New Roman"/>
          <w:noProof/>
        </w:rPr>
        <w:t>S ohledem na porozumění přesné oblasti působnosti kategorií uvedených v příloze I byly zjištěny konkrétní potíže související s tím, že členské státy nejednotně interpretují určité druhy kulturních statků, například mincí, se zahrnováním sbírek statků oproti jednotlivým exemplářům v kategorii 13.b, zařazením liturgických ikon jakožto maleb nebo součástí památek</w:t>
      </w:r>
      <w:r>
        <w:rPr>
          <w:rFonts w:ascii="Times New Roman" w:hAnsi="Times New Roman" w:cs="Times New Roman"/>
          <w:noProof/>
          <w:vertAlign w:val="superscript"/>
        </w:rPr>
        <w:footnoteReference w:id="11"/>
      </w:r>
      <w:r>
        <w:rPr>
          <w:rFonts w:ascii="Times New Roman" w:hAnsi="Times New Roman"/>
          <w:noProof/>
        </w:rPr>
        <w:t xml:space="preserve">, jakož i s odlišnými názory napříč členskými státy, zda je seznam jistých druhů statků v kategorii 15.a úplný, nebo orientační. </w:t>
      </w:r>
    </w:p>
    <w:p>
      <w:pPr>
        <w:jc w:val="both"/>
        <w:rPr>
          <w:rFonts w:ascii="Times New Roman" w:hAnsi="Times New Roman" w:cs="Times New Roman"/>
          <w:noProof/>
          <w:sz w:val="24"/>
        </w:rPr>
      </w:pPr>
      <w:r>
        <w:rPr>
          <w:rFonts w:ascii="Times New Roman" w:hAnsi="Times New Roman"/>
          <w:noProof/>
        </w:rPr>
        <w:t>Podskupina, kterou vytvořila Komise v souvislosti s článkem 8 nařízení, byla v roce 2013 pověřena shromážděním převládajících názorů na to, jak vykládat různé kategorie kulturních statků, a zjistila hlavní rozdíly mezi jednotlivými členskými státy ohledně výše zmíněných otázek. Je také třeba poznamenat, že zejména v souvislosti se zařazením liturgických ikon přineslo objasnění nové nařízení (EU) č. 2019/880 o vstupu a dovozu kulturních statků a očekává se, že tímto bude otázka vyřešena (liturgické ikony a sochy jsou součást církevních památek).</w:t>
      </w:r>
    </w:p>
    <w:p>
      <w:pPr>
        <w:pStyle w:val="Heading2"/>
        <w:rPr>
          <w:noProof/>
        </w:rPr>
      </w:pPr>
      <w:bookmarkStart w:id="10" w:name="_Toc18568221"/>
      <w:r>
        <w:rPr>
          <w:noProof/>
        </w:rPr>
        <w:t>4.3 Prahové hodnoty pro stáří kulturních statků a finanční limity</w:t>
      </w:r>
      <w:bookmarkEnd w:id="10"/>
    </w:p>
    <w:p>
      <w:pPr>
        <w:jc w:val="both"/>
        <w:rPr>
          <w:rFonts w:ascii="Times New Roman" w:hAnsi="Times New Roman" w:cs="Times New Roman"/>
          <w:noProof/>
          <w:sz w:val="24"/>
        </w:rPr>
      </w:pPr>
      <w:r>
        <w:rPr>
          <w:rFonts w:ascii="Times New Roman" w:hAnsi="Times New Roman"/>
          <w:noProof/>
        </w:rPr>
        <w:t xml:space="preserve">Prahové hodnoty pro stáří kulturních statků, které nařízení u některých kategorií stanoví, jsou zpravidla považovány za dostatečné. Možná budoucí zlepšení těchto ustanovení se mohou týkat vyjasnění prahové hodnoty pro stáří dopravních prostředků, zvýšení některých minimálních prahových hodnot z padesáti na sedmdesát let a stanovení minimální hranice stáří pro kategorii sbírek, aby se zabránilo nadbytečným kontrolám obrovského množství soudobých statků ze strany celních úřadů. </w:t>
      </w:r>
    </w:p>
    <w:p>
      <w:pPr>
        <w:jc w:val="both"/>
        <w:rPr>
          <w:rFonts w:ascii="Times New Roman" w:hAnsi="Times New Roman" w:cs="Times New Roman"/>
          <w:noProof/>
          <w:sz w:val="24"/>
        </w:rPr>
      </w:pPr>
      <w:r>
        <w:rPr>
          <w:rFonts w:ascii="Times New Roman" w:hAnsi="Times New Roman"/>
          <w:noProof/>
        </w:rPr>
        <w:t xml:space="preserve">Většina členských států považuje finanční limity za spíše vysoké, naopak v menšině jsou tři členské státy, podle nichž by měly být ještě navýšeny. </w:t>
      </w:r>
    </w:p>
    <w:p>
      <w:pPr>
        <w:jc w:val="both"/>
        <w:rPr>
          <w:rFonts w:ascii="Times New Roman" w:hAnsi="Times New Roman" w:cs="Times New Roman"/>
          <w:noProof/>
          <w:sz w:val="24"/>
        </w:rPr>
      </w:pPr>
      <w:r>
        <w:rPr>
          <w:rFonts w:ascii="Times New Roman" w:hAnsi="Times New Roman"/>
          <w:noProof/>
        </w:rPr>
        <w:t xml:space="preserve">Hodnota uvedená v žádosti o vývozní povolení se nejčastěji shoduje s převodní hodnotou, jež se objevuje na faktuře (v případě vývozu soukromou osobou), zatímco u dočasných vývozů muzei k vystavení v zahraničí je požadováno udání hodnoty uvedené v pojistné smlouvě. </w:t>
      </w:r>
    </w:p>
    <w:p>
      <w:pPr>
        <w:jc w:val="both"/>
        <w:rPr>
          <w:rFonts w:ascii="Times New Roman" w:hAnsi="Times New Roman" w:cs="Times New Roman"/>
          <w:noProof/>
          <w:sz w:val="24"/>
        </w:rPr>
      </w:pPr>
      <w:r>
        <w:rPr>
          <w:rFonts w:ascii="Times New Roman" w:hAnsi="Times New Roman"/>
          <w:noProof/>
        </w:rPr>
        <w:t>Ačkoli jsou někteří žadatelé při udávání hodnoty zdrženliví a někteří nejsou schopni poskytnout její odhad, u standardních vývozních povolení většina členských států systematicky označuje za celní hodnotu takovou hodnotu, která je stanovena v celním prohlášení při vývozu.</w:t>
      </w:r>
    </w:p>
    <w:p>
      <w:pPr>
        <w:jc w:val="both"/>
        <w:rPr>
          <w:rFonts w:ascii="Times New Roman" w:hAnsi="Times New Roman" w:cs="Times New Roman"/>
          <w:noProof/>
          <w:sz w:val="24"/>
        </w:rPr>
      </w:pPr>
      <w:r>
        <w:rPr>
          <w:rFonts w:ascii="Times New Roman" w:hAnsi="Times New Roman"/>
          <w:noProof/>
        </w:rPr>
        <w:t xml:space="preserve">Většina dotazovaných členských států si myslí, že pokud by to bylo možné, bylo by užitečné vytvořit jednotný postup s ohledem na ocenění kulturních statků. </w:t>
      </w:r>
    </w:p>
    <w:p>
      <w:pPr>
        <w:pStyle w:val="Heading2"/>
        <w:rPr>
          <w:noProof/>
        </w:rPr>
      </w:pPr>
      <w:bookmarkStart w:id="11" w:name="_Toc18568222"/>
      <w:r>
        <w:rPr>
          <w:noProof/>
        </w:rPr>
        <w:t>4.4 Číselné údaje o standardních vývozních povoleních</w:t>
      </w:r>
      <w:bookmarkEnd w:id="11"/>
    </w:p>
    <w:p>
      <w:pPr>
        <w:spacing w:after="240"/>
        <w:jc w:val="both"/>
        <w:rPr>
          <w:rFonts w:ascii="Times New Roman" w:hAnsi="Times New Roman" w:cs="Times New Roman"/>
          <w:noProof/>
          <w:sz w:val="24"/>
        </w:rPr>
      </w:pPr>
      <w:r>
        <w:rPr>
          <w:rFonts w:ascii="Times New Roman" w:hAnsi="Times New Roman"/>
          <w:noProof/>
        </w:rPr>
        <w:t>Počet standardních povolení vydaných členskými státy v období mezi lety 2014 a 2017 byl 70 433 (viz také tabulka 1 v příloze s ročními údaji).</w:t>
      </w:r>
    </w:p>
    <w:p>
      <w:pPr>
        <w:jc w:val="center"/>
        <w:rPr>
          <w:rFonts w:ascii="Times New Roman" w:hAnsi="Times New Roman" w:cs="Times New Roman"/>
          <w:b/>
          <w:bCs/>
          <w:noProof/>
          <w:sz w:val="24"/>
        </w:rPr>
      </w:pPr>
      <w:r>
        <w:rPr>
          <w:rFonts w:ascii="Times New Roman" w:hAnsi="Times New Roman"/>
          <w:b/>
          <w:bCs/>
          <w:noProof/>
        </w:rPr>
        <w:t>Standardní povolení podle členského státu v letech 2014–2017</w:t>
      </w:r>
    </w:p>
    <w:p>
      <w:pPr>
        <w:jc w:val="center"/>
        <w:rPr>
          <w:rFonts w:ascii="Times New Roman" w:hAnsi="Times New Roman" w:cs="Times New Roman"/>
          <w:noProof/>
        </w:rPr>
      </w:pPr>
      <w:r>
        <w:rPr>
          <w:noProof/>
          <w:lang w:val="en-GB" w:eastAsia="en-GB"/>
        </w:rPr>
        <w:drawing>
          <wp:inline distT="0" distB="0" distL="0" distR="0">
            <wp:extent cx="4648200" cy="2743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743200"/>
                    </a:xfrm>
                    <a:prstGeom prst="rect">
                      <a:avLst/>
                    </a:prstGeom>
                    <a:noFill/>
                    <a:ln>
                      <a:noFill/>
                    </a:ln>
                  </pic:spPr>
                </pic:pic>
              </a:graphicData>
            </a:graphic>
          </wp:inline>
        </w:drawing>
      </w:r>
    </w:p>
    <w:p>
      <w:pPr>
        <w:jc w:val="both"/>
        <w:rPr>
          <w:rFonts w:ascii="Times New Roman" w:hAnsi="Times New Roman" w:cs="Times New Roman"/>
          <w:noProof/>
          <w:sz w:val="24"/>
        </w:rPr>
      </w:pPr>
      <w:r>
        <w:rPr>
          <w:rFonts w:ascii="Times New Roman" w:hAnsi="Times New Roman"/>
          <w:noProof/>
        </w:rPr>
        <w:t xml:space="preserve">V sestupném pořadí byly hlavními kategoriemi, pro něž byly obdrženy žádosti během vykazovaného období, následující: archeologické statky (převážně na výstavy), prvotisky, rukopisy a mapy, nejrůznější starožitnosti z kategorie 15, jako jsou šperky, hudební nástroje, nábytek, hodiny, zbraně, koberce atd. (většinou ke konečnému vývozu), následovány malbami, mozaikami, akvarely, kvaši a plastikami. </w:t>
      </w:r>
    </w:p>
    <w:p>
      <w:pPr>
        <w:pStyle w:val="Heading2"/>
        <w:rPr>
          <w:noProof/>
        </w:rPr>
      </w:pPr>
      <w:bookmarkStart w:id="12" w:name="_Toc18568223"/>
      <w:r>
        <w:rPr>
          <w:noProof/>
        </w:rPr>
        <w:t>4.5 Zvláštní a obecná otevřená povolení</w:t>
      </w:r>
      <w:bookmarkEnd w:id="12"/>
    </w:p>
    <w:p>
      <w:pPr>
        <w:rPr>
          <w:rFonts w:ascii="Times New Roman" w:hAnsi="Times New Roman" w:cs="Times New Roman"/>
          <w:noProof/>
          <w:sz w:val="24"/>
        </w:rPr>
      </w:pPr>
      <w:r>
        <w:rPr>
          <w:rFonts w:ascii="Times New Roman" w:hAnsi="Times New Roman"/>
          <w:noProof/>
        </w:rPr>
        <w:t>Zvláštní otevřená povolení mohou být vydávána pro určitý kulturní statek, který je pravidelně dočasně vyvážen soukromou osobou (článek 10 prováděcího nařízení). V období 2014–2017 byl počet vydaných zvláštních otevřených povolení 1 428 (viz také tabulka 2 v příloze s ročními údaji). Významný počet členských států vykázal, že tato povolení neposkytují. Členské státy, které zvláštní otevřená povolení vydávají, tak činí převážně pro hudební nástroje vyvážené za účelem uměleckých představení nebo pro starožitné dopravní prostředky vyvážené na výstavy.</w:t>
      </w:r>
    </w:p>
    <w:p>
      <w:pPr>
        <w:spacing w:after="240"/>
        <w:rPr>
          <w:rFonts w:ascii="Times New Roman" w:hAnsi="Times New Roman" w:cs="Times New Roman"/>
          <w:noProof/>
          <w:sz w:val="24"/>
        </w:rPr>
      </w:pPr>
      <w:r>
        <w:rPr>
          <w:rFonts w:ascii="Times New Roman" w:hAnsi="Times New Roman"/>
          <w:noProof/>
        </w:rPr>
        <w:t>Kromě dvou členských států vydaly zbylé státy ve vykazovaném období poměrně malé množství těchto povolení.</w:t>
      </w:r>
    </w:p>
    <w:p>
      <w:pPr>
        <w:spacing w:after="240"/>
        <w:jc w:val="center"/>
        <w:rPr>
          <w:rFonts w:ascii="Times New Roman" w:hAnsi="Times New Roman" w:cs="Times New Roman"/>
          <w:b/>
          <w:bCs/>
          <w:noProof/>
          <w:sz w:val="24"/>
        </w:rPr>
      </w:pPr>
      <w:r>
        <w:rPr>
          <w:rFonts w:ascii="Times New Roman" w:hAnsi="Times New Roman"/>
          <w:b/>
          <w:bCs/>
          <w:noProof/>
        </w:rPr>
        <w:t>Zvláštní otevřená povolení v oběhu podle členských států v letech 2014–2017</w:t>
      </w:r>
    </w:p>
    <w:p>
      <w:pPr>
        <w:spacing w:after="240"/>
        <w:jc w:val="center"/>
        <w:rPr>
          <w:rFonts w:ascii="Times New Roman" w:hAnsi="Times New Roman" w:cs="Times New Roman"/>
          <w:b/>
          <w:bCs/>
          <w:noProof/>
          <w:sz w:val="24"/>
        </w:rPr>
      </w:pPr>
      <w:r>
        <w:rPr>
          <w:noProof/>
          <w:lang w:val="en-GB" w:eastAsia="en-GB"/>
        </w:rPr>
        <w:drawing>
          <wp:inline distT="0" distB="0" distL="0" distR="0">
            <wp:extent cx="4565092" cy="2743200"/>
            <wp:effectExtent l="0" t="0" r="2603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ascii="Times New Roman" w:hAnsi="Times New Roman" w:cs="Times New Roman"/>
          <w:noProof/>
          <w:sz w:val="24"/>
        </w:rPr>
      </w:pPr>
      <w:r>
        <w:rPr>
          <w:rFonts w:ascii="Times New Roman" w:hAnsi="Times New Roman"/>
          <w:noProof/>
        </w:rPr>
        <w:t>Prováděcí nařízení stanoví maximální dobu platnosti zvláštního otevřeného povolení na pět let. Většina členských států, které takové povolení vydávají, uplatňuje tuto délku; vyskytují se však výjimky, jež dobu platnosti neudávají nebo stanoví dobu kratší (1–3 roky).</w:t>
      </w:r>
    </w:p>
    <w:p>
      <w:pPr>
        <w:jc w:val="both"/>
        <w:rPr>
          <w:rFonts w:ascii="Times New Roman" w:hAnsi="Times New Roman" w:cs="Times New Roman"/>
          <w:noProof/>
          <w:sz w:val="24"/>
        </w:rPr>
      </w:pPr>
      <w:r>
        <w:rPr>
          <w:rFonts w:ascii="Times New Roman" w:hAnsi="Times New Roman"/>
          <w:noProof/>
        </w:rPr>
        <w:t>Obecná otevřená povolení (článek 13 prováděcího nařízení) povolují pravidelný dočasný vývoz kulturních statků muzeím a obdobným institucím. V období 2014–2017 byl počet vydaných obecných otevřených povolení 1 501 (viz také tabulka 3 v příloze s ročními údaji). Prováděcí nařízení stanoví platnost těchto povolení také na pět let. Většina členských států, které takové povolení vydávají, uplatňuje kratší délku. Délka obvykle závisí na pojistném krytí nebo potřebách pro zapůjčení nebo vystavení.</w:t>
      </w:r>
    </w:p>
    <w:p>
      <w:pPr>
        <w:rPr>
          <w:noProof/>
        </w:rPr>
      </w:pPr>
      <w:r>
        <w:rPr>
          <w:noProof/>
        </w:rPr>
        <w:br w:type="page"/>
      </w:r>
    </w:p>
    <w:p>
      <w:pPr>
        <w:jc w:val="both"/>
        <w:rPr>
          <w:rFonts w:ascii="Times New Roman" w:hAnsi="Times New Roman" w:cs="Times New Roman"/>
          <w:noProof/>
          <w:sz w:val="24"/>
        </w:rPr>
      </w:pPr>
    </w:p>
    <w:p>
      <w:pPr>
        <w:spacing w:after="240"/>
        <w:jc w:val="center"/>
        <w:rPr>
          <w:rFonts w:ascii="Times New Roman" w:hAnsi="Times New Roman" w:cs="Times New Roman"/>
          <w:b/>
          <w:bCs/>
          <w:noProof/>
          <w:sz w:val="24"/>
        </w:rPr>
      </w:pPr>
      <w:r>
        <w:rPr>
          <w:rFonts w:ascii="Times New Roman" w:hAnsi="Times New Roman"/>
          <w:b/>
          <w:bCs/>
          <w:noProof/>
        </w:rPr>
        <w:t>Obecná otevřená povolení v oběhu podle členských států v letech 2014–2017</w:t>
      </w:r>
    </w:p>
    <w:p>
      <w:pPr>
        <w:spacing w:after="240"/>
        <w:jc w:val="center"/>
        <w:rPr>
          <w:rFonts w:ascii="Times New Roman" w:hAnsi="Times New Roman" w:cs="Times New Roman"/>
          <w:b/>
          <w:bCs/>
          <w:noProof/>
          <w:sz w:val="24"/>
        </w:rPr>
      </w:pPr>
      <w:r>
        <w:rPr>
          <w:noProof/>
          <w:lang w:val="en-GB" w:eastAsia="en-GB"/>
        </w:rPr>
        <w:drawing>
          <wp:inline distT="0" distB="0" distL="0" distR="0">
            <wp:extent cx="4572001" cy="2796116"/>
            <wp:effectExtent l="0" t="0" r="19050"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Heading2"/>
        <w:rPr>
          <w:noProof/>
        </w:rPr>
      </w:pPr>
      <w:bookmarkStart w:id="13" w:name="_Toc18568224"/>
      <w:r>
        <w:rPr>
          <w:noProof/>
        </w:rPr>
        <w:t>4.6 Výjimky z požadavků na vývozní povolení</w:t>
      </w:r>
      <w:bookmarkEnd w:id="13"/>
    </w:p>
    <w:p>
      <w:pPr>
        <w:jc w:val="both"/>
        <w:rPr>
          <w:rFonts w:ascii="Times New Roman" w:hAnsi="Times New Roman" w:cs="Times New Roman"/>
          <w:noProof/>
          <w:sz w:val="24"/>
        </w:rPr>
      </w:pPr>
      <w:r>
        <w:rPr>
          <w:rFonts w:ascii="Times New Roman" w:hAnsi="Times New Roman"/>
          <w:noProof/>
        </w:rPr>
        <w:t>Pouze jeden členský stát vykázal, že v souladu s čl. 2 odst. 2 využil možnosti nepožadovat vývozní povolení pro statky, které mají omezenou archeologickou či vědeckou hodnotu. Hlavním argumentem pro využití této možnosti je to, že archeologické předměty, které nepocházejí přímo z vykopávek, se považují za předměty s omezenou vědeckou hodnotou, protože byly odděleny od svého archeologicko-historického kontextu.</w:t>
      </w:r>
    </w:p>
    <w:p>
      <w:pPr>
        <w:pStyle w:val="Heading2"/>
        <w:rPr>
          <w:noProof/>
        </w:rPr>
      </w:pPr>
      <w:bookmarkStart w:id="14" w:name="_Toc18568225"/>
      <w:r>
        <w:rPr>
          <w:noProof/>
        </w:rPr>
        <w:t>4.7 Důvody zamítnutí žádosti o povolení</w:t>
      </w:r>
      <w:bookmarkEnd w:id="14"/>
    </w:p>
    <w:p>
      <w:pPr>
        <w:jc w:val="both"/>
        <w:rPr>
          <w:rFonts w:ascii="Times New Roman" w:hAnsi="Times New Roman" w:cs="Times New Roman"/>
          <w:noProof/>
          <w:sz w:val="24"/>
        </w:rPr>
      </w:pPr>
      <w:r>
        <w:rPr>
          <w:rFonts w:ascii="Times New Roman" w:hAnsi="Times New Roman"/>
          <w:noProof/>
        </w:rPr>
        <w:t xml:space="preserve">Pouze několik členských států zamítlo vydání vývozního povolení proto, že na kulturní statky, jichž se týkalo, se vztahovaly vnitrostátní právní předpisy na ochranu národního kulturního pokladu, jenž má uměleckou, historickou nebo archeologickou hodnotu v souladu s čl. 2. odst. 2 pododstavcem 3. Ve většině případů byla žádost o vývozní povolení zamítnuta nebo stažena žadatelem z jiných důvodů, jako jsou: nedostatečné důkazy o legálním původu, nesoulad s odpovídajícími pravidly, statek je padělek nebo nebyla vyřešena otázka, který členský stát je oprávněný povolení vydat. </w:t>
      </w:r>
    </w:p>
    <w:p>
      <w:pPr>
        <w:jc w:val="both"/>
        <w:rPr>
          <w:rFonts w:ascii="Times New Roman" w:hAnsi="Times New Roman" w:cs="Times New Roman"/>
          <w:noProof/>
          <w:sz w:val="24"/>
        </w:rPr>
      </w:pPr>
      <w:r>
        <w:rPr>
          <w:rFonts w:ascii="Times New Roman" w:hAnsi="Times New Roman"/>
          <w:noProof/>
        </w:rPr>
        <w:t>Případy, kdy žadatel odmítne poskytnout dodatečné informace o původu, když je o ně požádán, a následně okamžitě stáhne svoji žádost, jsou ojedinělé. Když taková situace nastane, většina členských států žádost zamítne, informuje žadatele, a pokud existuje podezření na nelegální původ, o případu zpraví také příslušné donucovací orgány.</w:t>
      </w:r>
    </w:p>
    <w:p>
      <w:pPr>
        <w:rPr>
          <w:rFonts w:ascii="Times New Roman" w:eastAsia="Times New Roman" w:hAnsi="Times New Roman" w:cs="Times New Roman"/>
          <w:b/>
          <w:bCs/>
          <w:iCs/>
          <w:noProof/>
          <w:sz w:val="24"/>
          <w:szCs w:val="28"/>
        </w:rPr>
      </w:pPr>
      <w:r>
        <w:rPr>
          <w:noProof/>
        </w:rPr>
        <w:br w:type="page"/>
      </w:r>
    </w:p>
    <w:p>
      <w:pPr>
        <w:pStyle w:val="Heading2"/>
        <w:rPr>
          <w:noProof/>
        </w:rPr>
      </w:pPr>
      <w:bookmarkStart w:id="15" w:name="_Toc18568226"/>
      <w:r>
        <w:rPr>
          <w:noProof/>
        </w:rPr>
        <w:t>4.8 Potíže s formuláři povolení</w:t>
      </w:r>
      <w:bookmarkEnd w:id="15"/>
    </w:p>
    <w:p>
      <w:pPr>
        <w:jc w:val="both"/>
        <w:rPr>
          <w:rFonts w:ascii="Times New Roman" w:hAnsi="Times New Roman" w:cs="Times New Roman"/>
          <w:noProof/>
          <w:sz w:val="24"/>
        </w:rPr>
      </w:pPr>
      <w:r>
        <w:rPr>
          <w:rFonts w:ascii="Times New Roman" w:hAnsi="Times New Roman"/>
          <w:noProof/>
        </w:rPr>
        <w:t>V souvislosti s používáním formulářů povolení byly zjištěny tyto potíže:</w:t>
      </w:r>
    </w:p>
    <w:p>
      <w:pPr>
        <w:jc w:val="both"/>
        <w:rPr>
          <w:rFonts w:ascii="Times New Roman" w:hAnsi="Times New Roman" w:cs="Times New Roman"/>
          <w:noProof/>
          <w:sz w:val="24"/>
        </w:rPr>
      </w:pPr>
      <w:r>
        <w:rPr>
          <w:rFonts w:ascii="Times New Roman" w:hAnsi="Times New Roman"/>
          <w:noProof/>
        </w:rPr>
        <w:t>Zařazení fotografií do žádosti o povolení je velmi důležitým prvkem, jelikož celním úřadům při kontrole vývozního povolení umožňuje statek určit. Převážná většina členských států požaduje v případě konečného vývozu fotografie. V některých případech udělily jisté členské státy výjimky u dočasného vývozu sbírek nebo u velmi objemných archeologických předmětů nízké hodnoty nebo u knih, které neměly určité identifikovatelné značení.</w:t>
      </w:r>
    </w:p>
    <w:p>
      <w:pPr>
        <w:jc w:val="both"/>
        <w:rPr>
          <w:rFonts w:ascii="Times New Roman" w:hAnsi="Times New Roman" w:cs="Times New Roman"/>
          <w:noProof/>
          <w:sz w:val="24"/>
        </w:rPr>
      </w:pPr>
      <w:r>
        <w:rPr>
          <w:rFonts w:ascii="Times New Roman" w:hAnsi="Times New Roman"/>
          <w:noProof/>
        </w:rPr>
        <w:t>Prováděcí nařízení v článku 5 stanoví, že list č. 3</w:t>
      </w:r>
      <w:r>
        <w:rPr>
          <w:rFonts w:ascii="Times New Roman" w:hAnsi="Times New Roman" w:cs="Times New Roman"/>
          <w:noProof/>
          <w:vertAlign w:val="superscript"/>
        </w:rPr>
        <w:footnoteReference w:id="12"/>
      </w:r>
      <w:r>
        <w:rPr>
          <w:rFonts w:ascii="Times New Roman" w:hAnsi="Times New Roman"/>
          <w:noProof/>
        </w:rPr>
        <w:t xml:space="preserve"> formuláře vývozního povolení musí být vrácen příslušenému vydávajícímu orgánu, aby potvrdil, že vývoz opravdu proběhl a že povolení bylo použito, avšak děje se tomu pouze ve 20 % případů. </w:t>
      </w:r>
    </w:p>
    <w:p>
      <w:pPr>
        <w:jc w:val="both"/>
        <w:rPr>
          <w:rFonts w:ascii="Times New Roman" w:hAnsi="Times New Roman" w:cs="Times New Roman"/>
          <w:noProof/>
          <w:sz w:val="24"/>
        </w:rPr>
      </w:pPr>
      <w:r>
        <w:rPr>
          <w:rFonts w:ascii="Times New Roman" w:hAnsi="Times New Roman"/>
          <w:noProof/>
        </w:rPr>
        <w:t>Vzhledem k neexistenci centrálního elektronického registračního systému je poměrně obtížné kontrolovat, zda byl list č. 3 vrácen, zejména pokud statek opustil území Unie v jiném členském státě. Některé členské státy vykazují, že přezkoumávají způsoby, jak tyto kontroly zlepšit. Je třeba poznamenat, že nové nařízení o dovozu kulturních statků stanoví vytvoření centralizovaného elektronického systému ke správě požadavků týkajících se dokumentace. Systém by mohl být navržen tak, aby umožnil pokrýt také potřeby na systém vývozních povolení, včetně ověření toho, že se vývoz uskutečnil.</w:t>
      </w:r>
    </w:p>
    <w:p>
      <w:pPr>
        <w:pStyle w:val="Heading2"/>
        <w:rPr>
          <w:noProof/>
        </w:rPr>
      </w:pPr>
      <w:bookmarkStart w:id="16" w:name="_Toc18568227"/>
      <w:r>
        <w:rPr>
          <w:noProof/>
        </w:rPr>
        <w:t>4.9 Zrušení nebo odebrání povolení</w:t>
      </w:r>
      <w:bookmarkEnd w:id="16"/>
    </w:p>
    <w:p>
      <w:pPr>
        <w:jc w:val="both"/>
        <w:rPr>
          <w:rFonts w:ascii="Times New Roman" w:hAnsi="Times New Roman" w:cs="Times New Roman"/>
          <w:noProof/>
          <w:sz w:val="24"/>
        </w:rPr>
      </w:pPr>
      <w:r>
        <w:rPr>
          <w:rFonts w:ascii="Times New Roman" w:hAnsi="Times New Roman"/>
          <w:noProof/>
        </w:rPr>
        <w:t xml:space="preserve">Zhruba polovina členských států má právní předpisy, které upravují odebrání nebo zrušení povolení poté, co byla vydána, a to buď na základě zvláštních ustanovení týkajících se kulturních statků, nebo prostřednictvím obecného správního práva, jež vyžaduje zrušení správního aktu, pokud je založen na zavádějících nebo nepravdivých informacích. Během vykazovaného období však odebral (tři) povolení pouze jeden stát. </w:t>
      </w:r>
    </w:p>
    <w:p>
      <w:pPr>
        <w:jc w:val="both"/>
        <w:rPr>
          <w:rFonts w:ascii="Times New Roman" w:hAnsi="Times New Roman" w:cs="Times New Roman"/>
          <w:noProof/>
          <w:sz w:val="24"/>
        </w:rPr>
      </w:pPr>
      <w:r>
        <w:rPr>
          <w:rFonts w:ascii="Times New Roman" w:hAnsi="Times New Roman"/>
          <w:noProof/>
        </w:rPr>
        <w:t>Žadatel může povolení zrušit poté, co byla vydána. V takových případech požaduje většina členských států, aby bylo povolení zapsáno jako zrušené. Značný počet členských států vykazuje, že pokud není povolení použitou během své doby platnosti, příslušný orgán o tom není vždy informován, protože ve většině případů se jim nevrátí list č. 3 formuláře (viz bod 3.8 výše).</w:t>
      </w:r>
    </w:p>
    <w:p>
      <w:pPr>
        <w:pStyle w:val="Heading2"/>
        <w:rPr>
          <w:noProof/>
        </w:rPr>
      </w:pPr>
      <w:bookmarkStart w:id="17" w:name="_Toc18568228"/>
      <w:r>
        <w:rPr>
          <w:noProof/>
        </w:rPr>
        <w:t>4.10 Používání elektronických systémů</w:t>
      </w:r>
      <w:bookmarkEnd w:id="17"/>
    </w:p>
    <w:p>
      <w:pPr>
        <w:jc w:val="both"/>
        <w:rPr>
          <w:rFonts w:ascii="Times New Roman" w:hAnsi="Times New Roman" w:cs="Times New Roman"/>
          <w:noProof/>
          <w:sz w:val="24"/>
        </w:rPr>
      </w:pPr>
      <w:r>
        <w:rPr>
          <w:rFonts w:ascii="Times New Roman" w:hAnsi="Times New Roman"/>
          <w:noProof/>
        </w:rPr>
        <w:t>Vývozní povolení jsou vydávána elektronicky pouze v jednom členském státě. V několika dalších členských státech lze žádost vyplnit i podat elektronicky (např. vyplněním interaktivního souboru ve formátu .pdf on-line), ale podpis a následné vydání samotného vývozního povolení se stále provádí na papíře. Systém založený na papírových dokladech se využívá zejména kvůli omezením a požadavkům, které stanoví prováděcí nařízení pro zabránění padělání. Některé členské státy by rády naplánovaly, nebo tak již učinily, vypracování systému pro vydávání povolení elektronickou cestou. Konkrétně tři členské státy prozkoumaly možnost vytvořit společný systém a přezkoumaly otázky ochrany údajů a důvěrnost vnitrostátních povolení.</w:t>
      </w:r>
    </w:p>
    <w:p>
      <w:pPr>
        <w:rPr>
          <w:rFonts w:ascii="Times New Roman" w:hAnsi="Times New Roman" w:cs="Times New Roman"/>
          <w:noProof/>
          <w:sz w:val="24"/>
          <w:szCs w:val="24"/>
        </w:rPr>
      </w:pPr>
      <w:r>
        <w:rPr>
          <w:rFonts w:ascii="Times New Roman" w:hAnsi="Times New Roman"/>
          <w:noProof/>
        </w:rPr>
        <w:t>Sedmnáct členských států uvedlo, že by považovaly za užitečné, kdyby byla vytvořena společná elektronická databáze nebo on-line služba na úrovni EU sloužící k vydávání vývozních povolení. Tři členské státy jsou proti, protože upřednostňují nadále používat vlastní databáze (které zahrnují vnitrostátní i unijní vývozní povolení) nebo jsou přesvědčeny, že rozdíly ve výkladu ustanovení by systému překážely, kdežto 2 členské státy svůj postoj v této záležitosti nevyjádřily. V každém případě by přechod na elektronický systém vyžadoval změnu ustanovení prováděcího nařízení, která požadují vydávání povolení v papírové podobě.</w:t>
      </w:r>
    </w:p>
    <w:p>
      <w:pPr>
        <w:pStyle w:val="Heading2"/>
        <w:rPr>
          <w:noProof/>
        </w:rPr>
      </w:pPr>
      <w:bookmarkStart w:id="18" w:name="_Toc18568229"/>
      <w:r>
        <w:rPr>
          <w:noProof/>
        </w:rPr>
        <w:t>4.11 Sankce a jiná opatření</w:t>
      </w:r>
      <w:bookmarkEnd w:id="18"/>
    </w:p>
    <w:p>
      <w:pPr>
        <w:jc w:val="both"/>
        <w:rPr>
          <w:rFonts w:ascii="Times New Roman" w:hAnsi="Times New Roman" w:cs="Times New Roman"/>
          <w:noProof/>
          <w:sz w:val="24"/>
        </w:rPr>
      </w:pPr>
      <w:r>
        <w:rPr>
          <w:rFonts w:ascii="Times New Roman" w:hAnsi="Times New Roman"/>
          <w:noProof/>
        </w:rPr>
        <w:t xml:space="preserve">Členské státy jsou povinny přijmout pravidla o účinných, přiměřených a odrazujících sankcích použitelných v případě porušení ustanovení nařízení. Ve většině případů se jedná o správní i trestní sankce, jež mohou spočívat v ukládání pokut a sazbách trestu odnětí svobody (v průměru maximálně na 2,5 roku). </w:t>
      </w:r>
    </w:p>
    <w:p>
      <w:pPr>
        <w:jc w:val="both"/>
        <w:rPr>
          <w:rFonts w:ascii="Times New Roman" w:hAnsi="Times New Roman" w:cs="Times New Roman"/>
          <w:noProof/>
          <w:sz w:val="24"/>
        </w:rPr>
      </w:pPr>
      <w:r>
        <w:rPr>
          <w:rFonts w:ascii="Times New Roman" w:hAnsi="Times New Roman"/>
          <w:noProof/>
        </w:rPr>
        <w:t xml:space="preserve">Kromě těchto opatření přijaly některé státy i opatření další, jako je konfiskace kulturních statků, opatření ohledně dovozu kulturních statků ze třetích zemí a kulturních statků, s nimiž obchodují teroristické nebo válčící skupiny, požadavek, aby si obchodníci s uměním vedli soupisky a rejstříky transakcí, a pokuty za neuvědomění o návratu kulturního statku, který byl vyvezen s dočasným povolením. </w:t>
      </w:r>
    </w:p>
    <w:p>
      <w:pPr>
        <w:pStyle w:val="Heading2"/>
        <w:rPr>
          <w:noProof/>
        </w:rPr>
      </w:pPr>
      <w:bookmarkStart w:id="19" w:name="_Toc18568230"/>
      <w:r>
        <w:rPr>
          <w:noProof/>
        </w:rPr>
        <w:t>4.12 Spolupráce mezi orgány</w:t>
      </w:r>
      <w:bookmarkEnd w:id="19"/>
    </w:p>
    <w:p>
      <w:pPr>
        <w:jc w:val="both"/>
        <w:rPr>
          <w:rFonts w:ascii="Times New Roman" w:hAnsi="Times New Roman" w:cs="Times New Roman"/>
          <w:noProof/>
          <w:sz w:val="24"/>
        </w:rPr>
      </w:pPr>
      <w:r>
        <w:rPr>
          <w:rFonts w:ascii="Times New Roman" w:hAnsi="Times New Roman"/>
          <w:noProof/>
        </w:rPr>
        <w:t xml:space="preserve">Ve všech členských státech nesou hlavní odpovědnost za kontrolu existence a shody vývozních povolení na hranicích celní úřady. Při plnění těchto úkolů jim v některých případech pomáhá policie a/nebo jiná ostraha hranic nebo vnitrostátní finanční úřad. </w:t>
      </w:r>
    </w:p>
    <w:p>
      <w:pPr>
        <w:jc w:val="both"/>
        <w:rPr>
          <w:rFonts w:ascii="Times New Roman" w:hAnsi="Times New Roman" w:cs="Times New Roman"/>
          <w:noProof/>
          <w:sz w:val="24"/>
        </w:rPr>
      </w:pPr>
      <w:r>
        <w:rPr>
          <w:rFonts w:ascii="Times New Roman" w:hAnsi="Times New Roman"/>
          <w:noProof/>
        </w:rPr>
        <w:t xml:space="preserve">Ačkoli nařízení nestanoví konkrétní postup správní spolupráce, byly výměny mezi orgány odpovědnými za provádění nařízení označeny za nezbytný prostředek ke zlepšení jeho účinnosti, zejména v případech, kdy je o vydání vývozní licence požádán jiný členský stát než ten, jemuž národní kulturní poklad patří.  </w:t>
      </w:r>
    </w:p>
    <w:p>
      <w:pPr>
        <w:jc w:val="both"/>
        <w:rPr>
          <w:rFonts w:ascii="Times New Roman" w:hAnsi="Times New Roman" w:cs="Times New Roman"/>
          <w:noProof/>
          <w:sz w:val="24"/>
        </w:rPr>
      </w:pPr>
      <w:r>
        <w:rPr>
          <w:rFonts w:ascii="Times New Roman" w:hAnsi="Times New Roman"/>
          <w:noProof/>
        </w:rPr>
        <w:t>Spolupráce mezi příslušnými orgány různých členských států není častá. Několik z nich kontaktovalo své partnerské subjekty v jiném členském státě se žádostí o informace ohledně vnitrostátních právních předpisů, aby si ověřily, zda je statek určen jako národní kulturní poklad, aby zjistily více informací o jeho původu nebo si ověřily doklady o osvědčení vydané v daném státě. Během vykazovaného období nebyla většina příslušných orgánů členských států v kontaktu s partnerskými subjekty v jiném členském státě, zatímco u několika proběhla komunikace 5krát až 20krát.</w:t>
      </w:r>
    </w:p>
    <w:p>
      <w:pPr>
        <w:jc w:val="both"/>
        <w:rPr>
          <w:rFonts w:ascii="Times New Roman" w:hAnsi="Times New Roman" w:cs="Times New Roman"/>
          <w:noProof/>
          <w:sz w:val="24"/>
        </w:rPr>
      </w:pPr>
      <w:r>
        <w:rPr>
          <w:rFonts w:ascii="Times New Roman" w:hAnsi="Times New Roman"/>
          <w:noProof/>
        </w:rPr>
        <w:t xml:space="preserve">Orgán odpovědný za vydávání vývozních povolení, tedy „příslušný orgán“, je ve většině případů, ale ne ve všech případech, vnitrostátní ministerstvo kultury. Přibližně čtvrtina dotazovaných členských států tento úkol svěřila více než jedné službě, která se zaměřuje na ochranu kulturního dědictví, někdy v závislosti na kategorii, do níž kulturní statek spadá, např. archeologické předměty, historické archivy atd. Ve dvou členských státech, které mají federativní uspořádání, byly služby decentralizované. Několik členských států také zapojilo veřejné subjekty, které disponují odbornými znalostmi v oblasti vydávání vývozních povolení, jako jsou národní knihovna, národní muzeum nebo jejich ministerstvo životního prostředí. </w:t>
      </w:r>
    </w:p>
    <w:p>
      <w:pPr>
        <w:jc w:val="both"/>
        <w:rPr>
          <w:rFonts w:ascii="Times New Roman" w:hAnsi="Times New Roman" w:cs="Times New Roman"/>
          <w:noProof/>
          <w:sz w:val="24"/>
          <w:szCs w:val="24"/>
        </w:rPr>
      </w:pPr>
      <w:r>
        <w:rPr>
          <w:rFonts w:ascii="Times New Roman" w:hAnsi="Times New Roman"/>
          <w:noProof/>
        </w:rPr>
        <w:t xml:space="preserve">Co se týče spolupráce mezi celními úřady a příslušnými orgány v rámci jednoho členského státu, většina členských států potvrzuje, že vnitrostátní orgány zapojené do provádění nařízení spolupracují dostatečně a efektivně, ačkoli sedm z nich si myslí, že je v této oblasti stále prostor ke zlepšení. Značný počet členských států vykázal, že byly podniknuty </w:t>
      </w:r>
      <w:r>
        <w:rPr>
          <w:rFonts w:ascii="Times New Roman" w:hAnsi="Times New Roman"/>
          <w:iCs/>
          <w:noProof/>
        </w:rPr>
        <w:t>kroky zaměřené na zlepšení této spolupráce mezi vnitrostátními orgány</w:t>
      </w:r>
      <w:r>
        <w:rPr>
          <w:rFonts w:ascii="Times New Roman" w:hAnsi="Times New Roman"/>
          <w:noProof/>
        </w:rPr>
        <w:t>, jako je podpis memorand o porozumění, organizace pravidelných společných setkání či návrhy společných referenčních příruček nebo vnitrostátních procesních pokynů, které mohou být použity, případně již byly použity, také během školení úředníků zúčastněných vnitrostátních agentur/orgánů.</w:t>
      </w:r>
    </w:p>
    <w:p>
      <w:pPr>
        <w:jc w:val="both"/>
        <w:rPr>
          <w:rFonts w:ascii="Times New Roman" w:hAnsi="Times New Roman" w:cs="Times New Roman"/>
          <w:noProof/>
          <w:sz w:val="24"/>
          <w:szCs w:val="24"/>
        </w:rPr>
      </w:pPr>
      <w:r>
        <w:rPr>
          <w:rFonts w:ascii="Times New Roman" w:hAnsi="Times New Roman"/>
          <w:noProof/>
        </w:rPr>
        <w:t xml:space="preserve">V souvislosti se spoluprací s vnitrostátními službami nebo orgány podepsala zhruba polovina států dohodu o spolupráci s vnitrostátní policií, dalšími donucovacími orgány, státními zástupci atd.  </w:t>
      </w:r>
    </w:p>
    <w:p>
      <w:pPr>
        <w:jc w:val="both"/>
        <w:rPr>
          <w:rFonts w:ascii="Times New Roman" w:hAnsi="Times New Roman" w:cs="Times New Roman"/>
          <w:noProof/>
          <w:sz w:val="24"/>
          <w:szCs w:val="24"/>
        </w:rPr>
      </w:pPr>
      <w:r>
        <w:rPr>
          <w:rFonts w:ascii="Times New Roman" w:hAnsi="Times New Roman"/>
          <w:noProof/>
        </w:rPr>
        <w:t>Celní úřady nebo příslušné orgány některých členských států navázaly také spolupráci s orgány třetích zemí nebo s mezinárodními organizacemi a orgány, které jsou aktivní v oblasti boje proti nedovolenému obchodování s kulturními statky, jako jsou Interpol, Světová celní organizace (WCO), Europol atd.</w:t>
      </w:r>
    </w:p>
    <w:p>
      <w:pPr>
        <w:jc w:val="both"/>
        <w:rPr>
          <w:rFonts w:ascii="Times New Roman" w:hAnsi="Times New Roman" w:cs="Times New Roman"/>
          <w:noProof/>
          <w:sz w:val="24"/>
          <w:szCs w:val="24"/>
        </w:rPr>
      </w:pPr>
      <w:r>
        <w:rPr>
          <w:rFonts w:ascii="Times New Roman" w:hAnsi="Times New Roman"/>
          <w:noProof/>
        </w:rPr>
        <w:t>Celní úřady 16 členských států zorganizovaly a/nebo se zúčastnily společných akcí cílených na boj proti nedovolenému obchodu společně s dalšími orgány a organizacemi, jako jsou Pandora I (proběhla v listopadu 2016) a Pandora II (proběhla v listopadu 2017) ve spolupráci s Interpolem, Europolem, UNESCO a WCO, a společné operace Colosseum a Odysseus ve spolupráci s Regionálním styčným zpravodajským úřadem WCO pro západní Evropu, Interpolem, Evropským úřadem pro boj proti podvodům (OLAF), Generálním ředitelstvím pro daně a celní unii Evropské Komise (TAXUD), Mezinárodní radou muzeí, italským Ministerstvem kulturního dědictví a italským celním úřadem „Guardia di Finanza“.</w:t>
      </w:r>
    </w:p>
    <w:p>
      <w:pPr>
        <w:jc w:val="both"/>
        <w:rPr>
          <w:rFonts w:ascii="Times New Roman" w:hAnsi="Times New Roman" w:cs="Times New Roman"/>
          <w:noProof/>
          <w:sz w:val="24"/>
          <w:szCs w:val="24"/>
        </w:rPr>
      </w:pPr>
      <w:r>
        <w:rPr>
          <w:rFonts w:ascii="Times New Roman" w:hAnsi="Times New Roman"/>
          <w:noProof/>
        </w:rPr>
        <w:t>Když celní úřady odhalí podezřelou zásilku, obvykle následuje zadržení statku a kontaktování příslušného orgánu, který ve většině případu vyšetřuje možné porušení právních předpisů společně s policií a státním zástupcem. Pokud se potvrdí, že kulturní statek nemůže být vyvezen, zabaví jej (v některých případech toto rozhodnutí přijímá příslušný orgán členského státu).</w:t>
      </w:r>
    </w:p>
    <w:p>
      <w:pPr>
        <w:pStyle w:val="Heading2"/>
        <w:rPr>
          <w:noProof/>
        </w:rPr>
      </w:pPr>
      <w:bookmarkStart w:id="20" w:name="_Toc18568231"/>
      <w:r>
        <w:rPr>
          <w:noProof/>
        </w:rPr>
        <w:t>4.13 Materiální a lidské zdroje</w:t>
      </w:r>
      <w:bookmarkEnd w:id="20"/>
    </w:p>
    <w:p>
      <w:pPr>
        <w:jc w:val="both"/>
        <w:rPr>
          <w:rFonts w:ascii="Times New Roman" w:hAnsi="Times New Roman" w:cs="Times New Roman"/>
          <w:noProof/>
          <w:sz w:val="24"/>
        </w:rPr>
      </w:pPr>
      <w:r>
        <w:rPr>
          <w:rFonts w:ascii="Times New Roman" w:hAnsi="Times New Roman"/>
          <w:noProof/>
        </w:rPr>
        <w:t xml:space="preserve">Potřeba zaměstnanců a zdrojů k provedení nařízení se během vykazovaného období ve většině členských států nezměnila. V několika státech je k vydávání vývozních povolení potřeba o trochu více odborníků na kulturní záležitosti – ačkoli je někdy obtížné posoudit, zda je zvýšená potřeba výsledkem žádostí o unijní nebo vnitrostátní vývozní povolení – zatímco dva dotazované členské státy se domnívají, že jejich služby trpí trvalým nedostatkem zaměstnanců.  </w:t>
      </w:r>
    </w:p>
    <w:p>
      <w:pPr>
        <w:pStyle w:val="Heading1"/>
        <w:rPr>
          <w:noProof/>
        </w:rPr>
      </w:pPr>
      <w:bookmarkStart w:id="21" w:name="_Toc18568232"/>
      <w:r>
        <w:rPr>
          <w:noProof/>
        </w:rPr>
        <w:t>Závěry a nedořešené otázky</w:t>
      </w:r>
      <w:bookmarkEnd w:id="21"/>
    </w:p>
    <w:p>
      <w:pPr>
        <w:jc w:val="both"/>
        <w:rPr>
          <w:rFonts w:ascii="Times New Roman" w:hAnsi="Times New Roman" w:cs="Times New Roman"/>
          <w:noProof/>
          <w:sz w:val="24"/>
        </w:rPr>
      </w:pPr>
      <w:r>
        <w:rPr>
          <w:rFonts w:ascii="Times New Roman" w:hAnsi="Times New Roman"/>
          <w:noProof/>
        </w:rPr>
        <w:t xml:space="preserve">Na základě zpětné vazby obdržené od členských států za období 2014–2017 se zdá, že nařízení dosahuje dobrých výsledků, pokud jde o dosahování jeho cílů, a je vnímáno jako důležitý právní nástroj ochrany kulturního dědictví členských států. </w:t>
      </w:r>
    </w:p>
    <w:p>
      <w:pPr>
        <w:jc w:val="both"/>
        <w:rPr>
          <w:rFonts w:ascii="Times New Roman" w:hAnsi="Times New Roman" w:cs="Times New Roman"/>
          <w:noProof/>
          <w:sz w:val="24"/>
        </w:rPr>
      </w:pPr>
      <w:r>
        <w:rPr>
          <w:rFonts w:ascii="Times New Roman" w:hAnsi="Times New Roman"/>
          <w:noProof/>
        </w:rPr>
        <w:t>Spolupráce mezi orgány odpovědnými za uplatňování nařízení v rámci Unie byla označena jako možný aspekt, v němž by mohlo být provádění zlepšeno. Možná opatření, která by mohly členské státy za tímto účelem přijmout, zahrnují organizaci školení, výměnu informací, účast na společných operacích a pomoc při identifikaci původu a právního postavení kulturních statků.</w:t>
      </w:r>
    </w:p>
    <w:p>
      <w:pPr>
        <w:jc w:val="both"/>
        <w:rPr>
          <w:rFonts w:ascii="Times New Roman" w:hAnsi="Times New Roman" w:cs="Times New Roman"/>
          <w:noProof/>
          <w:sz w:val="24"/>
        </w:rPr>
      </w:pPr>
      <w:r>
        <w:rPr>
          <w:rFonts w:ascii="Times New Roman" w:hAnsi="Times New Roman"/>
          <w:noProof/>
        </w:rPr>
        <w:t>S cílem reagovat na výzvu členských států k vypracování souboru osvědčených postupů (</w:t>
      </w:r>
      <w:r>
        <w:rPr>
          <w:rFonts w:ascii="Times New Roman" w:hAnsi="Times New Roman"/>
          <w:i/>
          <w:iCs/>
          <w:noProof/>
        </w:rPr>
        <w:t>viz</w:t>
      </w:r>
      <w:r>
        <w:rPr>
          <w:rFonts w:ascii="Times New Roman" w:hAnsi="Times New Roman"/>
          <w:noProof/>
        </w:rPr>
        <w:t xml:space="preserve"> článek 6.3 předchozí zprávy o provádění nařízení (ES) č. 116/2009</w:t>
      </w:r>
      <w:r>
        <w:rPr>
          <w:rFonts w:ascii="Times New Roman" w:hAnsi="Times New Roman" w:cs="Times New Roman"/>
          <w:noProof/>
          <w:vertAlign w:val="superscript"/>
        </w:rPr>
        <w:footnoteReference w:id="13"/>
      </w:r>
      <w:r>
        <w:rPr>
          <w:rFonts w:ascii="Times New Roman" w:hAnsi="Times New Roman"/>
          <w:noProof/>
        </w:rPr>
        <w:t>) byla ustanovena projektová skupina v rámci programu Clo 2020, jejímž cílem je zkoumat současné provádění v členských státech a zjistit osvědčené postupy kontroly kulturních statků, a to na úrovni příslušných orgánů (kontrola původu za účelem vydávání povolení) a celních orgánů (kontrola zásilek při vývozu a ověřování vývozních povolení).</w:t>
      </w:r>
    </w:p>
    <w:p>
      <w:pPr>
        <w:jc w:val="both"/>
        <w:rPr>
          <w:rFonts w:ascii="Times New Roman" w:hAnsi="Times New Roman" w:cs="Times New Roman"/>
          <w:noProof/>
          <w:sz w:val="24"/>
        </w:rPr>
      </w:pPr>
      <w:r>
        <w:rPr>
          <w:rFonts w:ascii="Times New Roman" w:hAnsi="Times New Roman"/>
          <w:noProof/>
        </w:rPr>
        <w:t>S ohledem na podporu jednotného chápání kategorií uvedených v příloze I nařízení nadále probíhají diskuse na úrovni skupin odborníků. Přijetí nařízení (EU) č. 2019/880 je považováno za kladný vývoj, jelikož přináší objasnění ohledně zařazení liturgických ikon jakožto součástí památek, což poskytne potřebnou právní jistotu.</w:t>
      </w:r>
    </w:p>
    <w:p>
      <w:pPr>
        <w:jc w:val="both"/>
        <w:rPr>
          <w:rFonts w:ascii="Times New Roman" w:hAnsi="Times New Roman" w:cs="Times New Roman"/>
          <w:noProof/>
          <w:sz w:val="24"/>
        </w:rPr>
      </w:pPr>
      <w:r>
        <w:rPr>
          <w:rFonts w:ascii="Times New Roman" w:hAnsi="Times New Roman"/>
          <w:noProof/>
        </w:rPr>
        <w:t>Členské státy potvrzují více než kdykoli předtím, že je potřeba přesun od systému papírových vývozních povolení k elektronickému, bezpapírovému systému. Podle jejich názoru tento přesun ulehčí vydávání a kontrolu vývozních povolení, umožní lépe sledovat jejich používání a podpoří lepší spolupráci mezi správami členských států odpovědnými za provádění nařízení. Nařízení (EU) č. 2019/880 o vstupu a dovozu kulturních statků stanoví vytvoření takového centralizovaného elektronického systému, který bude sloužit k vydávání dovozních licencí a k podávání prohlášení dovozce celním úřadům. Při jeho vytváření by měla být zvážena možnost zahrnout také správu vývozních povolení.</w:t>
      </w:r>
    </w:p>
    <w:p>
      <w:pPr>
        <w:rPr>
          <w:rFonts w:ascii="Times New Roman" w:hAnsi="Times New Roman" w:cs="Times New Roman"/>
          <w:noProof/>
        </w:rPr>
      </w:pPr>
      <w:r>
        <w:rPr>
          <w:noProof/>
        </w:rPr>
        <w:br w:type="page"/>
      </w:r>
    </w:p>
    <w:p>
      <w:pPr>
        <w:pStyle w:val="Heading1"/>
        <w:rPr>
          <w:rFonts w:ascii="Times New Roman" w:hAnsi="Times New Roman"/>
          <w:noProof/>
        </w:rPr>
      </w:pPr>
      <w:bookmarkStart w:id="22" w:name="_Toc18568233"/>
      <w:r>
        <w:rPr>
          <w:rFonts w:ascii="Times New Roman" w:hAnsi="Times New Roman"/>
          <w:noProof/>
        </w:rPr>
        <w:t>PŘÍLOHY</w:t>
      </w:r>
      <w:bookmarkEnd w:id="22"/>
    </w:p>
    <w:p>
      <w:pPr>
        <w:pStyle w:val="Heading2"/>
        <w:rPr>
          <w:noProof/>
        </w:rPr>
      </w:pPr>
      <w:bookmarkStart w:id="23" w:name="_Toc18568234"/>
      <w:r>
        <w:rPr>
          <w:noProof/>
        </w:rPr>
        <w:t>Tabulka 1. Standardní povolení vydaná členskými státy *</w:t>
      </w:r>
      <w:bookmarkEnd w:id="23"/>
    </w:p>
    <w:tbl>
      <w:tblPr>
        <w:tblW w:w="5000" w:type="pct"/>
        <w:tblCellMar>
          <w:left w:w="70" w:type="dxa"/>
          <w:right w:w="70" w:type="dxa"/>
        </w:tblCellMar>
        <w:tblLook w:val="04A0" w:firstRow="1" w:lastRow="0" w:firstColumn="1" w:lastColumn="0" w:noHBand="0" w:noVBand="1"/>
      </w:tblPr>
      <w:tblGrid>
        <w:gridCol w:w="1075"/>
        <w:gridCol w:w="1014"/>
        <w:gridCol w:w="1014"/>
        <w:gridCol w:w="1014"/>
        <w:gridCol w:w="1269"/>
        <w:gridCol w:w="1348"/>
        <w:gridCol w:w="2432"/>
      </w:tblGrid>
      <w:tr>
        <w:trPr>
          <w:trHeight w:val="330"/>
        </w:trPr>
        <w:tc>
          <w:tcPr>
            <w:tcW w:w="670" w:type="pct"/>
            <w:tcBorders>
              <w:top w:val="nil"/>
              <w:left w:val="nil"/>
              <w:right w:val="single" w:sz="4" w:space="0" w:color="auto"/>
            </w:tcBorders>
            <w:shd w:val="clear" w:color="auto" w:fill="auto"/>
            <w:noWrap/>
            <w:vAlign w:val="center"/>
            <w:hideMark/>
          </w:tcPr>
          <w:p>
            <w:pPr>
              <w:spacing w:after="0"/>
              <w:rPr>
                <w:rFonts w:ascii="Times New Roman" w:hAnsi="Times New Roman" w:cs="Times New Roman"/>
                <w:noProof/>
              </w:rPr>
            </w:pPr>
          </w:p>
        </w:tc>
        <w:tc>
          <w:tcPr>
            <w:tcW w:w="2683" w:type="pct"/>
            <w:gridSpan w:val="4"/>
            <w:tcBorders>
              <w:top w:val="single" w:sz="4" w:space="0" w:color="auto"/>
              <w:left w:val="nil"/>
              <w:bottom w:val="single" w:sz="4" w:space="0" w:color="auto"/>
              <w:right w:val="double" w:sz="6" w:space="0" w:color="000000"/>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bCs/>
                <w:noProof/>
              </w:rPr>
              <w:t>Rok</w:t>
            </w:r>
          </w:p>
        </w:tc>
        <w:tc>
          <w:tcPr>
            <w:tcW w:w="818" w:type="pct"/>
            <w:vMerge w:val="restart"/>
            <w:tcBorders>
              <w:top w:val="double" w:sz="6" w:space="0" w:color="auto"/>
              <w:left w:val="double" w:sz="6" w:space="0" w:color="auto"/>
              <w:bottom w:val="nil"/>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6" w:space="0" w:color="auto"/>
              <w:left w:val="nil"/>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Podíl na celkovém počtu</w:t>
            </w:r>
            <w:r>
              <w:rPr>
                <w:rFonts w:ascii="Times New Roman" w:hAnsi="Times New Roman"/>
                <w:b/>
                <w:bCs/>
                <w:noProof/>
              </w:rPr>
              <w:br/>
              <w:t>v %</w:t>
            </w:r>
          </w:p>
        </w:tc>
      </w:tr>
      <w:tr>
        <w:trPr>
          <w:trHeight w:val="315"/>
        </w:trPr>
        <w:tc>
          <w:tcPr>
            <w:tcW w:w="670" w:type="pct"/>
            <w:tcBorders>
              <w:top w:val="nil"/>
              <w:bottom w:val="single" w:sz="4" w:space="0" w:color="auto"/>
              <w:right w:val="single" w:sz="4" w:space="0" w:color="auto"/>
            </w:tcBorders>
            <w:shd w:val="clear" w:color="auto" w:fill="auto"/>
            <w:noWrap/>
            <w:vAlign w:val="center"/>
            <w:hideMark/>
          </w:tcPr>
          <w:p>
            <w:pPr>
              <w:spacing w:after="0"/>
              <w:rPr>
                <w:rFonts w:ascii="Times New Roman" w:hAnsi="Times New Roman" w:cs="Times New Roman"/>
                <w:noProof/>
              </w:rPr>
            </w:pPr>
          </w:p>
        </w:tc>
        <w:tc>
          <w:tcPr>
            <w:tcW w:w="63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36"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8" w:type="pct"/>
            <w:vMerge/>
            <w:tcBorders>
              <w:top w:val="double" w:sz="6" w:space="0" w:color="auto"/>
              <w:left w:val="double" w:sz="6" w:space="0" w:color="auto"/>
              <w:bottom w:val="nil"/>
              <w:right w:val="double" w:sz="6" w:space="0" w:color="auto"/>
            </w:tcBorders>
            <w:vAlign w:val="center"/>
            <w:hideMark/>
          </w:tcPr>
          <w:p>
            <w:pPr>
              <w:spacing w:after="0"/>
              <w:jc w:val="center"/>
              <w:rPr>
                <w:rFonts w:ascii="Times New Roman" w:hAnsi="Times New Roman" w:cs="Times New Roman"/>
                <w:b/>
                <w:bCs/>
                <w:noProof/>
              </w:rPr>
            </w:pPr>
          </w:p>
        </w:tc>
        <w:tc>
          <w:tcPr>
            <w:tcW w:w="829" w:type="pct"/>
            <w:vMerge/>
            <w:tcBorders>
              <w:top w:val="double" w:sz="6" w:space="0" w:color="auto"/>
              <w:left w:val="nil"/>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r>
      <w:tr>
        <w:trPr>
          <w:trHeight w:val="330"/>
        </w:trPr>
        <w:tc>
          <w:tcPr>
            <w:tcW w:w="670"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410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355</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346</w:t>
            </w:r>
          </w:p>
        </w:tc>
        <w:tc>
          <w:tcPr>
            <w:tcW w:w="818"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1 500</w:t>
            </w:r>
          </w:p>
        </w:tc>
        <w:tc>
          <w:tcPr>
            <w:tcW w:w="829" w:type="pct"/>
            <w:tcBorders>
              <w:top w:val="double" w:sz="6" w:space="0" w:color="auto"/>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0,02 %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24</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80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0,30 %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(3)</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c>
          <w:tcPr>
            <w:tcW w:w="829" w:type="pct"/>
            <w:tcBorders>
              <w:top w:val="nil"/>
              <w:left w:val="nil"/>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1 201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1 311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1 332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1 161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5 005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7,11 %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731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834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822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779</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3 166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3 102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2 925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2 968</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8 995</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12,77 %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636"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775"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24</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 (1)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566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635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559</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1 760</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2,50 %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0,02 %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28</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55</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0,17 %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26</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102</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214</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317</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314</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398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1 243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525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543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808</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690</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2 566</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81</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291</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 (2)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280</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358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1 097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1,56 %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(3)</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c>
          <w:tcPr>
            <w:tcW w:w="829" w:type="pct"/>
            <w:tcBorders>
              <w:top w:val="nil"/>
              <w:left w:val="nil"/>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0,01 %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265</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99</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226</w:t>
            </w:r>
          </w:p>
        </w:tc>
        <w:tc>
          <w:tcPr>
            <w:tcW w:w="775"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137</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727</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1,03 %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12 642</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11 553</w:t>
            </w:r>
          </w:p>
        </w:tc>
        <w:tc>
          <w:tcPr>
            <w:tcW w:w="636"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10 746</w:t>
            </w:r>
          </w:p>
        </w:tc>
        <w:tc>
          <w:tcPr>
            <w:tcW w:w="775" w:type="pct"/>
            <w:tcBorders>
              <w:top w:val="nil"/>
              <w:left w:val="nil"/>
              <w:bottom w:val="single" w:sz="4" w:space="0" w:color="auto"/>
              <w:right w:val="nil"/>
            </w:tcBorders>
            <w:shd w:val="clear" w:color="auto" w:fill="auto"/>
            <w:vAlign w:val="center"/>
            <w:hideMark/>
          </w:tcPr>
          <w:p>
            <w:pPr>
              <w:spacing w:after="0"/>
              <w:jc w:val="center"/>
              <w:rPr>
                <w:rFonts w:ascii="Times New Roman" w:hAnsi="Times New Roman" w:cs="Times New Roman"/>
                <w:noProof/>
              </w:rPr>
            </w:pPr>
            <w:r>
              <w:rPr>
                <w:rFonts w:ascii="Times New Roman" w:hAnsi="Times New Roman"/>
                <w:noProof/>
              </w:rPr>
              <w:t>8 472</w:t>
            </w:r>
          </w:p>
        </w:tc>
        <w:tc>
          <w:tcPr>
            <w:tcW w:w="818"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43 413</w:t>
            </w:r>
          </w:p>
        </w:tc>
        <w:tc>
          <w:tcPr>
            <w:tcW w:w="829" w:type="pct"/>
            <w:tcBorders>
              <w:top w:val="nil"/>
              <w:left w:val="nil"/>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61,64 %</w:t>
            </w:r>
          </w:p>
        </w:tc>
      </w:tr>
      <w:tr>
        <w:trPr>
          <w:trHeight w:val="315"/>
        </w:trPr>
        <w:tc>
          <w:tcPr>
            <w:tcW w:w="670"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bCs/>
                <w:noProof/>
              </w:rPr>
              <w:t>Celkem</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20 102</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19 059</w:t>
            </w:r>
          </w:p>
        </w:tc>
        <w:tc>
          <w:tcPr>
            <w:tcW w:w="636"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18 702</w:t>
            </w:r>
          </w:p>
        </w:tc>
        <w:tc>
          <w:tcPr>
            <w:tcW w:w="775"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12 570</w:t>
            </w:r>
          </w:p>
        </w:tc>
        <w:tc>
          <w:tcPr>
            <w:tcW w:w="818"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70 433</w:t>
            </w:r>
          </w:p>
        </w:tc>
        <w:tc>
          <w:tcPr>
            <w:tcW w:w="829" w:type="pct"/>
            <w:tcBorders>
              <w:top w:val="nil"/>
              <w:left w:val="nil"/>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 Jedno povolení se může vztahovat na několik kulturních statků; číselné údaje se týkají trvalých i dočasných povolení.</w:t>
      </w:r>
    </w:p>
    <w:p>
      <w:pPr>
        <w:spacing w:after="0"/>
        <w:rPr>
          <w:rFonts w:ascii="Times New Roman" w:hAnsi="Times New Roman" w:cs="Times New Roman"/>
          <w:noProof/>
        </w:rPr>
      </w:pPr>
      <w:r>
        <w:rPr>
          <w:rFonts w:ascii="Times New Roman" w:hAnsi="Times New Roman"/>
          <w:noProof/>
        </w:rPr>
        <w:t>(1) 2014: 242 trvalých, 324 dočasných, 2015: 364 trvalých, 271 dočasných, 2016: 307 trvalých, 252 dočasných.</w:t>
      </w:r>
    </w:p>
    <w:p>
      <w:pPr>
        <w:spacing w:after="0"/>
        <w:rPr>
          <w:rFonts w:ascii="Times New Roman" w:hAnsi="Times New Roman" w:cs="Times New Roman"/>
          <w:noProof/>
        </w:rPr>
      </w:pPr>
      <w:r>
        <w:rPr>
          <w:rFonts w:ascii="Times New Roman" w:hAnsi="Times New Roman"/>
          <w:noProof/>
        </w:rPr>
        <w:t>(2) 2014: 3 nahrazena; 2015: 4 zrušena.</w:t>
      </w:r>
    </w:p>
    <w:p>
      <w:pPr>
        <w:rPr>
          <w:rFonts w:ascii="Times New Roman" w:hAnsi="Times New Roman" w:cs="Times New Roman"/>
          <w:noProof/>
        </w:rPr>
      </w:pPr>
      <w:r>
        <w:rPr>
          <w:rFonts w:ascii="Times New Roman" w:hAnsi="Times New Roman"/>
          <w:noProof/>
        </w:rPr>
        <w:t>(3) Žádné statistické údaje nebyly poskytnuty.</w:t>
      </w:r>
    </w:p>
    <w:p>
      <w:pPr>
        <w:rPr>
          <w:rFonts w:ascii="Times New Roman" w:hAnsi="Times New Roman" w:cs="Times New Roman"/>
          <w:noProof/>
        </w:rPr>
      </w:pPr>
      <w:r>
        <w:rPr>
          <w:noProof/>
        </w:rPr>
        <w:br w:type="page"/>
      </w:r>
    </w:p>
    <w:p>
      <w:pPr>
        <w:pStyle w:val="Heading2"/>
        <w:rPr>
          <w:noProof/>
        </w:rPr>
      </w:pPr>
      <w:bookmarkStart w:id="24" w:name="_Toc18568235"/>
      <w:r>
        <w:rPr>
          <w:noProof/>
        </w:rPr>
        <w:t>Tabulka 2. Zvláštní otevřená povolení v oběhu</w:t>
      </w:r>
      <w:bookmarkEnd w:id="24"/>
    </w:p>
    <w:tbl>
      <w:tblPr>
        <w:tblW w:w="5000" w:type="pct"/>
        <w:tblCellMar>
          <w:left w:w="70" w:type="dxa"/>
          <w:right w:w="70" w:type="dxa"/>
        </w:tblCellMar>
        <w:tblLook w:val="04A0" w:firstRow="1" w:lastRow="0" w:firstColumn="1" w:lastColumn="0" w:noHBand="0" w:noVBand="1"/>
      </w:tblPr>
      <w:tblGrid>
        <w:gridCol w:w="1077"/>
        <w:gridCol w:w="1077"/>
        <w:gridCol w:w="1078"/>
        <w:gridCol w:w="1078"/>
        <w:gridCol w:w="1078"/>
        <w:gridCol w:w="1346"/>
        <w:gridCol w:w="2432"/>
      </w:tblGrid>
      <w:tr>
        <w:trPr>
          <w:trHeight w:val="330"/>
        </w:trPr>
        <w:tc>
          <w:tcPr>
            <w:tcW w:w="671" w:type="pct"/>
            <w:tcBorders>
              <w:top w:val="nil"/>
              <w:left w:val="nil"/>
              <w:right w:val="single" w:sz="4" w:space="0" w:color="auto"/>
            </w:tcBorders>
            <w:shd w:val="clear" w:color="auto" w:fill="auto"/>
            <w:noWrap/>
            <w:vAlign w:val="center"/>
            <w:hideMark/>
          </w:tcPr>
          <w:p>
            <w:pPr>
              <w:spacing w:after="0"/>
              <w:rPr>
                <w:rFonts w:ascii="Times New Roman" w:hAnsi="Times New Roman" w:cs="Times New Roman"/>
                <w:noProof/>
              </w:rPr>
            </w:pPr>
            <w:r>
              <w:rPr>
                <w:rFonts w:ascii="Times New Roman" w:hAnsi="Times New Roman"/>
                <w:noProof/>
              </w:rPr>
              <w:t> </w:t>
            </w:r>
          </w:p>
        </w:tc>
        <w:tc>
          <w:tcPr>
            <w:tcW w:w="2013" w:type="pct"/>
            <w:gridSpan w:val="3"/>
            <w:tcBorders>
              <w:top w:val="single" w:sz="4" w:space="0" w:color="auto"/>
              <w:left w:val="nil"/>
              <w:bottom w:val="single" w:sz="4" w:space="0" w:color="auto"/>
              <w:right w:val="single" w:sz="4" w:space="0" w:color="auto"/>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bCs/>
                <w:noProof/>
              </w:rPr>
              <w:t>Rok</w:t>
            </w:r>
          </w:p>
        </w:tc>
        <w:tc>
          <w:tcPr>
            <w:tcW w:w="671" w:type="pct"/>
            <w:tcBorders>
              <w:top w:val="single" w:sz="4" w:space="0" w:color="auto"/>
              <w:left w:val="nil"/>
              <w:bottom w:val="single" w:sz="4" w:space="0" w:color="auto"/>
              <w:right w:val="nil"/>
            </w:tcBorders>
            <w:shd w:val="clear" w:color="auto" w:fill="DEEAF6"/>
            <w:noWrap/>
            <w:vAlign w:val="center"/>
            <w:hideMark/>
          </w:tcPr>
          <w:p>
            <w:pPr>
              <w:spacing w:after="0"/>
              <w:jc w:val="center"/>
              <w:rPr>
                <w:rFonts w:ascii="Times New Roman" w:hAnsi="Times New Roman" w:cs="Times New Roman"/>
                <w:b/>
                <w:bCs/>
                <w:noProof/>
              </w:rPr>
            </w:pPr>
          </w:p>
        </w:tc>
        <w:tc>
          <w:tcPr>
            <w:tcW w:w="817"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Podíl na celkovém počtu</w:t>
            </w:r>
            <w:r>
              <w:rPr>
                <w:rFonts w:ascii="Times New Roman" w:hAnsi="Times New Roman"/>
                <w:b/>
                <w:bCs/>
                <w:noProof/>
              </w:rPr>
              <w:br/>
              <w:t>v %</w:t>
            </w:r>
          </w:p>
        </w:tc>
      </w:tr>
      <w:tr>
        <w:trPr>
          <w:trHeight w:val="315"/>
        </w:trPr>
        <w:tc>
          <w:tcPr>
            <w:tcW w:w="671" w:type="pct"/>
            <w:tcBorders>
              <w:top w:val="nil"/>
              <w:bottom w:val="single" w:sz="4" w:space="0" w:color="auto"/>
              <w:right w:val="single" w:sz="4" w:space="0" w:color="auto"/>
            </w:tcBorders>
            <w:shd w:val="clear" w:color="auto" w:fill="auto"/>
            <w:noWrap/>
            <w:vAlign w:val="center"/>
            <w:hideMark/>
          </w:tcPr>
          <w:p>
            <w:pPr>
              <w:spacing w:after="0"/>
              <w:rPr>
                <w:rFonts w:ascii="Times New Roman" w:hAnsi="Times New Roman" w:cs="Times New Roman"/>
                <w:noProof/>
              </w:rPr>
            </w:pPr>
            <w:r>
              <w:rPr>
                <w:rFonts w:ascii="Times New Roman" w:hAnsi="Times New Roman"/>
                <w:noProof/>
              </w:rPr>
              <w:t> </w:t>
            </w:r>
          </w:p>
        </w:tc>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7"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c>
          <w:tcPr>
            <w:tcW w:w="829"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000000" w:fill="DDEBF7"/>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109</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111</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7,77 %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189</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638</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44,68 %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 xml:space="preserve">FI </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238</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629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44,05 %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bCs/>
                <w:noProof/>
              </w:rPr>
              <w:t>Celkem</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162</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416</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341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509</w:t>
            </w:r>
          </w:p>
        </w:tc>
        <w:tc>
          <w:tcPr>
            <w:tcW w:w="817"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1428</w:t>
            </w:r>
          </w:p>
        </w:tc>
        <w:tc>
          <w:tcPr>
            <w:tcW w:w="829"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Žádné statistické údaje nebyly poskytnuty.</w:t>
      </w:r>
    </w:p>
    <w:p>
      <w:pPr>
        <w:rPr>
          <w:rFonts w:ascii="Times New Roman" w:hAnsi="Times New Roman" w:cs="Times New Roman"/>
          <w:noProof/>
        </w:rPr>
      </w:pPr>
      <w:r>
        <w:rPr>
          <w:noProof/>
        </w:rPr>
        <w:br w:type="page"/>
      </w:r>
    </w:p>
    <w:p>
      <w:pPr>
        <w:pStyle w:val="Heading2"/>
        <w:rPr>
          <w:noProof/>
        </w:rPr>
      </w:pPr>
      <w:bookmarkStart w:id="25" w:name="_Toc18568236"/>
      <w:r>
        <w:rPr>
          <w:noProof/>
        </w:rPr>
        <w:t>Tabulka 3. Obecná otevřená povolení v oběhu</w:t>
      </w:r>
      <w:bookmarkEnd w:id="25"/>
      <w:r>
        <w:rPr>
          <w:noProof/>
        </w:rPr>
        <w:t xml:space="preserve"> </w:t>
      </w:r>
    </w:p>
    <w:tbl>
      <w:tblPr>
        <w:tblW w:w="5000" w:type="pct"/>
        <w:tblCellMar>
          <w:left w:w="70" w:type="dxa"/>
          <w:right w:w="70" w:type="dxa"/>
        </w:tblCellMar>
        <w:tblLook w:val="04A0" w:firstRow="1" w:lastRow="0" w:firstColumn="1" w:lastColumn="0" w:noHBand="0" w:noVBand="1"/>
      </w:tblPr>
      <w:tblGrid>
        <w:gridCol w:w="1077"/>
        <w:gridCol w:w="1077"/>
        <w:gridCol w:w="1078"/>
        <w:gridCol w:w="1078"/>
        <w:gridCol w:w="1078"/>
        <w:gridCol w:w="1346"/>
        <w:gridCol w:w="2432"/>
      </w:tblGrid>
      <w:tr>
        <w:trPr>
          <w:trHeight w:val="330"/>
        </w:trPr>
        <w:tc>
          <w:tcPr>
            <w:tcW w:w="671" w:type="pct"/>
            <w:tcBorders>
              <w:top w:val="nil"/>
              <w:left w:val="nil"/>
              <w:bottom w:val="nil"/>
              <w:right w:val="nil"/>
            </w:tcBorders>
            <w:shd w:val="clear" w:color="auto" w:fill="auto"/>
            <w:noWrap/>
            <w:vAlign w:val="center"/>
            <w:hideMark/>
          </w:tcPr>
          <w:p>
            <w:pPr>
              <w:spacing w:after="0"/>
              <w:jc w:val="center"/>
              <w:rPr>
                <w:rFonts w:ascii="Times New Roman" w:hAnsi="Times New Roman" w:cs="Times New Roman"/>
                <w:noProof/>
              </w:rPr>
            </w:pPr>
          </w:p>
        </w:tc>
        <w:tc>
          <w:tcPr>
            <w:tcW w:w="2013" w:type="pct"/>
            <w:gridSpan w:val="3"/>
            <w:tcBorders>
              <w:top w:val="single" w:sz="4" w:space="0" w:color="auto"/>
              <w:left w:val="single" w:sz="4" w:space="0" w:color="auto"/>
              <w:bottom w:val="single" w:sz="4" w:space="0" w:color="auto"/>
              <w:right w:val="nil"/>
            </w:tcBorders>
            <w:shd w:val="clear" w:color="auto" w:fill="DEEAF6"/>
            <w:noWrap/>
            <w:vAlign w:val="center"/>
            <w:hideMark/>
          </w:tcPr>
          <w:p>
            <w:pPr>
              <w:spacing w:after="0"/>
              <w:jc w:val="center"/>
              <w:rPr>
                <w:rFonts w:ascii="Times New Roman" w:hAnsi="Times New Roman" w:cs="Times New Roman"/>
                <w:b/>
                <w:bCs/>
                <w:noProof/>
              </w:rPr>
            </w:pPr>
            <w:r>
              <w:rPr>
                <w:rFonts w:ascii="Times New Roman" w:hAnsi="Times New Roman"/>
                <w:b/>
                <w:bCs/>
                <w:noProof/>
              </w:rPr>
              <w:t>Rok</w:t>
            </w:r>
          </w:p>
        </w:tc>
        <w:tc>
          <w:tcPr>
            <w:tcW w:w="671" w:type="pct"/>
            <w:tcBorders>
              <w:top w:val="single" w:sz="4" w:space="0" w:color="auto"/>
              <w:left w:val="nil"/>
              <w:bottom w:val="single" w:sz="4" w:space="0" w:color="auto"/>
              <w:right w:val="nil"/>
            </w:tcBorders>
            <w:shd w:val="clear" w:color="auto" w:fill="DEEAF6"/>
            <w:noWrap/>
            <w:vAlign w:val="center"/>
            <w:hideMark/>
          </w:tcPr>
          <w:p>
            <w:pPr>
              <w:spacing w:after="0"/>
              <w:jc w:val="center"/>
              <w:rPr>
                <w:rFonts w:ascii="Times New Roman" w:hAnsi="Times New Roman" w:cs="Times New Roman"/>
                <w:noProof/>
              </w:rPr>
            </w:pPr>
          </w:p>
        </w:tc>
        <w:tc>
          <w:tcPr>
            <w:tcW w:w="817"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Podíl na celkovém počtu</w:t>
            </w:r>
            <w:r>
              <w:rPr>
                <w:rFonts w:ascii="Times New Roman" w:hAnsi="Times New Roman"/>
                <w:b/>
                <w:bCs/>
                <w:noProof/>
              </w:rPr>
              <w:br/>
              <w:t>v %</w:t>
            </w:r>
          </w:p>
        </w:tc>
      </w:tr>
      <w:tr>
        <w:trPr>
          <w:trHeight w:val="315"/>
        </w:trPr>
        <w:tc>
          <w:tcPr>
            <w:tcW w:w="671" w:type="pct"/>
            <w:tcBorders>
              <w:top w:val="nil"/>
              <w:left w:val="nil"/>
              <w:bottom w:val="nil"/>
              <w:right w:val="nil"/>
            </w:tcBorders>
            <w:shd w:val="clear" w:color="auto" w:fill="auto"/>
            <w:noWrap/>
            <w:vAlign w:val="center"/>
            <w:hideMark/>
          </w:tcPr>
          <w:p>
            <w:pPr>
              <w:spacing w:after="0"/>
              <w:jc w:val="center"/>
              <w:rPr>
                <w:rFonts w:ascii="Times New Roman" w:hAnsi="Times New Roman" w:cs="Times New Roman"/>
                <w:b/>
                <w:bCs/>
                <w:noProof/>
              </w:rPr>
            </w:pPr>
          </w:p>
        </w:tc>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7"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c>
          <w:tcPr>
            <w:tcW w:w="829" w:type="pct"/>
            <w:vMerge/>
            <w:tcBorders>
              <w:top w:val="double" w:sz="6" w:space="0" w:color="auto"/>
              <w:left w:val="double" w:sz="6" w:space="0" w:color="auto"/>
              <w:bottom w:val="double" w:sz="6" w:space="0" w:color="auto"/>
              <w:right w:val="double" w:sz="6" w:space="0" w:color="auto"/>
            </w:tcBorders>
            <w:vAlign w:val="center"/>
            <w:hideMark/>
          </w:tcPr>
          <w:p>
            <w:pPr>
              <w:spacing w:after="0"/>
              <w:jc w:val="center"/>
              <w:rPr>
                <w:rFonts w:ascii="Times New Roman" w:hAnsi="Times New Roman" w:cs="Times New Roman"/>
                <w:b/>
                <w:bCs/>
                <w:noProof/>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71" w:type="pct"/>
            <w:tcBorders>
              <w:top w:val="nil"/>
              <w:left w:val="nil"/>
              <w:bottom w:val="single" w:sz="4" w:space="0" w:color="auto"/>
              <w:right w:val="single" w:sz="4" w:space="0" w:color="auto"/>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FFFFFF"/>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145</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244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389</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25,92 %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226</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201</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803</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53,50 %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0,33 %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0,13 %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29</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124</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8,26 %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(1)</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141</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9,39 %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Celkem</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236</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278</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451</w:t>
            </w:r>
          </w:p>
        </w:tc>
        <w:tc>
          <w:tcPr>
            <w:tcW w:w="671"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536</w:t>
            </w:r>
          </w:p>
        </w:tc>
        <w:tc>
          <w:tcPr>
            <w:tcW w:w="817"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1 501</w:t>
            </w:r>
          </w:p>
        </w:tc>
        <w:tc>
          <w:tcPr>
            <w:tcW w:w="829" w:type="pct"/>
            <w:tcBorders>
              <w:top w:val="nil"/>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Žádné statistické údaje nebyly poskytnuty.</w:t>
      </w:r>
    </w:p>
    <w:p>
      <w:pPr>
        <w:rPr>
          <w:rFonts w:ascii="Times New Roman" w:hAnsi="Times New Roman" w:cs="Times New Roman"/>
          <w:noProof/>
        </w:rPr>
      </w:pPr>
      <w:r>
        <w:rPr>
          <w:noProof/>
        </w:rPr>
        <w:br w:type="page"/>
      </w:r>
    </w:p>
    <w:p>
      <w:pPr>
        <w:pStyle w:val="Heading2"/>
        <w:rPr>
          <w:noProof/>
        </w:rPr>
      </w:pPr>
      <w:bookmarkStart w:id="26" w:name="_Toc18568237"/>
      <w:r>
        <w:rPr>
          <w:noProof/>
        </w:rPr>
        <w:t>Tabulka 4. Zamítnuté žádosti o standardní povolení</w:t>
      </w:r>
      <w:bookmarkEnd w:id="26"/>
    </w:p>
    <w:tbl>
      <w:tblPr>
        <w:tblW w:w="5000" w:type="pct"/>
        <w:tblCellMar>
          <w:left w:w="70" w:type="dxa"/>
          <w:right w:w="70" w:type="dxa"/>
        </w:tblCellMar>
        <w:tblLook w:val="04A0" w:firstRow="1" w:lastRow="0" w:firstColumn="1" w:lastColumn="0" w:noHBand="0" w:noVBand="1"/>
      </w:tblPr>
      <w:tblGrid>
        <w:gridCol w:w="1077"/>
        <w:gridCol w:w="1077"/>
        <w:gridCol w:w="1078"/>
        <w:gridCol w:w="1078"/>
        <w:gridCol w:w="1078"/>
        <w:gridCol w:w="1346"/>
        <w:gridCol w:w="2432"/>
      </w:tblGrid>
      <w:tr>
        <w:trPr>
          <w:trHeight w:val="315"/>
        </w:trPr>
        <w:tc>
          <w:tcPr>
            <w:tcW w:w="671" w:type="pct"/>
            <w:tcBorders>
              <w:top w:val="nil"/>
              <w:left w:val="nil"/>
              <w:bottom w:val="nil"/>
              <w:right w:val="nil"/>
            </w:tcBorders>
            <w:shd w:val="clear" w:color="auto" w:fill="auto"/>
            <w:noWrap/>
            <w:vAlign w:val="center"/>
            <w:hideMark/>
          </w:tcPr>
          <w:p>
            <w:pPr>
              <w:spacing w:after="0"/>
              <w:rPr>
                <w:rFonts w:ascii="Times New Roman" w:hAnsi="Times New Roman" w:cs="Times New Roman"/>
                <w:noProof/>
              </w:rPr>
            </w:pPr>
          </w:p>
        </w:tc>
        <w:tc>
          <w:tcPr>
            <w:tcW w:w="2013" w:type="pct"/>
            <w:gridSpan w:val="3"/>
            <w:tcBorders>
              <w:top w:val="single" w:sz="4" w:space="0" w:color="auto"/>
              <w:left w:val="single" w:sz="4" w:space="0" w:color="auto"/>
              <w:bottom w:val="single" w:sz="4" w:space="0" w:color="auto"/>
              <w:right w:val="nil"/>
            </w:tcBorders>
            <w:shd w:val="clear" w:color="auto" w:fill="DEEAF6"/>
            <w:noWrap/>
            <w:vAlign w:val="center"/>
            <w:hideMark/>
          </w:tcPr>
          <w:p>
            <w:pPr>
              <w:spacing w:after="0"/>
              <w:jc w:val="center"/>
              <w:rPr>
                <w:rFonts w:ascii="Times New Roman" w:hAnsi="Times New Roman" w:cs="Times New Roman"/>
                <w:b/>
                <w:noProof/>
              </w:rPr>
            </w:pPr>
            <w:r>
              <w:rPr>
                <w:rFonts w:ascii="Times New Roman" w:hAnsi="Times New Roman"/>
                <w:b/>
                <w:noProof/>
              </w:rPr>
              <w:t>Rok</w:t>
            </w:r>
          </w:p>
        </w:tc>
        <w:tc>
          <w:tcPr>
            <w:tcW w:w="671" w:type="pct"/>
            <w:tcBorders>
              <w:top w:val="single" w:sz="4" w:space="0" w:color="auto"/>
              <w:left w:val="nil"/>
              <w:bottom w:val="single" w:sz="4" w:space="0" w:color="auto"/>
              <w:right w:val="double" w:sz="4" w:space="0" w:color="auto"/>
            </w:tcBorders>
            <w:shd w:val="clear" w:color="auto" w:fill="DEEAF6"/>
            <w:noWrap/>
            <w:vAlign w:val="center"/>
            <w:hideMark/>
          </w:tcPr>
          <w:p>
            <w:pPr>
              <w:spacing w:after="0"/>
              <w:jc w:val="center"/>
              <w:rPr>
                <w:rFonts w:ascii="Times New Roman" w:hAnsi="Times New Roman" w:cs="Times New Roman"/>
                <w:noProof/>
              </w:rPr>
            </w:pPr>
          </w:p>
        </w:tc>
        <w:tc>
          <w:tcPr>
            <w:tcW w:w="817" w:type="pct"/>
            <w:vMerge w:val="restart"/>
            <w:tcBorders>
              <w:top w:val="double" w:sz="4" w:space="0" w:color="auto"/>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29" w:type="pct"/>
            <w:vMerge w:val="restart"/>
            <w:tcBorders>
              <w:top w:val="double" w:sz="4" w:space="0" w:color="auto"/>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Podíl na celkovém počtu</w:t>
            </w:r>
            <w:r>
              <w:rPr>
                <w:rFonts w:ascii="Times New Roman" w:hAnsi="Times New Roman"/>
                <w:b/>
                <w:bCs/>
                <w:noProof/>
              </w:rPr>
              <w:br/>
              <w:t>v %</w:t>
            </w:r>
          </w:p>
        </w:tc>
      </w:tr>
      <w:tr>
        <w:trPr>
          <w:trHeight w:val="315"/>
        </w:trPr>
        <w:tc>
          <w:tcPr>
            <w:tcW w:w="671" w:type="pct"/>
            <w:tcBorders>
              <w:top w:val="nil"/>
              <w:left w:val="nil"/>
              <w:bottom w:val="nil"/>
              <w:right w:val="nil"/>
            </w:tcBorders>
            <w:shd w:val="clear" w:color="auto" w:fill="auto"/>
            <w:noWrap/>
            <w:vAlign w:val="center"/>
            <w:hideMark/>
          </w:tcPr>
          <w:p>
            <w:pPr>
              <w:spacing w:after="0"/>
              <w:rPr>
                <w:rFonts w:ascii="Times New Roman" w:hAnsi="Times New Roman" w:cs="Times New Roman"/>
                <w:b/>
                <w:bCs/>
                <w:noProof/>
              </w:rPr>
            </w:pPr>
          </w:p>
        </w:tc>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2016</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7" w:type="pct"/>
            <w:vMerge/>
            <w:tcBorders>
              <w:top w:val="double" w:sz="4" w:space="0" w:color="auto"/>
              <w:left w:val="double" w:sz="4" w:space="0" w:color="auto"/>
              <w:bottom w:val="double" w:sz="4" w:space="0" w:color="auto"/>
              <w:right w:val="double" w:sz="4" w:space="0" w:color="auto"/>
            </w:tcBorders>
            <w:vAlign w:val="center"/>
            <w:hideMark/>
          </w:tcPr>
          <w:p>
            <w:pPr>
              <w:spacing w:after="0"/>
              <w:rPr>
                <w:rFonts w:ascii="Times New Roman" w:hAnsi="Times New Roman" w:cs="Times New Roman"/>
                <w:b/>
                <w:bCs/>
                <w:noProof/>
              </w:rPr>
            </w:pPr>
          </w:p>
        </w:tc>
        <w:tc>
          <w:tcPr>
            <w:tcW w:w="829" w:type="pct"/>
            <w:vMerge/>
            <w:tcBorders>
              <w:top w:val="double" w:sz="4" w:space="0" w:color="auto"/>
              <w:left w:val="double" w:sz="4" w:space="0" w:color="auto"/>
              <w:bottom w:val="double" w:sz="4" w:space="0" w:color="auto"/>
              <w:right w:val="double" w:sz="4" w:space="0" w:color="auto"/>
            </w:tcBorders>
            <w:vAlign w:val="center"/>
            <w:hideMark/>
          </w:tcPr>
          <w:p>
            <w:pPr>
              <w:spacing w:after="0"/>
              <w:rPr>
                <w:rFonts w:ascii="Times New Roman" w:hAnsi="Times New Roman" w:cs="Times New Roman"/>
                <w:b/>
                <w:bCs/>
                <w:noProof/>
              </w:rPr>
            </w:pPr>
          </w:p>
        </w:tc>
      </w:tr>
      <w:tr>
        <w:trPr>
          <w:trHeight w:val="315"/>
        </w:trPr>
        <w:tc>
          <w:tcPr>
            <w:tcW w:w="67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BE (1)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double" w:sz="4" w:space="0" w:color="auto"/>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BG</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CZ</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DK (3)</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DE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ES</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58</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37,12 %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HR</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IT (2)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75</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87</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212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45,49 %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CY</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LV</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1,07 %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LU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HU</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0,64 %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MT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1,29 %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NL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AT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0,43 %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PL</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PT</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RO (3)</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FI</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0,64 %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SE</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0,21 %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noProof/>
              </w:rPr>
            </w:pPr>
            <w:r>
              <w:rPr>
                <w:rFonts w:ascii="Times New Roman" w:hAnsi="Times New Roman"/>
                <w:noProof/>
              </w:rPr>
              <w:t>UK</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13</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17</w:t>
            </w:r>
          </w:p>
        </w:tc>
        <w:tc>
          <w:tcPr>
            <w:tcW w:w="671"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671" w:type="pct"/>
            <w:tcBorders>
              <w:top w:val="nil"/>
              <w:left w:val="nil"/>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817"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52</w:t>
            </w:r>
          </w:p>
        </w:tc>
        <w:tc>
          <w:tcPr>
            <w:tcW w:w="829" w:type="pct"/>
            <w:tcBorders>
              <w:top w:val="nil"/>
              <w:left w:val="double" w:sz="4" w:space="0" w:color="auto"/>
              <w:bottom w:val="single" w:sz="4" w:space="0" w:color="auto"/>
              <w:right w:val="doub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11,16 %</w:t>
            </w:r>
          </w:p>
        </w:tc>
      </w:tr>
      <w:tr>
        <w:trPr>
          <w:trHeight w:val="315"/>
        </w:trPr>
        <w:tc>
          <w:tcPr>
            <w:tcW w:w="671" w:type="pct"/>
            <w:tcBorders>
              <w:top w:val="nil"/>
              <w:left w:val="single" w:sz="4" w:space="0" w:color="auto"/>
              <w:bottom w:val="single" w:sz="4" w:space="0" w:color="auto"/>
              <w:right w:val="single" w:sz="4" w:space="0" w:color="auto"/>
            </w:tcBorders>
            <w:shd w:val="clear" w:color="000000" w:fill="DDEBF7"/>
            <w:noWrap/>
            <w:vAlign w:val="center"/>
            <w:hideMark/>
          </w:tcPr>
          <w:p>
            <w:pPr>
              <w:spacing w:after="0"/>
              <w:rPr>
                <w:rFonts w:ascii="Times New Roman" w:hAnsi="Times New Roman" w:cs="Times New Roman"/>
                <w:b/>
                <w:bCs/>
                <w:noProof/>
              </w:rPr>
            </w:pPr>
            <w:r>
              <w:rPr>
                <w:rFonts w:ascii="Times New Roman" w:hAnsi="Times New Roman"/>
                <w:b/>
                <w:bCs/>
                <w:noProof/>
              </w:rPr>
              <w:t>Celkem</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165</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129</w:t>
            </w:r>
          </w:p>
        </w:tc>
        <w:tc>
          <w:tcPr>
            <w:tcW w:w="671"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146</w:t>
            </w:r>
          </w:p>
        </w:tc>
        <w:tc>
          <w:tcPr>
            <w:tcW w:w="671" w:type="pct"/>
            <w:tcBorders>
              <w:top w:val="nil"/>
              <w:left w:val="nil"/>
              <w:bottom w:val="sing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26</w:t>
            </w:r>
          </w:p>
        </w:tc>
        <w:tc>
          <w:tcPr>
            <w:tcW w:w="817" w:type="pct"/>
            <w:tcBorders>
              <w:top w:val="nil"/>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466</w:t>
            </w:r>
          </w:p>
        </w:tc>
        <w:tc>
          <w:tcPr>
            <w:tcW w:w="829" w:type="pct"/>
            <w:tcBorders>
              <w:top w:val="nil"/>
              <w:left w:val="double" w:sz="4" w:space="0" w:color="auto"/>
              <w:bottom w:val="double" w:sz="4" w:space="0" w:color="auto"/>
              <w:right w:val="double" w:sz="4"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Údaje z let 2014, 2015 a 2016 nejsou k dispozici.</w:t>
      </w:r>
    </w:p>
    <w:p>
      <w:pPr>
        <w:spacing w:after="0"/>
        <w:rPr>
          <w:rFonts w:ascii="Times New Roman" w:hAnsi="Times New Roman" w:cs="Times New Roman"/>
          <w:noProof/>
        </w:rPr>
      </w:pPr>
      <w:r>
        <w:rPr>
          <w:rFonts w:ascii="Times New Roman" w:hAnsi="Times New Roman"/>
          <w:noProof/>
        </w:rPr>
        <w:t>(2) Zamítnutí povolení k propuštění do volného oběhu.</w:t>
      </w:r>
    </w:p>
    <w:p>
      <w:pPr>
        <w:rPr>
          <w:rFonts w:ascii="Times New Roman" w:hAnsi="Times New Roman" w:cs="Times New Roman"/>
          <w:noProof/>
        </w:rPr>
      </w:pPr>
      <w:r>
        <w:rPr>
          <w:rFonts w:ascii="Times New Roman" w:hAnsi="Times New Roman"/>
          <w:noProof/>
        </w:rPr>
        <w:t>(3) Žádné statistické údaje nebyly poskytnuty.</w:t>
      </w:r>
    </w:p>
    <w:p>
      <w:pPr>
        <w:rPr>
          <w:rFonts w:ascii="Times New Roman" w:hAnsi="Times New Roman" w:cs="Times New Roman"/>
          <w:noProof/>
        </w:rPr>
      </w:pPr>
      <w:r>
        <w:rPr>
          <w:noProof/>
        </w:rPr>
        <w:br w:type="page"/>
      </w:r>
    </w:p>
    <w:p>
      <w:pPr>
        <w:pStyle w:val="Heading2"/>
        <w:rPr>
          <w:noProof/>
        </w:rPr>
      </w:pPr>
      <w:bookmarkStart w:id="27" w:name="_Toc18568238"/>
      <w:r>
        <w:rPr>
          <w:noProof/>
        </w:rPr>
        <w:t>Tabulka 5. Zjištěné zásilky v rozporu s pravidly</w:t>
      </w:r>
      <w:bookmarkEnd w:id="27"/>
    </w:p>
    <w:tbl>
      <w:tblPr>
        <w:tblW w:w="5000" w:type="pct"/>
        <w:tblCellMar>
          <w:left w:w="70" w:type="dxa"/>
          <w:right w:w="70" w:type="dxa"/>
        </w:tblCellMar>
        <w:tblLook w:val="04A0" w:firstRow="1" w:lastRow="0" w:firstColumn="1" w:lastColumn="0" w:noHBand="0" w:noVBand="1"/>
      </w:tblPr>
      <w:tblGrid>
        <w:gridCol w:w="1279"/>
        <w:gridCol w:w="1227"/>
        <w:gridCol w:w="1227"/>
        <w:gridCol w:w="1226"/>
        <w:gridCol w:w="1226"/>
        <w:gridCol w:w="1492"/>
        <w:gridCol w:w="1489"/>
      </w:tblGrid>
      <w:tr>
        <w:trPr>
          <w:trHeight w:val="315"/>
        </w:trPr>
        <w:tc>
          <w:tcPr>
            <w:tcW w:w="697" w:type="pct"/>
            <w:tcBorders>
              <w:top w:val="nil"/>
              <w:left w:val="nil"/>
              <w:bottom w:val="nil"/>
              <w:right w:val="nil"/>
            </w:tcBorders>
            <w:shd w:val="clear" w:color="auto" w:fill="auto"/>
            <w:noWrap/>
            <w:vAlign w:val="bottom"/>
            <w:hideMark/>
          </w:tcPr>
          <w:p>
            <w:pPr>
              <w:spacing w:after="0"/>
              <w:rPr>
                <w:rFonts w:ascii="Times New Roman" w:hAnsi="Times New Roman" w:cs="Times New Roman"/>
                <w:noProof/>
              </w:rPr>
            </w:pPr>
          </w:p>
        </w:tc>
        <w:tc>
          <w:tcPr>
            <w:tcW w:w="2007" w:type="pct"/>
            <w:gridSpan w:val="3"/>
            <w:tcBorders>
              <w:top w:val="single" w:sz="4" w:space="0" w:color="auto"/>
              <w:left w:val="single" w:sz="4" w:space="0" w:color="auto"/>
              <w:bottom w:val="single" w:sz="4" w:space="0" w:color="auto"/>
              <w:right w:val="nil"/>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Rok</w:t>
            </w:r>
          </w:p>
        </w:tc>
        <w:tc>
          <w:tcPr>
            <w:tcW w:w="669" w:type="pct"/>
            <w:tcBorders>
              <w:top w:val="single" w:sz="4" w:space="0" w:color="auto"/>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vMerge w:val="restart"/>
            <w:tcBorders>
              <w:top w:val="double" w:sz="6" w:space="0" w:color="auto"/>
              <w:left w:val="double" w:sz="6" w:space="0" w:color="auto"/>
              <w:bottom w:val="double" w:sz="6" w:space="0" w:color="auto"/>
              <w:right w:val="double" w:sz="6" w:space="0" w:color="auto"/>
            </w:tcBorders>
            <w:shd w:val="clear" w:color="000000" w:fill="DDEBF7"/>
            <w:noWrap/>
            <w:vAlign w:val="center"/>
            <w:hideMark/>
          </w:tcPr>
          <w:p>
            <w:pPr>
              <w:spacing w:after="0"/>
              <w:jc w:val="center"/>
              <w:rPr>
                <w:rFonts w:ascii="Times New Roman" w:hAnsi="Times New Roman" w:cs="Times New Roman"/>
                <w:b/>
                <w:bCs/>
                <w:noProof/>
              </w:rPr>
            </w:pPr>
            <w:r>
              <w:rPr>
                <w:rFonts w:ascii="Times New Roman" w:hAnsi="Times New Roman"/>
                <w:b/>
                <w:bCs/>
                <w:noProof/>
              </w:rPr>
              <w:t>2014–2017</w:t>
            </w:r>
          </w:p>
        </w:tc>
        <w:tc>
          <w:tcPr>
            <w:tcW w:w="812" w:type="pct"/>
            <w:vMerge w:val="restart"/>
            <w:tcBorders>
              <w:top w:val="double" w:sz="6" w:space="0" w:color="auto"/>
              <w:left w:val="double" w:sz="6" w:space="0" w:color="auto"/>
              <w:bottom w:val="double" w:sz="6" w:space="0" w:color="auto"/>
              <w:right w:val="double" w:sz="6" w:space="0" w:color="auto"/>
            </w:tcBorders>
            <w:shd w:val="clear" w:color="000000" w:fill="DDEBF7"/>
            <w:vAlign w:val="center"/>
            <w:hideMark/>
          </w:tcPr>
          <w:p>
            <w:pPr>
              <w:spacing w:after="0"/>
              <w:jc w:val="center"/>
              <w:rPr>
                <w:rFonts w:ascii="Times New Roman" w:hAnsi="Times New Roman" w:cs="Times New Roman"/>
                <w:b/>
                <w:bCs/>
                <w:noProof/>
              </w:rPr>
            </w:pPr>
            <w:r>
              <w:rPr>
                <w:rFonts w:ascii="Times New Roman" w:hAnsi="Times New Roman"/>
                <w:b/>
                <w:bCs/>
                <w:noProof/>
              </w:rPr>
              <w:t>Podíl na celkovém počtu (v %)</w:t>
            </w:r>
          </w:p>
        </w:tc>
      </w:tr>
      <w:tr>
        <w:trPr>
          <w:trHeight w:val="380"/>
        </w:trPr>
        <w:tc>
          <w:tcPr>
            <w:tcW w:w="697" w:type="pct"/>
            <w:tcBorders>
              <w:top w:val="nil"/>
              <w:left w:val="nil"/>
              <w:bottom w:val="nil"/>
              <w:right w:val="nil"/>
            </w:tcBorders>
            <w:shd w:val="clear" w:color="auto" w:fill="auto"/>
            <w:noWrap/>
            <w:vAlign w:val="bottom"/>
            <w:hideMark/>
          </w:tcPr>
          <w:p>
            <w:pPr>
              <w:spacing w:after="0"/>
              <w:rPr>
                <w:rFonts w:ascii="Times New Roman" w:hAnsi="Times New Roman" w:cs="Times New Roman"/>
                <w:b/>
                <w:bCs/>
                <w:noProof/>
              </w:rPr>
            </w:pPr>
          </w:p>
        </w:tc>
        <w:tc>
          <w:tcPr>
            <w:tcW w:w="669"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2014</w:t>
            </w:r>
          </w:p>
        </w:tc>
        <w:tc>
          <w:tcPr>
            <w:tcW w:w="669" w:type="pct"/>
            <w:tcBorders>
              <w:top w:val="nil"/>
              <w:left w:val="nil"/>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2015</w:t>
            </w:r>
          </w:p>
        </w:tc>
        <w:tc>
          <w:tcPr>
            <w:tcW w:w="669" w:type="pct"/>
            <w:tcBorders>
              <w:top w:val="nil"/>
              <w:left w:val="nil"/>
              <w:bottom w:val="single" w:sz="4" w:space="0" w:color="auto"/>
              <w:right w:val="single" w:sz="4" w:space="0" w:color="auto"/>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2016</w:t>
            </w:r>
          </w:p>
        </w:tc>
        <w:tc>
          <w:tcPr>
            <w:tcW w:w="669" w:type="pct"/>
            <w:tcBorders>
              <w:top w:val="nil"/>
              <w:left w:val="nil"/>
              <w:bottom w:val="single" w:sz="4" w:space="0" w:color="auto"/>
              <w:right w:val="nil"/>
            </w:tcBorders>
            <w:shd w:val="clear" w:color="000000" w:fill="DDEBF7"/>
            <w:noWrap/>
            <w:vAlign w:val="bottom"/>
            <w:hideMark/>
          </w:tcPr>
          <w:p>
            <w:pPr>
              <w:spacing w:after="0"/>
              <w:jc w:val="center"/>
              <w:rPr>
                <w:rFonts w:ascii="Times New Roman" w:hAnsi="Times New Roman" w:cs="Times New Roman"/>
                <w:b/>
                <w:bCs/>
                <w:noProof/>
              </w:rPr>
            </w:pPr>
            <w:r>
              <w:rPr>
                <w:rFonts w:ascii="Times New Roman" w:hAnsi="Times New Roman"/>
                <w:b/>
                <w:bCs/>
                <w:noProof/>
              </w:rPr>
              <w:t>2017</w:t>
            </w:r>
          </w:p>
        </w:tc>
        <w:tc>
          <w:tcPr>
            <w:tcW w:w="814" w:type="pct"/>
            <w:vMerge/>
            <w:tcBorders>
              <w:top w:val="double" w:sz="6" w:space="0" w:color="auto"/>
              <w:left w:val="double" w:sz="6" w:space="0" w:color="auto"/>
              <w:bottom w:val="double" w:sz="6" w:space="0" w:color="auto"/>
              <w:right w:val="double" w:sz="6" w:space="0" w:color="auto"/>
            </w:tcBorders>
            <w:vAlign w:val="center"/>
            <w:hideMark/>
          </w:tcPr>
          <w:p>
            <w:pPr>
              <w:spacing w:after="0"/>
              <w:rPr>
                <w:rFonts w:ascii="Times New Roman" w:hAnsi="Times New Roman" w:cs="Times New Roman"/>
                <w:b/>
                <w:bCs/>
                <w:noProof/>
              </w:rPr>
            </w:pPr>
          </w:p>
        </w:tc>
        <w:tc>
          <w:tcPr>
            <w:tcW w:w="812" w:type="pct"/>
            <w:vMerge/>
            <w:tcBorders>
              <w:top w:val="double" w:sz="6" w:space="0" w:color="auto"/>
              <w:left w:val="double" w:sz="6" w:space="0" w:color="auto"/>
              <w:bottom w:val="double" w:sz="6" w:space="0" w:color="auto"/>
              <w:right w:val="double" w:sz="6" w:space="0" w:color="auto"/>
            </w:tcBorders>
            <w:vAlign w:val="center"/>
            <w:hideMark/>
          </w:tcPr>
          <w:p>
            <w:pPr>
              <w:spacing w:after="0"/>
              <w:rPr>
                <w:rFonts w:ascii="Times New Roman" w:hAnsi="Times New Roman" w:cs="Times New Roman"/>
                <w:b/>
                <w:bCs/>
                <w:noProof/>
              </w:rPr>
            </w:pPr>
          </w:p>
        </w:tc>
      </w:tr>
      <w:tr>
        <w:trPr>
          <w:trHeight w:val="300"/>
        </w:trPr>
        <w:tc>
          <w:tcPr>
            <w:tcW w:w="697"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BE (1)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BG</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CZ</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1,21 %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DK (2)</w:t>
            </w: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DE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IE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ES</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 xml:space="preserve">FR </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HR</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IT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9</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5</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19</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11,52 %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CY</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LV</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LU</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HU</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64</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38</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16</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118</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71,52 %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MT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2</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3,64 %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NL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AT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3</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1,82 %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PL</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PT</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RO (2)</w:t>
            </w: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single" w:sz="4" w:space="0" w:color="auto"/>
            </w:tcBorders>
            <w:shd w:val="clear" w:color="000000" w:fill="DDEBF7"/>
            <w:noWrap/>
            <w:vAlign w:val="center"/>
            <w:hideMark/>
          </w:tcPr>
          <w:p>
            <w:pPr>
              <w:spacing w:after="0"/>
              <w:jc w:val="center"/>
              <w:rPr>
                <w:rFonts w:ascii="Times New Roman" w:hAnsi="Times New Roman" w:cs="Times New Roman"/>
                <w:noProof/>
              </w:rPr>
            </w:pP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SI</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SK</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000000" w:fill="DDEBF7"/>
            <w:noWrap/>
            <w:vAlign w:val="center"/>
            <w:hideMark/>
          </w:tcPr>
          <w:p>
            <w:pPr>
              <w:spacing w:after="0"/>
              <w:jc w:val="center"/>
              <w:rPr>
                <w:rFonts w:ascii="Times New Roman" w:hAnsi="Times New Roman" w:cs="Times New Roman"/>
                <w:noProof/>
              </w:rPr>
            </w:pP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FI</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4</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11</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6,67 %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SE</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00"/>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noProof/>
              </w:rPr>
            </w:pPr>
            <w:r>
              <w:rPr>
                <w:rFonts w:ascii="Times New Roman" w:hAnsi="Times New Roman"/>
                <w:noProof/>
              </w:rPr>
              <w:t>UK</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4"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w:t>
            </w:r>
          </w:p>
        </w:tc>
        <w:tc>
          <w:tcPr>
            <w:tcW w:w="812" w:type="pct"/>
            <w:tcBorders>
              <w:top w:val="nil"/>
              <w:left w:val="double" w:sz="6" w:space="0" w:color="auto"/>
              <w:bottom w:val="single" w:sz="4" w:space="0" w:color="auto"/>
              <w:right w:val="double" w:sz="6" w:space="0" w:color="auto"/>
            </w:tcBorders>
            <w:shd w:val="clear" w:color="auto" w:fill="auto"/>
            <w:noWrap/>
            <w:vAlign w:val="center"/>
            <w:hideMark/>
          </w:tcPr>
          <w:p>
            <w:pPr>
              <w:spacing w:after="0"/>
              <w:jc w:val="center"/>
              <w:rPr>
                <w:rFonts w:ascii="Times New Roman" w:hAnsi="Times New Roman" w:cs="Times New Roman"/>
                <w:noProof/>
              </w:rPr>
            </w:pPr>
            <w:r>
              <w:rPr>
                <w:rFonts w:ascii="Times New Roman" w:hAnsi="Times New Roman"/>
                <w:noProof/>
              </w:rPr>
              <w:t>0,00 %</w:t>
            </w:r>
          </w:p>
        </w:tc>
      </w:tr>
      <w:tr>
        <w:trPr>
          <w:trHeight w:val="315"/>
        </w:trPr>
        <w:tc>
          <w:tcPr>
            <w:tcW w:w="697" w:type="pct"/>
            <w:tcBorders>
              <w:top w:val="nil"/>
              <w:left w:val="single" w:sz="4" w:space="0" w:color="auto"/>
              <w:bottom w:val="single" w:sz="4" w:space="0" w:color="auto"/>
              <w:right w:val="single" w:sz="4" w:space="0" w:color="auto"/>
            </w:tcBorders>
            <w:shd w:val="clear" w:color="000000" w:fill="DDEBF7"/>
            <w:noWrap/>
            <w:vAlign w:val="bottom"/>
            <w:hideMark/>
          </w:tcPr>
          <w:p>
            <w:pPr>
              <w:spacing w:after="0"/>
              <w:rPr>
                <w:rFonts w:ascii="Times New Roman" w:hAnsi="Times New Roman" w:cs="Times New Roman"/>
                <w:b/>
                <w:bCs/>
                <w:noProof/>
              </w:rPr>
            </w:pPr>
            <w:r>
              <w:rPr>
                <w:rFonts w:ascii="Times New Roman" w:hAnsi="Times New Roman"/>
                <w:b/>
                <w:bCs/>
                <w:noProof/>
              </w:rPr>
              <w:t>Celkem</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77</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49</w:t>
            </w:r>
          </w:p>
        </w:tc>
        <w:tc>
          <w:tcPr>
            <w:tcW w:w="669" w:type="pct"/>
            <w:tcBorders>
              <w:top w:val="nil"/>
              <w:left w:val="nil"/>
              <w:bottom w:val="single" w:sz="4" w:space="0" w:color="auto"/>
              <w:right w:val="single" w:sz="4"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25</w:t>
            </w:r>
          </w:p>
        </w:tc>
        <w:tc>
          <w:tcPr>
            <w:tcW w:w="669" w:type="pct"/>
            <w:tcBorders>
              <w:top w:val="nil"/>
              <w:left w:val="nil"/>
              <w:bottom w:val="single" w:sz="4" w:space="0" w:color="auto"/>
              <w:right w:val="nil"/>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14</w:t>
            </w:r>
          </w:p>
        </w:tc>
        <w:tc>
          <w:tcPr>
            <w:tcW w:w="814" w:type="pct"/>
            <w:tcBorders>
              <w:top w:val="nil"/>
              <w:left w:val="double" w:sz="6" w:space="0" w:color="auto"/>
              <w:bottom w:val="double" w:sz="6" w:space="0" w:color="auto"/>
              <w:right w:val="double" w:sz="6"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165</w:t>
            </w:r>
          </w:p>
        </w:tc>
        <w:tc>
          <w:tcPr>
            <w:tcW w:w="812" w:type="pct"/>
            <w:tcBorders>
              <w:top w:val="nil"/>
              <w:left w:val="double" w:sz="6" w:space="0" w:color="auto"/>
              <w:bottom w:val="double" w:sz="6" w:space="0" w:color="auto"/>
              <w:right w:val="double" w:sz="6" w:space="0" w:color="auto"/>
            </w:tcBorders>
            <w:shd w:val="clear" w:color="auto" w:fill="auto"/>
            <w:noWrap/>
            <w:vAlign w:val="center"/>
            <w:hideMark/>
          </w:tcPr>
          <w:p>
            <w:pPr>
              <w:spacing w:after="0"/>
              <w:jc w:val="center"/>
              <w:rPr>
                <w:rFonts w:ascii="Times New Roman" w:hAnsi="Times New Roman" w:cs="Times New Roman"/>
                <w:b/>
                <w:bCs/>
                <w:noProof/>
              </w:rPr>
            </w:pPr>
            <w:r>
              <w:rPr>
                <w:rFonts w:ascii="Times New Roman" w:hAnsi="Times New Roman"/>
                <w:b/>
                <w:bCs/>
                <w:noProof/>
              </w:rPr>
              <w:t>100,00 %</w:t>
            </w:r>
          </w:p>
        </w:tc>
      </w:tr>
    </w:tbl>
    <w:p>
      <w:pPr>
        <w:spacing w:before="240" w:after="0"/>
        <w:rPr>
          <w:rFonts w:ascii="Times New Roman" w:hAnsi="Times New Roman" w:cs="Times New Roman"/>
          <w:noProof/>
        </w:rPr>
      </w:pPr>
      <w:r>
        <w:rPr>
          <w:rFonts w:ascii="Times New Roman" w:hAnsi="Times New Roman"/>
          <w:noProof/>
        </w:rPr>
        <w:t>(1) Údaje z roku 2014 nejsou k dispozici. 2015 a 2016.</w:t>
      </w:r>
    </w:p>
    <w:p>
      <w:pPr>
        <w:rPr>
          <w:rFonts w:ascii="Times New Roman" w:hAnsi="Times New Roman" w:cs="Times New Roman"/>
          <w:noProof/>
        </w:rPr>
      </w:pPr>
      <w:r>
        <w:rPr>
          <w:rFonts w:ascii="Times New Roman" w:hAnsi="Times New Roman"/>
          <w:noProof/>
        </w:rPr>
        <w:t>(2) Žádné statistické údaje nebyly poskytnuty.</w:t>
      </w:r>
    </w:p>
    <w:p>
      <w:pPr>
        <w:rPr>
          <w:rFonts w:ascii="Times New Roman" w:hAnsi="Times New Roman" w:cs="Times New Roman"/>
          <w:noProof/>
        </w:rPr>
      </w:pPr>
      <w:r>
        <w:rPr>
          <w:noProof/>
        </w:rPr>
        <w:br w:type="page"/>
      </w:r>
    </w:p>
    <w:p>
      <w:pPr>
        <w:pStyle w:val="Heading2"/>
        <w:rPr>
          <w:noProof/>
        </w:rPr>
      </w:pPr>
      <w:bookmarkStart w:id="28" w:name="_Toc18568239"/>
      <w:r>
        <w:rPr>
          <w:noProof/>
        </w:rPr>
        <w:t>Tabulka 6. Standardní povolení vydaná členskými státy ve srovnání se zamítnutými standardními povoleními a zjištěnými zásilkami v rozporu s pravidly</w:t>
      </w:r>
      <w:bookmarkEnd w:id="28"/>
      <w:r>
        <w:rPr>
          <w:noProof/>
        </w:rPr>
        <w:t xml:space="preserve"> </w:t>
      </w:r>
    </w:p>
    <w:tbl>
      <w:tblPr>
        <w:tblW w:w="875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0070C0"/>
        <w:tblLayout w:type="fixed"/>
        <w:tblLook w:val="04A0" w:firstRow="1" w:lastRow="0" w:firstColumn="1" w:lastColumn="0" w:noHBand="0" w:noVBand="1"/>
      </w:tblPr>
      <w:tblGrid>
        <w:gridCol w:w="4219"/>
        <w:gridCol w:w="1134"/>
        <w:gridCol w:w="1134"/>
        <w:gridCol w:w="1134"/>
        <w:gridCol w:w="1134"/>
      </w:tblGrid>
      <w:tr>
        <w:tc>
          <w:tcPr>
            <w:tcW w:w="4219" w:type="dxa"/>
            <w:shd w:val="clear" w:color="auto" w:fill="0070C0"/>
            <w:vAlign w:val="center"/>
          </w:tcPr>
          <w:p>
            <w:pPr>
              <w:spacing w:before="120" w:after="120"/>
              <w:rPr>
                <w:rFonts w:ascii="Times New Roman" w:hAnsi="Times New Roman" w:cs="Times New Roman"/>
                <w:b/>
                <w:bCs/>
                <w:noProof/>
                <w:sz w:val="24"/>
              </w:rPr>
            </w:pPr>
          </w:p>
        </w:tc>
        <w:tc>
          <w:tcPr>
            <w:tcW w:w="2268" w:type="dxa"/>
            <w:gridSpan w:val="2"/>
            <w:shd w:val="clear" w:color="auto" w:fill="0070C0"/>
            <w:vAlign w:val="center"/>
          </w:tcPr>
          <w:p>
            <w:pPr>
              <w:spacing w:before="120" w:after="120"/>
              <w:rPr>
                <w:rFonts w:ascii="Times New Roman" w:hAnsi="Times New Roman" w:cs="Times New Roman"/>
                <w:b/>
                <w:bCs/>
                <w:noProof/>
                <w:sz w:val="24"/>
              </w:rPr>
            </w:pPr>
            <w:r>
              <w:rPr>
                <w:rFonts w:ascii="Times New Roman" w:hAnsi="Times New Roman"/>
                <w:b/>
                <w:bCs/>
                <w:noProof/>
              </w:rPr>
              <w:t>2011–2013</w:t>
            </w:r>
          </w:p>
        </w:tc>
        <w:tc>
          <w:tcPr>
            <w:tcW w:w="2268" w:type="dxa"/>
            <w:gridSpan w:val="2"/>
            <w:shd w:val="clear" w:color="auto" w:fill="0070C0"/>
            <w:vAlign w:val="center"/>
          </w:tcPr>
          <w:p>
            <w:pPr>
              <w:spacing w:before="120" w:after="120"/>
              <w:rPr>
                <w:rFonts w:ascii="Times New Roman" w:hAnsi="Times New Roman" w:cs="Times New Roman"/>
                <w:b/>
                <w:bCs/>
                <w:noProof/>
                <w:sz w:val="24"/>
              </w:rPr>
            </w:pPr>
            <w:r>
              <w:rPr>
                <w:rFonts w:ascii="Times New Roman" w:hAnsi="Times New Roman"/>
                <w:b/>
                <w:bCs/>
                <w:noProof/>
              </w:rPr>
              <w:t>2014–2017</w:t>
            </w: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bCs/>
                <w:noProof/>
              </w:rPr>
              <w:t>V</w:t>
            </w:r>
            <w:r>
              <w:rPr>
                <w:rFonts w:ascii="Times New Roman" w:hAnsi="Times New Roman"/>
                <w:noProof/>
              </w:rPr>
              <w:t>ydaná standardní vývozní povolení</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69 895</w:t>
            </w:r>
          </w:p>
        </w:tc>
        <w:tc>
          <w:tcPr>
            <w:tcW w:w="1134" w:type="dxa"/>
            <w:shd w:val="clear" w:color="auto" w:fill="auto"/>
            <w:vAlign w:val="center"/>
          </w:tcPr>
          <w:p>
            <w:pPr>
              <w:spacing w:before="120" w:after="120"/>
              <w:jc w:val="right"/>
              <w:rPr>
                <w:rFonts w:ascii="Times New Roman" w:hAnsi="Times New Roman" w:cs="Times New Roman"/>
                <w:noProof/>
                <w:sz w:val="24"/>
              </w:rPr>
            </w:pP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70 433</w:t>
            </w:r>
          </w:p>
        </w:tc>
        <w:tc>
          <w:tcPr>
            <w:tcW w:w="1134" w:type="dxa"/>
            <w:shd w:val="clear" w:color="auto" w:fill="auto"/>
            <w:vAlign w:val="center"/>
          </w:tcPr>
          <w:p>
            <w:pPr>
              <w:spacing w:before="120" w:after="120"/>
              <w:jc w:val="right"/>
              <w:rPr>
                <w:rFonts w:ascii="Times New Roman" w:hAnsi="Times New Roman" w:cs="Times New Roman"/>
                <w:noProof/>
                <w:sz w:val="24"/>
              </w:rPr>
            </w:pP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rPr>
              <w:t xml:space="preserve">Zamítnuté </w:t>
            </w:r>
            <w:r>
              <w:rPr>
                <w:rFonts w:ascii="Times New Roman" w:hAnsi="Times New Roman"/>
                <w:bCs/>
                <w:noProof/>
              </w:rPr>
              <w:t>žádosti o</w:t>
            </w:r>
            <w:r>
              <w:rPr>
                <w:rFonts w:ascii="Times New Roman" w:hAnsi="Times New Roman"/>
                <w:noProof/>
              </w:rPr>
              <w:t xml:space="preserve"> standardní vývozní povolení</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318</w:t>
            </w:r>
          </w:p>
        </w:tc>
        <w:tc>
          <w:tcPr>
            <w:tcW w:w="1134" w:type="dxa"/>
            <w:shd w:val="clear" w:color="auto" w:fill="auto"/>
            <w:vAlign w:val="center"/>
          </w:tcPr>
          <w:p>
            <w:pPr>
              <w:spacing w:before="120" w:after="120"/>
              <w:jc w:val="right"/>
              <w:rPr>
                <w:rFonts w:ascii="Times New Roman" w:hAnsi="Times New Roman" w:cs="Times New Roman"/>
                <w:bCs/>
                <w:noProof/>
                <w:sz w:val="24"/>
              </w:rPr>
            </w:pPr>
            <w:r>
              <w:rPr>
                <w:rFonts w:ascii="Times New Roman" w:hAnsi="Times New Roman"/>
                <w:noProof/>
              </w:rPr>
              <w:t>0,45 %</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466</w:t>
            </w:r>
          </w:p>
        </w:tc>
        <w:tc>
          <w:tcPr>
            <w:tcW w:w="1134" w:type="dxa"/>
            <w:shd w:val="clear" w:color="auto" w:fill="auto"/>
            <w:vAlign w:val="center"/>
          </w:tcPr>
          <w:p>
            <w:pPr>
              <w:spacing w:before="120" w:after="120"/>
              <w:jc w:val="right"/>
              <w:rPr>
                <w:rFonts w:ascii="Times New Roman" w:hAnsi="Times New Roman" w:cs="Times New Roman"/>
                <w:bCs/>
                <w:noProof/>
                <w:sz w:val="24"/>
              </w:rPr>
            </w:pPr>
            <w:r>
              <w:rPr>
                <w:rFonts w:ascii="Times New Roman" w:hAnsi="Times New Roman"/>
                <w:noProof/>
              </w:rPr>
              <w:t>0,66 %</w:t>
            </w:r>
          </w:p>
        </w:tc>
      </w:tr>
      <w:tr>
        <w:tc>
          <w:tcPr>
            <w:tcW w:w="4219" w:type="dxa"/>
            <w:shd w:val="clear" w:color="auto" w:fill="auto"/>
            <w:vAlign w:val="center"/>
          </w:tcPr>
          <w:p>
            <w:pPr>
              <w:spacing w:before="120" w:after="120"/>
              <w:rPr>
                <w:rFonts w:ascii="Times New Roman" w:hAnsi="Times New Roman" w:cs="Times New Roman"/>
                <w:bCs/>
                <w:noProof/>
                <w:sz w:val="24"/>
              </w:rPr>
            </w:pPr>
            <w:r>
              <w:rPr>
                <w:rFonts w:ascii="Times New Roman" w:hAnsi="Times New Roman"/>
                <w:noProof/>
              </w:rPr>
              <w:t>Zjištěné zásilky v rozporu s pravidly</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147</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0,21 %</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165</w:t>
            </w:r>
          </w:p>
        </w:tc>
        <w:tc>
          <w:tcPr>
            <w:tcW w:w="1134" w:type="dxa"/>
            <w:shd w:val="clear" w:color="auto" w:fill="auto"/>
            <w:vAlign w:val="center"/>
          </w:tcPr>
          <w:p>
            <w:pPr>
              <w:spacing w:before="120" w:after="120"/>
              <w:jc w:val="right"/>
              <w:rPr>
                <w:rFonts w:ascii="Times New Roman" w:hAnsi="Times New Roman" w:cs="Times New Roman"/>
                <w:noProof/>
                <w:sz w:val="24"/>
              </w:rPr>
            </w:pPr>
            <w:r>
              <w:rPr>
                <w:rFonts w:ascii="Times New Roman" w:hAnsi="Times New Roman"/>
                <w:noProof/>
              </w:rPr>
              <w:t>0,23 %</w:t>
            </w:r>
          </w:p>
        </w:tc>
      </w:tr>
    </w:tbl>
    <w:p>
      <w:pPr>
        <w:rPr>
          <w:rFonts w:ascii="Times New Roman" w:hAnsi="Times New Roman" w:cs="Times New Roman"/>
          <w:noProof/>
        </w:rPr>
      </w:pPr>
    </w:p>
    <w:p>
      <w:pPr>
        <w:rPr>
          <w:rFonts w:ascii="Times New Roman" w:hAnsi="Times New Roman" w:cs="Times New Roman"/>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1628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pPr>
      <w:r>
        <w:rPr>
          <w:rStyle w:val="FootnoteReference"/>
        </w:rPr>
        <w:footnoteRef/>
      </w:r>
      <w:r>
        <w:t xml:space="preserve"> Článek 10 nařízení (ES) č. 116/2009 ukládá Komisi povinnost pravidelně předkládat Evropskému parlamentu, Radě a Evropskému hospodářskému a sociálnímu výboru zprávu o provádění tohoto nařízení.</w:t>
      </w:r>
    </w:p>
  </w:footnote>
  <w:footnote w:id="2">
    <w:p>
      <w:pPr>
        <w:pStyle w:val="FootnoteText"/>
        <w:jc w:val="both"/>
      </w:pPr>
      <w:r>
        <w:rPr>
          <w:rStyle w:val="FootnoteReference"/>
        </w:rPr>
        <w:footnoteRef/>
      </w:r>
      <w:r>
        <w:t xml:space="preserve"> Nařízení Rady (ES) č. 116/2009 ze dne 18. prosince 2008 o vývozu kulturních statků (</w:t>
      </w:r>
      <w:r>
        <w:rPr>
          <w:i/>
        </w:rPr>
        <w:t>Úř. věst. L 39, 10.2.2009, s. 1).</w:t>
      </w:r>
    </w:p>
  </w:footnote>
  <w:footnote w:id="3">
    <w:p>
      <w:pPr>
        <w:pStyle w:val="FootnoteText"/>
        <w:jc w:val="both"/>
        <w:rPr>
          <w:i/>
        </w:rPr>
      </w:pPr>
      <w:r>
        <w:rPr>
          <w:rStyle w:val="FootnoteReference"/>
        </w:rPr>
        <w:footnoteRef/>
      </w:r>
      <w:r>
        <w:t xml:space="preserve"> Prováděcí nařízení Komise (EU) č. 1081/2012 ze dne 9. listopadu 2012 k nařízení Rady (ES) č. 116/2009 o vývozu kulturních statků (</w:t>
      </w:r>
      <w:r>
        <w:rPr>
          <w:i/>
        </w:rPr>
        <w:t>Úř. věst. L 324, 22.11.2012, s. 1).</w:t>
      </w:r>
    </w:p>
  </w:footnote>
  <w:footnote w:id="4">
    <w:p>
      <w:pPr>
        <w:pStyle w:val="FootnoteText"/>
      </w:pPr>
      <w:r>
        <w:rPr>
          <w:rStyle w:val="FootnoteReference"/>
        </w:rPr>
        <w:footnoteRef/>
      </w:r>
      <w:r>
        <w:t xml:space="preserve"> Nejnovější publikace těchto odkazů byla zveřejněna v Úř. věst C 71, 24.2.2018, s. 5.</w:t>
      </w:r>
    </w:p>
  </w:footnote>
  <w:footnote w:id="5">
    <w:p>
      <w:pPr>
        <w:pStyle w:val="FootnoteText"/>
      </w:pPr>
      <w:r>
        <w:rPr>
          <w:rStyle w:val="FootnoteReference"/>
        </w:rPr>
        <w:footnoteRef/>
      </w:r>
      <w:r>
        <w:t xml:space="preserve"> Směrnice Evropského parlamentu a Rady 2014/60/EU ze dne 15. května 2014 o navracení kulturních statků neoprávněně vyvezených z území členského státu a o změně nařízení (EU) č. 1024/2012 (přepracované znění) (Úř. věst. L 159, 28.5.2014, s. 1).</w:t>
      </w:r>
    </w:p>
  </w:footnote>
  <w:footnote w:id="6">
    <w:p>
      <w:pPr>
        <w:pStyle w:val="FootnoteText"/>
        <w:jc w:val="both"/>
      </w:pPr>
      <w:r>
        <w:rPr>
          <w:rStyle w:val="FootnoteReference"/>
        </w:rPr>
        <w:footnoteRef/>
      </w:r>
      <w:r>
        <w:t xml:space="preserve"> Nařízení Rady (EU) č. 2019/880 ze dne 17. dubna 2019 o vývozu a dovozu kulturních statků (Úř. věst. L 151, 7.6.2019, s. 1).</w:t>
      </w:r>
    </w:p>
  </w:footnote>
  <w:footnote w:id="7">
    <w:p>
      <w:pPr>
        <w:pStyle w:val="FootnoteText"/>
        <w:jc w:val="both"/>
      </w:pPr>
      <w:r>
        <w:rPr>
          <w:rStyle w:val="FootnoteReference"/>
        </w:rPr>
        <w:footnoteRef/>
      </w:r>
      <w:r>
        <w:t xml:space="preserve"> Paříž, 14. listopadu 1970.</w:t>
      </w:r>
    </w:p>
  </w:footnote>
  <w:footnote w:id="8">
    <w:p>
      <w:pPr>
        <w:pStyle w:val="FootnoteText"/>
        <w:jc w:val="both"/>
      </w:pPr>
      <w:r>
        <w:rPr>
          <w:rStyle w:val="FootnoteReference"/>
        </w:rPr>
        <w:footnoteRef/>
      </w:r>
      <w:r>
        <w:t xml:space="preserve"> Nařízení Rady (ES) č. 1210/2003 ze dne 7. července 2003 o některých zvláštních omezeních hospodářských a finančních vztahů s Irákem a o zrušení nařízení (ES) č. 2465/96 (Úř. věst. L 169, 8.7.2003, s. 6).</w:t>
      </w:r>
    </w:p>
  </w:footnote>
  <w:footnote w:id="9">
    <w:p>
      <w:pPr>
        <w:pStyle w:val="FootnoteText"/>
        <w:jc w:val="both"/>
      </w:pPr>
      <w:r>
        <w:rPr>
          <w:rStyle w:val="FootnoteReference"/>
        </w:rPr>
        <w:footnoteRef/>
      </w:r>
      <w:r>
        <w:t xml:space="preserve"> Nařízení Rady (EU) č. 36/2012 ze dne 18. ledna 2012 o omezujících opatřeních vzhledem k situaci v Sýrii a o zrušení nařízení (EU) č. 442/2011 (Úř. věst. L 16, 19.1.2012, s. 1).</w:t>
      </w:r>
    </w:p>
  </w:footnote>
  <w:footnote w:id="10">
    <w:p>
      <w:pPr>
        <w:pStyle w:val="FootnoteText"/>
        <w:jc w:val="both"/>
      </w:pPr>
      <w:r>
        <w:rPr>
          <w:rStyle w:val="FootnoteReference"/>
        </w:rPr>
        <w:footnoteRef/>
      </w:r>
      <w:r>
        <w:t xml:space="preserve"> Žádné související případy se bohužel nikdy nedostaly k Evropskému soudnímu dvoru, což má za následek, že pro tyto dva pojmy neexistuje konkrétní definice.</w:t>
      </w:r>
    </w:p>
  </w:footnote>
  <w:footnote w:id="11">
    <w:p>
      <w:pPr>
        <w:pStyle w:val="FootnoteText"/>
        <w:jc w:val="both"/>
      </w:pPr>
      <w:r>
        <w:rPr>
          <w:rStyle w:val="FootnoteReference"/>
        </w:rPr>
        <w:footnoteRef/>
      </w:r>
      <w:r>
        <w:t xml:space="preserve"> Hlavním praktickým rozdílem je, že malby (kategorie 3) mají prahovou hodnotu 150 000 EUR, zatímco pro součásti památek (kategorie 2) se vyžaduje vývozní povolení bez ohledu na jejich tržní hodnotu.</w:t>
      </w:r>
    </w:p>
  </w:footnote>
  <w:footnote w:id="12">
    <w:p>
      <w:pPr>
        <w:pStyle w:val="FootnoteText"/>
        <w:jc w:val="both"/>
      </w:pPr>
      <w:r>
        <w:rPr>
          <w:rStyle w:val="FootnoteReference"/>
        </w:rPr>
        <w:footnoteRef/>
      </w:r>
      <w:r>
        <w:t xml:space="preserve"> Formulář obsahuje tři listy: List č. 1 tvoří vlastní žádost, list č. 2 je pro držitele povolení a list č. 3 musí být navrácen vydávajícímu orgánu, jakmile kulturní statek opustí Unii.</w:t>
      </w:r>
    </w:p>
  </w:footnote>
  <w:footnote w:id="13">
    <w:p>
      <w:pPr>
        <w:pStyle w:val="FootnoteText"/>
      </w:pPr>
      <w:r>
        <w:rPr>
          <w:rStyle w:val="FootnoteReference"/>
        </w:rPr>
        <w:footnoteRef/>
      </w:r>
      <w:r>
        <w:t xml:space="preserve"> COM(2015) 144 final, 1.4.2015.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B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E1236"/>
    <w:multiLevelType w:val="hybridMultilevel"/>
    <w:tmpl w:val="C942A688"/>
    <w:lvl w:ilvl="0" w:tplc="6EECAF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B40581"/>
    <w:multiLevelType w:val="multilevel"/>
    <w:tmpl w:val="08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5F6321D5"/>
    <w:multiLevelType w:val="hybridMultilevel"/>
    <w:tmpl w:val="2002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E77FBE"/>
    <w:multiLevelType w:val="hybridMultilevel"/>
    <w:tmpl w:val="BFC6C75C"/>
    <w:lvl w:ilvl="0" w:tplc="501CB14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062308E"/>
    <w:multiLevelType w:val="hybridMultilevel"/>
    <w:tmpl w:val="F6301E64"/>
    <w:lvl w:ilvl="0" w:tplc="6ED43168">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F21B3D9-A747-4296-AE4E-F1908E7C0A72"/>
    <w:docVar w:name="LW_COVERPAGE_TYPE" w:val="1"/>
    <w:docVar w:name="LW_CROSSREFERENCE" w:val="&lt;UNUSED&gt;"/>
    <w:docVar w:name="LW_DocType" w:val="NORMAL"/>
    <w:docVar w:name="LW_EMISSION" w:val="26.9.2019"/>
    <w:docVar w:name="LW_EMISSION_ISODATE" w:val="2019-09-26"/>
    <w:docVar w:name="LW_EMISSION_LOCATION" w:val="BRX"/>
    <w:docVar w:name="LW_EMISSION_PREFIX" w:val="V Bruselu dne "/>
    <w:docVar w:name="LW_EMISSION_SUFFIX" w:val=" "/>
    <w:docVar w:name="LW_ID_DOCTYPE_NONLW" w:val="CP-007"/>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9) 4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o provád\u283?ní na\u345?ízení Rady (ES) \u269?. 116/2009 z prosince 2008 o vývozu kulturních statk\u367?&lt;/FMT&gt;_x000d__x000b_&lt;FMT:Bold&gt;1. ledna 2014 \u8211? 31. prosince 2017&lt;/FMT&gt;_x000d__x000b__x000d__x000d__x000b__x000d__x000d__x000b_"/>
    <w:docVar w:name="LW_TYPE.DOC.CP" w:val="ZPRÁVA KOMISE EVROPSKÉMU PARLAMENTU, RAD\u282? A EVROPSKÉMU HOSPODÁ\u344?SKÉMU A SOCIÁLNÍMU VÝBORU"/>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6"/>
      </w:numPr>
      <w:spacing w:before="240" w:after="240" w:line="240" w:lineRule="auto"/>
      <w:outlineLvl w:val="0"/>
    </w:pPr>
    <w:rPr>
      <w:rFonts w:ascii="Times New Roman Bold" w:eastAsia="Times New Roman" w:hAnsi="Times New Roman Bold" w:cs="Times New Roman"/>
      <w:b/>
      <w:bCs/>
      <w:smallCaps/>
      <w:kern w:val="32"/>
      <w:sz w:val="28"/>
      <w:szCs w:val="32"/>
      <w:lang w:eastAsia="en-GB"/>
    </w:rPr>
  </w:style>
  <w:style w:type="paragraph" w:styleId="Heading2">
    <w:name w:val="heading 2"/>
    <w:basedOn w:val="Normal"/>
    <w:next w:val="Normal"/>
    <w:link w:val="Heading2Char"/>
    <w:autoRedefine/>
    <w:unhideWhenUsed/>
    <w:qFormat/>
    <w:pPr>
      <w:keepNext/>
      <w:spacing w:before="240" w:after="240" w:line="240" w:lineRule="auto"/>
      <w:outlineLvl w:val="1"/>
    </w:pPr>
    <w:rPr>
      <w:rFonts w:ascii="Times New Roman" w:eastAsia="Times New Roman" w:hAnsi="Times New Roman" w:cs="Times New Roman"/>
      <w:b/>
      <w:bCs/>
      <w:iCs/>
      <w:sz w:val="24"/>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smallCaps/>
      <w:kern w:val="32"/>
      <w:sz w:val="28"/>
      <w:szCs w:val="32"/>
      <w:lang w:val="cs-CZ" w:eastAsia="en-GB"/>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val="cs-CZ"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cs-CZ"/>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cs-CZ" w:eastAsia="en-GB"/>
    </w:rPr>
  </w:style>
  <w:style w:type="character" w:styleId="FootnoteReference">
    <w:name w:val="footnote reference"/>
    <w:rPr>
      <w:vertAlign w:val="superscript"/>
    </w:rPr>
  </w:style>
  <w:style w:type="paragraph" w:styleId="ListParagraph">
    <w:name w:val="List Paragraph"/>
    <w:basedOn w:val="Normal"/>
    <w:uiPriority w:val="34"/>
    <w:qFormat/>
    <w:pPr>
      <w:spacing w:before="120" w:after="200" w:line="240" w:lineRule="auto"/>
      <w:ind w:left="720"/>
      <w:contextualSpacing/>
      <w:jc w:val="both"/>
    </w:pPr>
    <w:rPr>
      <w:rFonts w:ascii="Calibri" w:eastAsia="Calibri" w:hAnsi="Calibri" w:cs="Times New Roman"/>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6"/>
      </w:numPr>
      <w:spacing w:before="240" w:after="240" w:line="240" w:lineRule="auto"/>
      <w:outlineLvl w:val="0"/>
    </w:pPr>
    <w:rPr>
      <w:rFonts w:ascii="Times New Roman Bold" w:eastAsia="Times New Roman" w:hAnsi="Times New Roman Bold" w:cs="Times New Roman"/>
      <w:b/>
      <w:bCs/>
      <w:smallCaps/>
      <w:kern w:val="32"/>
      <w:sz w:val="28"/>
      <w:szCs w:val="32"/>
      <w:lang w:eastAsia="en-GB"/>
    </w:rPr>
  </w:style>
  <w:style w:type="paragraph" w:styleId="Heading2">
    <w:name w:val="heading 2"/>
    <w:basedOn w:val="Normal"/>
    <w:next w:val="Normal"/>
    <w:link w:val="Heading2Char"/>
    <w:autoRedefine/>
    <w:unhideWhenUsed/>
    <w:qFormat/>
    <w:pPr>
      <w:keepNext/>
      <w:spacing w:before="240" w:after="240" w:line="240" w:lineRule="auto"/>
      <w:outlineLvl w:val="1"/>
    </w:pPr>
    <w:rPr>
      <w:rFonts w:ascii="Times New Roman" w:eastAsia="Times New Roman" w:hAnsi="Times New Roman" w:cs="Times New Roman"/>
      <w:b/>
      <w:bCs/>
      <w:iCs/>
      <w:sz w:val="24"/>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Bold" w:eastAsia="Times New Roman" w:hAnsi="Times New Roman Bold" w:cs="Times New Roman"/>
      <w:b/>
      <w:bCs/>
      <w:smallCaps/>
      <w:kern w:val="32"/>
      <w:sz w:val="28"/>
      <w:szCs w:val="32"/>
      <w:lang w:val="cs-CZ" w:eastAsia="en-GB"/>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lang w:val="cs-CZ"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cs-CZ"/>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cs-CZ"/>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val="cs-CZ" w:eastAsia="en-GB"/>
    </w:rPr>
  </w:style>
  <w:style w:type="character" w:styleId="FootnoteReference">
    <w:name w:val="footnote reference"/>
    <w:rPr>
      <w:vertAlign w:val="superscript"/>
    </w:rPr>
  </w:style>
  <w:style w:type="paragraph" w:styleId="ListParagraph">
    <w:name w:val="List Paragraph"/>
    <w:basedOn w:val="Normal"/>
    <w:uiPriority w:val="34"/>
    <w:qFormat/>
    <w:pPr>
      <w:spacing w:before="120" w:after="200" w:line="240" w:lineRule="auto"/>
      <w:ind w:left="720"/>
      <w:contextualSpacing/>
      <w:jc w:val="both"/>
    </w:pPr>
    <w:rPr>
      <w:rFonts w:ascii="Calibri" w:eastAsia="Calibri" w:hAnsi="Calibri" w:cs="Times New Roman"/>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cs-CZ"/>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oleObject" Target="file:///\\net1.cec.eu.int\taxud\A\TAXUD-A5\CULTURAL%20GOODS\v%20R%20E%20P%20O%20R%20T%20%20impl%20Reg%20116-2009\REPORT%202018-2019\2014-2017%20Data\STAT%20END%20VERSION_00_1806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et1.cec.eu.int\taxud\A\TAXUD-A5\CULTURAL%20GOODS\v%20R%20E%20P%20O%20R%20T%20%20impl%20Reg%20116-2009\REPORT%202018-2019\2014-2017%20Data\STAT%20END%20VERSION_00_1806201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baseline="0">
                <a:solidFill>
                  <a:sysClr val="windowText" lastClr="000000">
                    <a:lumMod val="65000"/>
                    <a:lumOff val="35000"/>
                  </a:sysClr>
                </a:solidFill>
                <a:latin typeface="+mn-lt"/>
                <a:ea typeface="+mn-ea"/>
                <a:cs typeface="+mn-cs"/>
              </a:defRPr>
            </a:pPr>
            <a:r>
              <a:rPr lang="fr-BE">
                <a:latin typeface="Arial" panose="020B0604020202020204" pitchFamily="34" charset="0"/>
                <a:cs typeface="Arial" panose="020B0604020202020204" pitchFamily="34" charset="0"/>
              </a:rPr>
              <a:t> </a:t>
            </a:r>
            <a:r>
              <a:rPr lang="fr-BE">
                <a:solidFill>
                  <a:schemeClr val="bg1"/>
                </a:solidFill>
                <a:latin typeface="Arial" panose="020B0604020202020204" pitchFamily="34" charset="0"/>
                <a:cs typeface="Arial" panose="020B0604020202020204" pitchFamily="34" charset="0"/>
              </a:rPr>
              <a:t>Title</a:t>
            </a:r>
          </a:p>
        </c:rich>
      </c:tx>
      <c:layout>
        <c:manualLayout>
          <c:xMode val="edge"/>
          <c:yMode val="edge"/>
          <c:x val="2.8823372000849123E-2"/>
          <c:y val="5.9928412401627086E-2"/>
        </c:manualLayout>
      </c:layout>
      <c:overlay val="0"/>
      <c:spPr>
        <a:noFill/>
        <a:ln>
          <a:noFill/>
        </a:ln>
        <a:effectLst/>
      </c:spPr>
    </c:title>
    <c:autoTitleDeleted val="0"/>
    <c:view3D>
      <c:rotX val="20"/>
      <c:rotY val="34"/>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'Specific open licences'!$AA$7</c:f>
              <c:strCache>
                <c:ptCount val="1"/>
                <c:pt idx="0">
                  <c:v>2014-2017</c:v>
                </c:pt>
              </c:strCache>
            </c:strRef>
          </c:tx>
          <c:explosion val="1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03A-4EE5-B8B3-8C5CC0E4072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03A-4EE5-B8B3-8C5CC0E4072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03A-4EE5-B8B3-8C5CC0E4072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03A-4EE5-B8B3-8C5CC0E4072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403A-4EE5-B8B3-8C5CC0E4072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403A-4EE5-B8B3-8C5CC0E4072E}"/>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403A-4EE5-B8B3-8C5CC0E4072E}"/>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403A-4EE5-B8B3-8C5CC0E4072E}"/>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403A-4EE5-B8B3-8C5CC0E4072E}"/>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403A-4EE5-B8B3-8C5CC0E4072E}"/>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403A-4EE5-B8B3-8C5CC0E4072E}"/>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403A-4EE5-B8B3-8C5CC0E4072E}"/>
              </c:ext>
            </c:extLst>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403A-4EE5-B8B3-8C5CC0E4072E}"/>
              </c:ext>
            </c:extLst>
          </c:dPt>
          <c:dPt>
            <c:idx val="13"/>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B-403A-4EE5-B8B3-8C5CC0E4072E}"/>
              </c:ext>
            </c:extLst>
          </c:dPt>
          <c:dPt>
            <c:idx val="14"/>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403A-4EE5-B8B3-8C5CC0E4072E}"/>
              </c:ext>
            </c:extLst>
          </c:dPt>
          <c:dPt>
            <c:idx val="15"/>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403A-4EE5-B8B3-8C5CC0E4072E}"/>
              </c:ext>
            </c:extLst>
          </c:dPt>
          <c:dPt>
            <c:idx val="16"/>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403A-4EE5-B8B3-8C5CC0E4072E}"/>
              </c:ext>
            </c:extLst>
          </c:dPt>
          <c:dPt>
            <c:idx val="17"/>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3-403A-4EE5-B8B3-8C5CC0E4072E}"/>
              </c:ext>
            </c:extLst>
          </c:dPt>
          <c:dPt>
            <c:idx val="18"/>
            <c:bubble3D val="0"/>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5-403A-4EE5-B8B3-8C5CC0E4072E}"/>
              </c:ext>
            </c:extLst>
          </c:dPt>
          <c:dPt>
            <c:idx val="1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7-403A-4EE5-B8B3-8C5CC0E4072E}"/>
              </c:ext>
            </c:extLst>
          </c:dPt>
          <c:dPt>
            <c:idx val="20"/>
            <c:bubble3D val="0"/>
            <c:spPr>
              <a:solidFill>
                <a:schemeClr val="accent3">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9-403A-4EE5-B8B3-8C5CC0E4072E}"/>
              </c:ext>
            </c:extLst>
          </c:dPt>
          <c:dPt>
            <c:idx val="21"/>
            <c:bubble3D val="0"/>
            <c:spPr>
              <a:solidFill>
                <a:schemeClr val="accent4">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B-403A-4EE5-B8B3-8C5CC0E4072E}"/>
              </c:ext>
            </c:extLst>
          </c:dPt>
          <c:dPt>
            <c:idx val="22"/>
            <c:bubble3D val="0"/>
            <c:spPr>
              <a:solidFill>
                <a:schemeClr val="accent5">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D-403A-4EE5-B8B3-8C5CC0E4072E}"/>
              </c:ext>
            </c:extLst>
          </c:dPt>
          <c:dPt>
            <c:idx val="23"/>
            <c:bubble3D val="0"/>
            <c:spPr>
              <a:solidFill>
                <a:schemeClr val="accent6">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F-403A-4EE5-B8B3-8C5CC0E4072E}"/>
              </c:ext>
            </c:extLst>
          </c:dPt>
          <c:dPt>
            <c:idx val="24"/>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1-403A-4EE5-B8B3-8C5CC0E4072E}"/>
              </c:ext>
            </c:extLst>
          </c:dPt>
          <c:dPt>
            <c:idx val="25"/>
            <c:bubble3D val="0"/>
            <c:spPr>
              <a:solidFill>
                <a:schemeClr val="accent2">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3-403A-4EE5-B8B3-8C5CC0E4072E}"/>
              </c:ext>
            </c:extLst>
          </c:dPt>
          <c:dPt>
            <c:idx val="26"/>
            <c:bubble3D val="0"/>
            <c:spPr>
              <a:solidFill>
                <a:schemeClr val="accent3">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5-403A-4EE5-B8B3-8C5CC0E4072E}"/>
              </c:ext>
            </c:extLst>
          </c:dPt>
          <c:dPt>
            <c:idx val="27"/>
            <c:bubble3D val="0"/>
            <c:spPr>
              <a:solidFill>
                <a:schemeClr val="accent4">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7-403A-4EE5-B8B3-8C5CC0E4072E}"/>
              </c:ext>
            </c:extLst>
          </c:dPt>
          <c:dPt>
            <c:idx val="28"/>
            <c:bubble3D val="0"/>
            <c:spPr>
              <a:solidFill>
                <a:schemeClr val="accent5">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9-403A-4EE5-B8B3-8C5CC0E4072E}"/>
              </c:ext>
            </c:extLst>
          </c:dPt>
          <c:dPt>
            <c:idx val="29"/>
            <c:bubble3D val="0"/>
            <c:spPr>
              <a:solidFill>
                <a:schemeClr val="accent6">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B-403A-4EE5-B8B3-8C5CC0E4072E}"/>
              </c:ext>
            </c:extLst>
          </c:dPt>
          <c:dLbls>
            <c:dLbl>
              <c:idx val="0"/>
              <c:layout>
                <c:manualLayout>
                  <c:x val="-0.13370792965399164"/>
                  <c:y val="-0.108506488772236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ED02BBDC-6D13-4805-BF9B-F0B10762DB45}" type="CATEGORYNAME">
                      <a:rPr lang="en-US" sz="900" b="0">
                        <a:solidFill>
                          <a:sysClr val="windowText" lastClr="000000"/>
                        </a:solidFill>
                      </a:rPr>
                      <a:pPr>
                        <a:defRPr sz="1000" b="1" i="0" u="none" strike="noStrike" kern="1200" spc="0" baseline="0">
                          <a:solidFill>
                            <a:schemeClr val="accent1"/>
                          </a:solidFill>
                          <a:latin typeface="+mn-lt"/>
                          <a:ea typeface="+mn-ea"/>
                          <a:cs typeface="+mn-cs"/>
                        </a:defRPr>
                      </a:pPr>
                      <a:t>[CATEGORY NAME]</a:t>
                    </a:fld>
                    <a:r>
                      <a:rPr lang="en-US" b="0" baseline="0">
                        <a:solidFill>
                          <a:sysClr val="windowText" lastClr="000000"/>
                        </a:solidFill>
                      </a:rPr>
                      <a:t>
</a:t>
                    </a:r>
                    <a:fld id="{6B4DEC23-FA82-4809-85CE-986DAB132C87}" type="VALUE">
                      <a:rPr lang="en-US" b="0" baseline="0">
                        <a:solidFill>
                          <a:sysClr val="windowText" lastClr="000000"/>
                        </a:solidFill>
                      </a:rPr>
                      <a:pPr>
                        <a:defRPr sz="1000" b="1" i="0" u="none" strike="noStrike" kern="1200" spc="0" baseline="0">
                          <a:solidFill>
                            <a:schemeClr val="accent1"/>
                          </a:solidFill>
                          <a:latin typeface="+mn-lt"/>
                          <a:ea typeface="+mn-ea"/>
                          <a:cs typeface="+mn-cs"/>
                        </a:defRPr>
                      </a:pPr>
                      <a:t>[VALUE]</a:t>
                    </a:fld>
                    <a:r>
                      <a:rPr lang="en-US" baseline="0"/>
                      <a:t>
</a:t>
                    </a:r>
                    <a:fld id="{695D2483-9722-4B1B-B382-FCB2015AB7A1}" type="PERCENTAGE">
                      <a:rPr lang="en-US" b="0" baseline="0">
                        <a:solidFill>
                          <a:sysClr val="windowText" lastClr="000000"/>
                        </a:solidFill>
                      </a:rPr>
                      <a:pPr>
                        <a:defRPr sz="1000" b="1" i="0" u="none" strike="noStrike" kern="1200" spc="0" baseline="0">
                          <a:solidFill>
                            <a:schemeClr val="accent1"/>
                          </a:solidFill>
                          <a:latin typeface="+mn-lt"/>
                          <a:ea typeface="+mn-ea"/>
                          <a:cs typeface="+mn-cs"/>
                        </a:defRPr>
                      </a:pPr>
                      <a:t>[PERCENTAGE]</a:t>
                    </a:fld>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03A-4EE5-B8B3-8C5CC0E4072E}"/>
                </c:ext>
              </c:extLst>
            </c:dLbl>
            <c:dLbl>
              <c:idx val="1"/>
              <c:layout>
                <c:manualLayout>
                  <c:x val="-0.21976201475410626"/>
                  <c:y val="-0.1427562700495771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ostatní členské státy</a:t>
                    </a:r>
                    <a:r>
                      <a:rPr lang="en-US" b="0" baseline="0">
                        <a:solidFill>
                          <a:sysClr val="windowText" lastClr="000000"/>
                        </a:solidFill>
                      </a:rPr>
                      <a:t>
3
0 %</a:t>
                    </a:r>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03A-4EE5-B8B3-8C5CC0E4072E}"/>
                </c:ext>
              </c:extLst>
            </c:dLbl>
            <c:dLbl>
              <c:idx val="2"/>
              <c:layout>
                <c:manualLayout>
                  <c:x val="8.8820308166524586E-2"/>
                  <c:y val="-0.1756601778944298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FR</a:t>
                    </a:r>
                    <a:r>
                      <a:rPr lang="en-US" baseline="0"/>
                      <a:t>
</a:t>
                    </a:r>
                    <a:r>
                      <a:rPr lang="en-US" b="0" baseline="0">
                        <a:solidFill>
                          <a:sysClr val="windowText" lastClr="000000"/>
                        </a:solidFill>
                      </a:rPr>
                      <a:t>18</a:t>
                    </a:r>
                    <a:r>
                      <a:rPr lang="en-US" baseline="0"/>
                      <a:t>
</a:t>
                    </a:r>
                    <a:r>
                      <a:rPr lang="en-US" b="0" baseline="0">
                        <a:solidFill>
                          <a:sysClr val="windowText" lastClr="000000"/>
                        </a:solidFill>
                      </a:rPr>
                      <a:t>1 %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03A-4EE5-B8B3-8C5CC0E4072E}"/>
                </c:ext>
              </c:extLst>
            </c:dLbl>
            <c:dLbl>
              <c:idx val="3"/>
              <c:layout>
                <c:manualLayout>
                  <c:x val="0.12981490843996124"/>
                  <c:y val="-1.110309128025663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PL</a:t>
                    </a:r>
                    <a:r>
                      <a:rPr lang="en-US" baseline="0"/>
                      <a:t>
</a:t>
                    </a:r>
                    <a:r>
                      <a:rPr lang="en-US" b="0" baseline="0">
                        <a:solidFill>
                          <a:sysClr val="windowText" lastClr="000000"/>
                        </a:solidFill>
                      </a:rPr>
                      <a:t>29</a:t>
                    </a:r>
                    <a:r>
                      <a:rPr lang="en-US" baseline="0"/>
                      <a:t>
</a:t>
                    </a:r>
                    <a:r>
                      <a:rPr lang="en-US" b="0" baseline="0">
                        <a:solidFill>
                          <a:sysClr val="windowText" lastClr="000000"/>
                        </a:solidFill>
                      </a:rPr>
                      <a:t>2 %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03A-4EE5-B8B3-8C5CC0E4072E}"/>
                </c:ext>
              </c:extLst>
            </c:dLbl>
            <c:dLbl>
              <c:idx val="4"/>
              <c:layout>
                <c:manualLayout>
                  <c:x val="9.7672730363374927E-2"/>
                  <c:y val="0.138344269466316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DE</a:t>
                    </a:r>
                    <a:r>
                      <a:rPr lang="en-US" baseline="0">
                        <a:solidFill>
                          <a:sysClr val="windowText" lastClr="000000"/>
                        </a:solidFill>
                      </a:rPr>
                      <a:t>
</a:t>
                    </a:r>
                    <a:r>
                      <a:rPr lang="en-US" b="0" baseline="0">
                        <a:solidFill>
                          <a:sysClr val="windowText" lastClr="000000"/>
                        </a:solidFill>
                      </a:rPr>
                      <a:t>111</a:t>
                    </a:r>
                    <a:r>
                      <a:rPr lang="en-US" baseline="0"/>
                      <a:t>
</a:t>
                    </a:r>
                    <a:r>
                      <a:rPr lang="en-US" b="0" baseline="0">
                        <a:solidFill>
                          <a:sysClr val="windowText" lastClr="000000"/>
                        </a:solidFill>
                      </a:rPr>
                      <a:t>8 %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03A-4EE5-B8B3-8C5CC0E4072E}"/>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UK</a:t>
                    </a:r>
                    <a:r>
                      <a:rPr lang="en-US" baseline="0"/>
                      <a:t>
</a:t>
                    </a:r>
                    <a:r>
                      <a:rPr lang="en-US" b="0" baseline="0">
                        <a:solidFill>
                          <a:sysClr val="windowText" lastClr="000000"/>
                        </a:solidFill>
                      </a:rPr>
                      <a:t>629</a:t>
                    </a:r>
                    <a:r>
                      <a:rPr lang="en-US" baseline="0"/>
                      <a:t>
</a:t>
                    </a:r>
                    <a:r>
                      <a:rPr lang="en-US" b="0" baseline="0">
                        <a:solidFill>
                          <a:sysClr val="windowText" lastClr="000000"/>
                        </a:solidFill>
                      </a:rPr>
                      <a:t>44 %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403A-4EE5-B8B3-8C5CC0E4072E}"/>
                </c:ext>
              </c:extLst>
            </c:dLbl>
            <c:dLbl>
              <c:idx val="6"/>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NL</a:t>
                    </a:r>
                    <a:r>
                      <a:rPr lang="en-US" baseline="0"/>
                      <a:t>
</a:t>
                    </a:r>
                    <a:r>
                      <a:rPr lang="en-US" b="0" baseline="0">
                        <a:solidFill>
                          <a:sysClr val="windowText" lastClr="000000"/>
                        </a:solidFill>
                      </a:rPr>
                      <a:t>638</a:t>
                    </a:r>
                    <a:r>
                      <a:rPr lang="en-US" baseline="0"/>
                      <a:t>
</a:t>
                    </a:r>
                    <a:r>
                      <a:rPr lang="en-US" b="0" baseline="0">
                        <a:solidFill>
                          <a:sysClr val="windowText" lastClr="000000"/>
                        </a:solidFill>
                      </a:rPr>
                      <a:t>45 %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403A-4EE5-B8B3-8C5CC0E4072E}"/>
                </c:ext>
              </c:extLst>
            </c:dLbl>
            <c:dLbl>
              <c:idx val="7"/>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03A-4EE5-B8B3-8C5CC0E4072E}"/>
                </c:ext>
              </c:extLst>
            </c:dLbl>
            <c:dLbl>
              <c:idx val="8"/>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03A-4EE5-B8B3-8C5CC0E4072E}"/>
                </c:ext>
              </c:extLst>
            </c:dLbl>
            <c:dLbl>
              <c:idx val="9"/>
              <c:layout>
                <c:manualLayout>
                  <c:x val="-3.3627746832397908E-2"/>
                  <c:y val="5.6097850435401803E-2"/>
                </c:manualLayout>
              </c:layout>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03A-4EE5-B8B3-8C5CC0E4072E}"/>
                </c:ext>
              </c:extLst>
            </c:dLbl>
            <c:dLbl>
              <c:idx val="10"/>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03A-4EE5-B8B3-8C5CC0E4072E}"/>
                </c:ext>
              </c:extLst>
            </c:dLbl>
            <c:dLbl>
              <c:idx val="11"/>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03A-4EE5-B8B3-8C5CC0E4072E}"/>
                </c:ext>
              </c:extLst>
            </c:dLbl>
            <c:dLbl>
              <c:idx val="12"/>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03A-4EE5-B8B3-8C5CC0E4072E}"/>
                </c:ext>
              </c:extLst>
            </c:dLbl>
            <c:dLbl>
              <c:idx val="13"/>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403A-4EE5-B8B3-8C5CC0E4072E}"/>
                </c:ext>
              </c:extLst>
            </c:dLbl>
            <c:dLbl>
              <c:idx val="14"/>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403A-4EE5-B8B3-8C5CC0E4072E}"/>
                </c:ext>
              </c:extLst>
            </c:dLbl>
            <c:dLbl>
              <c:idx val="15"/>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403A-4EE5-B8B3-8C5CC0E4072E}"/>
                </c:ext>
              </c:extLst>
            </c:dLbl>
            <c:dLbl>
              <c:idx val="16"/>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403A-4EE5-B8B3-8C5CC0E4072E}"/>
                </c:ext>
              </c:extLst>
            </c:dLbl>
            <c:dLbl>
              <c:idx val="17"/>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403A-4EE5-B8B3-8C5CC0E4072E}"/>
                </c:ext>
              </c:extLst>
            </c:dLbl>
            <c:dLbl>
              <c:idx val="18"/>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403A-4EE5-B8B3-8C5CC0E4072E}"/>
                </c:ext>
              </c:extLst>
            </c:dLbl>
            <c:dLbl>
              <c:idx val="19"/>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403A-4EE5-B8B3-8C5CC0E4072E}"/>
                </c:ext>
              </c:extLst>
            </c:dLbl>
            <c:dLbl>
              <c:idx val="20"/>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403A-4EE5-B8B3-8C5CC0E4072E}"/>
                </c:ext>
              </c:extLst>
            </c:dLbl>
            <c:dLbl>
              <c:idx val="21"/>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403A-4EE5-B8B3-8C5CC0E4072E}"/>
                </c:ext>
              </c:extLst>
            </c:dLbl>
            <c:dLbl>
              <c:idx val="22"/>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403A-4EE5-B8B3-8C5CC0E4072E}"/>
                </c:ext>
              </c:extLst>
            </c:dLbl>
            <c:dLbl>
              <c:idx val="23"/>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403A-4EE5-B8B3-8C5CC0E4072E}"/>
                </c:ext>
              </c:extLst>
            </c:dLbl>
            <c:dLbl>
              <c:idx val="24"/>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403A-4EE5-B8B3-8C5CC0E4072E}"/>
                </c:ext>
              </c:extLst>
            </c:dLbl>
            <c:dLbl>
              <c:idx val="25"/>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403A-4EE5-B8B3-8C5CC0E4072E}"/>
                </c:ext>
              </c:extLst>
            </c:dLbl>
            <c:dLbl>
              <c:idx val="26"/>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403A-4EE5-B8B3-8C5CC0E4072E}"/>
                </c:ext>
              </c:extLst>
            </c:dLbl>
            <c:dLbl>
              <c:idx val="27"/>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403A-4EE5-B8B3-8C5CC0E4072E}"/>
                </c:ext>
              </c:extLst>
            </c:dLbl>
            <c:dLbl>
              <c:idx val="28"/>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403A-4EE5-B8B3-8C5CC0E4072E}"/>
                </c:ext>
              </c:extLst>
            </c:dLbl>
            <c:dLbl>
              <c:idx val="29"/>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403A-4EE5-B8B3-8C5CC0E4072E}"/>
                </c:ext>
              </c:extLst>
            </c:dLbl>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'Specific open licences'!$Z$8:$Z$14</c:f>
              <c:strCache>
                <c:ptCount val="7"/>
                <c:pt idx="1">
                  <c:v>Others MS</c:v>
                </c:pt>
                <c:pt idx="2">
                  <c:v>FR</c:v>
                </c:pt>
                <c:pt idx="3">
                  <c:v>PL</c:v>
                </c:pt>
                <c:pt idx="4">
                  <c:v>DE</c:v>
                </c:pt>
                <c:pt idx="5">
                  <c:v>UK</c:v>
                </c:pt>
                <c:pt idx="6">
                  <c:v>NL</c:v>
                </c:pt>
              </c:strCache>
            </c:strRef>
          </c:cat>
          <c:val>
            <c:numRef>
              <c:f>'Specific open licences'!$AA$8:$AA$14</c:f>
              <c:numCache>
                <c:formatCode>General</c:formatCode>
                <c:ptCount val="7"/>
                <c:pt idx="1">
                  <c:v>3</c:v>
                </c:pt>
                <c:pt idx="2">
                  <c:v>18</c:v>
                </c:pt>
                <c:pt idx="3">
                  <c:v>29</c:v>
                </c:pt>
                <c:pt idx="4">
                  <c:v>111</c:v>
                </c:pt>
                <c:pt idx="5">
                  <c:v>629</c:v>
                </c:pt>
                <c:pt idx="6">
                  <c:v>638</c:v>
                </c:pt>
              </c:numCache>
            </c:numRef>
          </c:val>
          <c:extLst xmlns:c16r2="http://schemas.microsoft.com/office/drawing/2015/06/chart">
            <c:ext xmlns:c16="http://schemas.microsoft.com/office/drawing/2014/chart" uri="{C3380CC4-5D6E-409C-BE32-E72D297353CC}">
              <c16:uniqueId val="{0000003C-403A-4EE5-B8B3-8C5CC0E4072E}"/>
            </c:ext>
          </c:extLst>
        </c:ser>
        <c:ser>
          <c:idx val="1"/>
          <c:order val="1"/>
          <c:tx>
            <c:strRef>
              <c:f>'Specific open licences'!$AB$7</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E-403A-4EE5-B8B3-8C5CC0E4072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0-403A-4EE5-B8B3-8C5CC0E4072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2-403A-4EE5-B8B3-8C5CC0E4072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4-403A-4EE5-B8B3-8C5CC0E4072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6-403A-4EE5-B8B3-8C5CC0E4072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8-403A-4EE5-B8B3-8C5CC0E4072E}"/>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A-403A-4EE5-B8B3-8C5CC0E4072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in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in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in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in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inEnd"/>
              <c:showLegendKey val="0"/>
              <c:showVal val="1"/>
              <c:showCatName val="0"/>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'Specific open licences'!$Z$8:$Z$14</c:f>
              <c:strCache>
                <c:ptCount val="7"/>
                <c:pt idx="1">
                  <c:v>Others MS</c:v>
                </c:pt>
                <c:pt idx="2">
                  <c:v>FR</c:v>
                </c:pt>
                <c:pt idx="3">
                  <c:v>PL</c:v>
                </c:pt>
                <c:pt idx="4">
                  <c:v>DE</c:v>
                </c:pt>
                <c:pt idx="5">
                  <c:v>UK</c:v>
                </c:pt>
                <c:pt idx="6">
                  <c:v>NL</c:v>
                </c:pt>
              </c:strCache>
            </c:strRef>
          </c:cat>
          <c:val>
            <c:numRef>
              <c:f>'Specific open licences'!$AB$8:$AB$14</c:f>
              <c:numCache>
                <c:formatCode>General</c:formatCode>
                <c:ptCount val="7"/>
                <c:pt idx="1">
                  <c:v>1428</c:v>
                </c:pt>
                <c:pt idx="2">
                  <c:v>1428</c:v>
                </c:pt>
                <c:pt idx="3">
                  <c:v>1428</c:v>
                </c:pt>
                <c:pt idx="4">
                  <c:v>1428</c:v>
                </c:pt>
                <c:pt idx="5">
                  <c:v>1428</c:v>
                </c:pt>
                <c:pt idx="6">
                  <c:v>1428</c:v>
                </c:pt>
              </c:numCache>
            </c:numRef>
          </c:val>
          <c:extLst xmlns:c16r2="http://schemas.microsoft.com/office/drawing/2015/06/chart">
            <c:ext xmlns:c16="http://schemas.microsoft.com/office/drawing/2014/chart" uri="{C3380CC4-5D6E-409C-BE32-E72D297353CC}">
              <c16:uniqueId val="{0000004B-403A-4EE5-B8B3-8C5CC0E4072E}"/>
            </c:ext>
          </c:extLst>
        </c:ser>
        <c:ser>
          <c:idx val="2"/>
          <c:order val="2"/>
          <c:tx>
            <c:strRef>
              <c:f>'Specific open licences'!$AC$7</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D-403A-4EE5-B8B3-8C5CC0E4072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F-403A-4EE5-B8B3-8C5CC0E4072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51-403A-4EE5-B8B3-8C5CC0E4072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53-403A-4EE5-B8B3-8C5CC0E4072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55-403A-4EE5-B8B3-8C5CC0E4072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57-403A-4EE5-B8B3-8C5CC0E4072E}"/>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59-403A-4EE5-B8B3-8C5CC0E4072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in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in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in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in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inEnd"/>
              <c:showLegendKey val="0"/>
              <c:showVal val="1"/>
              <c:showCatName val="0"/>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'Specific open licences'!$Z$8:$Z$14</c:f>
              <c:strCache>
                <c:ptCount val="7"/>
                <c:pt idx="1">
                  <c:v>Others MS</c:v>
                </c:pt>
                <c:pt idx="2">
                  <c:v>FR</c:v>
                </c:pt>
                <c:pt idx="3">
                  <c:v>PL</c:v>
                </c:pt>
                <c:pt idx="4">
                  <c:v>DE</c:v>
                </c:pt>
                <c:pt idx="5">
                  <c:v>UK</c:v>
                </c:pt>
                <c:pt idx="6">
                  <c:v>NL</c:v>
                </c:pt>
              </c:strCache>
            </c:strRef>
          </c:cat>
          <c:val>
            <c:numRef>
              <c:f>'Specific open licences'!$AC$8:$AC$14</c:f>
              <c:numCache>
                <c:formatCode>0.00%</c:formatCode>
                <c:ptCount val="7"/>
                <c:pt idx="1">
                  <c:v>2.1008403361344537E-3</c:v>
                </c:pt>
                <c:pt idx="2">
                  <c:v>1.2605042016806723E-2</c:v>
                </c:pt>
                <c:pt idx="3">
                  <c:v>2.0308123249299721E-2</c:v>
                </c:pt>
                <c:pt idx="4">
                  <c:v>7.7731092436974791E-2</c:v>
                </c:pt>
                <c:pt idx="5">
                  <c:v>0.44047619047619047</c:v>
                </c:pt>
                <c:pt idx="6">
                  <c:v>0.44677871148459386</c:v>
                </c:pt>
              </c:numCache>
            </c:numRef>
          </c:val>
          <c:extLst xmlns:c16r2="http://schemas.microsoft.com/office/drawing/2015/06/chart">
            <c:ext xmlns:c16="http://schemas.microsoft.com/office/drawing/2014/chart" uri="{C3380CC4-5D6E-409C-BE32-E72D297353CC}">
              <c16:uniqueId val="{0000005A-403A-4EE5-B8B3-8C5CC0E4072E}"/>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BE">
                <a:solidFill>
                  <a:schemeClr val="bg1"/>
                </a:solidFill>
              </a:rPr>
              <a:t>C</a:t>
            </a:r>
            <a:endParaRPr lang="fr-BE"/>
          </a:p>
        </c:rich>
      </c:tx>
      <c:layout>
        <c:manualLayout>
          <c:xMode val="edge"/>
          <c:yMode val="edge"/>
          <c:x val="2.8823372000849123E-2"/>
          <c:y val="5.9928412401627086E-2"/>
        </c:manualLayout>
      </c:layout>
      <c:overlay val="0"/>
      <c:spPr>
        <a:noFill/>
        <a:ln>
          <a:noFill/>
        </a:ln>
        <a:effectLst/>
      </c:spPr>
    </c:title>
    <c:autoTitleDeleted val="0"/>
    <c:view3D>
      <c:rotX val="20"/>
      <c:rotY val="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'General open licences'!$V$56</c:f>
              <c:strCache>
                <c:ptCount val="1"/>
                <c:pt idx="0">
                  <c:v>2014-2017</c:v>
                </c:pt>
              </c:strCache>
            </c:strRef>
          </c:tx>
          <c:explosion val="1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CAA-44B4-96BA-72A0864AAF6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CAA-44B4-96BA-72A0864AAF6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CAA-44B4-96BA-72A0864AAF6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CAA-44B4-96BA-72A0864AAF6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4CAA-44B4-96BA-72A0864AAF6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4CAA-44B4-96BA-72A0864AAF6A}"/>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4CAA-44B4-96BA-72A0864AAF6A}"/>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4CAA-44B4-96BA-72A0864AAF6A}"/>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4CAA-44B4-96BA-72A0864AAF6A}"/>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4CAA-44B4-96BA-72A0864AAF6A}"/>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4CAA-44B4-96BA-72A0864AAF6A}"/>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4CAA-44B4-96BA-72A0864AAF6A}"/>
              </c:ext>
            </c:extLst>
          </c:dPt>
          <c:dPt>
            <c:idx val="12"/>
            <c:bubble3D val="0"/>
            <c:spPr>
              <a:solidFill>
                <a:schemeClr val="accent1">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4CAA-44B4-96BA-72A0864AAF6A}"/>
              </c:ext>
            </c:extLst>
          </c:dPt>
          <c:dPt>
            <c:idx val="13"/>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B-4CAA-44B4-96BA-72A0864AAF6A}"/>
              </c:ext>
            </c:extLst>
          </c:dPt>
          <c:dPt>
            <c:idx val="14"/>
            <c:bubble3D val="0"/>
            <c:spPr>
              <a:solidFill>
                <a:schemeClr val="accent3">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4CAA-44B4-96BA-72A0864AAF6A}"/>
              </c:ext>
            </c:extLst>
          </c:dPt>
          <c:dPt>
            <c:idx val="15"/>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4CAA-44B4-96BA-72A0864AAF6A}"/>
              </c:ext>
            </c:extLst>
          </c:dPt>
          <c:dPt>
            <c:idx val="16"/>
            <c:bubble3D val="0"/>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4CAA-44B4-96BA-72A0864AAF6A}"/>
              </c:ext>
            </c:extLst>
          </c:dPt>
          <c:dPt>
            <c:idx val="17"/>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3-4CAA-44B4-96BA-72A0864AAF6A}"/>
              </c:ext>
            </c:extLst>
          </c:dPt>
          <c:dPt>
            <c:idx val="18"/>
            <c:bubble3D val="0"/>
            <c:spPr>
              <a:solidFill>
                <a:schemeClr val="accent1">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5-4CAA-44B4-96BA-72A0864AAF6A}"/>
              </c:ext>
            </c:extLst>
          </c:dPt>
          <c:dPt>
            <c:idx val="1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7-4CAA-44B4-96BA-72A0864AAF6A}"/>
              </c:ext>
            </c:extLst>
          </c:dPt>
          <c:dPt>
            <c:idx val="20"/>
            <c:bubble3D val="0"/>
            <c:spPr>
              <a:solidFill>
                <a:schemeClr val="accent3">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9-4CAA-44B4-96BA-72A0864AAF6A}"/>
              </c:ext>
            </c:extLst>
          </c:dPt>
          <c:dPt>
            <c:idx val="21"/>
            <c:bubble3D val="0"/>
            <c:spPr>
              <a:solidFill>
                <a:schemeClr val="accent4">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B-4CAA-44B4-96BA-72A0864AAF6A}"/>
              </c:ext>
            </c:extLst>
          </c:dPt>
          <c:dPt>
            <c:idx val="22"/>
            <c:bubble3D val="0"/>
            <c:spPr>
              <a:solidFill>
                <a:schemeClr val="accent5">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D-4CAA-44B4-96BA-72A0864AAF6A}"/>
              </c:ext>
            </c:extLst>
          </c:dPt>
          <c:dPt>
            <c:idx val="23"/>
            <c:bubble3D val="0"/>
            <c:spPr>
              <a:solidFill>
                <a:schemeClr val="accent6">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F-4CAA-44B4-96BA-72A0864AAF6A}"/>
              </c:ext>
            </c:extLst>
          </c:dPt>
          <c:dPt>
            <c:idx val="24"/>
            <c:bubble3D val="0"/>
            <c:spPr>
              <a:solidFill>
                <a:schemeClr val="accent1">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1-4CAA-44B4-96BA-72A0864AAF6A}"/>
              </c:ext>
            </c:extLst>
          </c:dPt>
          <c:dPt>
            <c:idx val="25"/>
            <c:bubble3D val="0"/>
            <c:spPr>
              <a:solidFill>
                <a:schemeClr val="accent2">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3-4CAA-44B4-96BA-72A0864AAF6A}"/>
              </c:ext>
            </c:extLst>
          </c:dPt>
          <c:dPt>
            <c:idx val="26"/>
            <c:bubble3D val="0"/>
            <c:spPr>
              <a:solidFill>
                <a:schemeClr val="accent3">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5-4CAA-44B4-96BA-72A0864AAF6A}"/>
              </c:ext>
            </c:extLst>
          </c:dPt>
          <c:dPt>
            <c:idx val="27"/>
            <c:bubble3D val="0"/>
            <c:spPr>
              <a:solidFill>
                <a:schemeClr val="accent4">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7-4CAA-44B4-96BA-72A0864AAF6A}"/>
              </c:ext>
            </c:extLst>
          </c:dPt>
          <c:dPt>
            <c:idx val="28"/>
            <c:bubble3D val="0"/>
            <c:spPr>
              <a:solidFill>
                <a:schemeClr val="accent5">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9-4CAA-44B4-96BA-72A0864AAF6A}"/>
              </c:ext>
            </c:extLst>
          </c:dPt>
          <c:dPt>
            <c:idx val="29"/>
            <c:bubble3D val="0"/>
            <c:spPr>
              <a:solidFill>
                <a:schemeClr val="accent6">
                  <a:lumMod val="60000"/>
                  <a:lumOff val="4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B-4CAA-44B4-96BA-72A0864AAF6A}"/>
              </c:ext>
            </c:extLst>
          </c:dPt>
          <c:dLbls>
            <c:dLbl>
              <c:idx val="0"/>
              <c:layout>
                <c:manualLayout>
                  <c:x val="-0.35780278854701075"/>
                  <c:y val="2.443399353237839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ostatní členské státy</a:t>
                    </a:r>
                    <a:r>
                      <a:rPr lang="en-US" baseline="0"/>
                      <a:t>
</a:t>
                    </a:r>
                    <a:r>
                      <a:rPr lang="en-US" b="0" baseline="0">
                        <a:solidFill>
                          <a:sysClr val="windowText" lastClr="000000"/>
                        </a:solidFill>
                      </a:rPr>
                      <a:t>27</a:t>
                    </a:r>
                    <a:r>
                      <a:rPr lang="en-US" baseline="0"/>
                      <a:t>
</a:t>
                    </a:r>
                    <a:r>
                      <a:rPr lang="en-US" b="0" baseline="0">
                        <a:solidFill>
                          <a:sysClr val="windowText" lastClr="000000"/>
                        </a:solidFill>
                      </a:rPr>
                      <a:t>2 %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CAA-44B4-96BA-72A0864AAF6A}"/>
                </c:ext>
              </c:extLst>
            </c:dLbl>
            <c:dLbl>
              <c:idx val="1"/>
              <c:layout>
                <c:manualLayout>
                  <c:x val="2.3141076115485566E-2"/>
                  <c:y val="-0.1023484895061101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EL</a:t>
                    </a:r>
                  </a:p>
                  <a:p>
                    <a:pPr>
                      <a:defRPr sz="1000" b="1" i="0" u="none" strike="noStrike" kern="1200" spc="0" baseline="0">
                        <a:solidFill>
                          <a:schemeClr val="accent1"/>
                        </a:solidFill>
                        <a:latin typeface="+mn-lt"/>
                        <a:ea typeface="+mn-ea"/>
                        <a:cs typeface="+mn-cs"/>
                      </a:defRPr>
                    </a:pPr>
                    <a:r>
                      <a:rPr lang="en-US" b="0" baseline="0">
                        <a:solidFill>
                          <a:sysClr val="windowText" lastClr="000000"/>
                        </a:solidFill>
                      </a:rPr>
                      <a:t>17</a:t>
                    </a:r>
                  </a:p>
                  <a:p>
                    <a:pPr>
                      <a:defRPr sz="1000" b="1" i="0" u="none" strike="noStrike" kern="1200" spc="0" baseline="0">
                        <a:solidFill>
                          <a:schemeClr val="accent1"/>
                        </a:solidFill>
                        <a:latin typeface="+mn-lt"/>
                        <a:ea typeface="+mn-ea"/>
                        <a:cs typeface="+mn-cs"/>
                      </a:defRPr>
                    </a:pPr>
                    <a:r>
                      <a:rPr lang="en-US" b="0" baseline="0">
                        <a:solidFill>
                          <a:sysClr val="windowText" lastClr="000000"/>
                        </a:solidFill>
                      </a:rPr>
                      <a:t>1 %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CAA-44B4-96BA-72A0864AAF6A}"/>
                </c:ext>
              </c:extLst>
            </c:dLbl>
            <c:dLbl>
              <c:idx val="2"/>
              <c:layout>
                <c:manualLayout>
                  <c:x val="2.9135984085088613E-2"/>
                  <c:y val="-9.997438033556385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PL</a:t>
                    </a:r>
                    <a:r>
                      <a:rPr lang="en-US" b="0" baseline="0">
                        <a:solidFill>
                          <a:sysClr val="windowText" lastClr="000000"/>
                        </a:solidFill>
                      </a:rPr>
                      <a:t>
124</a:t>
                    </a:r>
                    <a:r>
                      <a:rPr lang="en-US" baseline="0"/>
                      <a:t>
</a:t>
                    </a:r>
                    <a:r>
                      <a:rPr lang="en-US" b="0" baseline="0">
                        <a:solidFill>
                          <a:sysClr val="windowText" lastClr="000000"/>
                        </a:solidFill>
                      </a:rPr>
                      <a:t>8 %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CAA-44B4-96BA-72A0864AAF6A}"/>
                </c:ext>
              </c:extLst>
            </c:dLbl>
            <c:dLbl>
              <c:idx val="3"/>
              <c:layout>
                <c:manualLayout>
                  <c:x val="3.6729633809843329E-2"/>
                  <c:y val="-0.1330742701530909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SI</a:t>
                    </a:r>
                  </a:p>
                  <a:p>
                    <a:pPr>
                      <a:defRPr sz="1000" b="1" i="0" u="none" strike="noStrike" kern="1200" spc="0" baseline="0">
                        <a:solidFill>
                          <a:schemeClr val="accent1"/>
                        </a:solidFill>
                        <a:latin typeface="+mn-lt"/>
                        <a:ea typeface="+mn-ea"/>
                        <a:cs typeface="+mn-cs"/>
                      </a:defRPr>
                    </a:pPr>
                    <a:r>
                      <a:rPr lang="en-US" b="0" baseline="0">
                        <a:solidFill>
                          <a:sysClr val="windowText" lastClr="000000"/>
                        </a:solidFill>
                      </a:rPr>
                      <a:t>141</a:t>
                    </a:r>
                  </a:p>
                  <a:p>
                    <a:pPr>
                      <a:defRPr sz="1000" b="1" i="0" u="none" strike="noStrike" kern="1200" spc="0" baseline="0">
                        <a:solidFill>
                          <a:schemeClr val="accent1"/>
                        </a:solidFill>
                        <a:latin typeface="+mn-lt"/>
                        <a:ea typeface="+mn-ea"/>
                        <a:cs typeface="+mn-cs"/>
                      </a:defRPr>
                    </a:pPr>
                    <a:r>
                      <a:rPr lang="en-US" b="0" baseline="0">
                        <a:solidFill>
                          <a:sysClr val="windowText" lastClr="000000"/>
                        </a:solidFill>
                      </a:rPr>
                      <a:t>9 %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CAA-44B4-96BA-72A0864AAF6A}"/>
                </c:ext>
              </c:extLst>
            </c:dLbl>
            <c:dLbl>
              <c:idx val="4"/>
              <c:layout>
                <c:manualLayout>
                  <c:x val="3.651612723634675E-2"/>
                  <c:y val="0.1162831729367162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DE</a:t>
                    </a:r>
                    <a:r>
                      <a:rPr lang="en-US" b="0" baseline="0">
                        <a:solidFill>
                          <a:sysClr val="windowText" lastClr="000000"/>
                        </a:solidFill>
                      </a:rPr>
                      <a:t>
</a:t>
                    </a:r>
                    <a:r>
                      <a:rPr lang="en-US" sz="900" b="0" baseline="0">
                        <a:solidFill>
                          <a:sysClr val="windowText" lastClr="000000"/>
                        </a:solidFill>
                      </a:rPr>
                      <a:t>389</a:t>
                    </a:r>
                    <a:r>
                      <a:rPr lang="en-US" baseline="0"/>
                      <a:t>
</a:t>
                    </a:r>
                    <a:r>
                      <a:rPr lang="en-US" sz="900" b="0" baseline="0">
                        <a:solidFill>
                          <a:sysClr val="windowText" lastClr="000000"/>
                        </a:solidFill>
                      </a:rPr>
                      <a:t>26 %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CAA-44B4-96BA-72A0864AAF6A}"/>
                </c:ext>
              </c:extLst>
            </c:dLbl>
            <c:dLbl>
              <c:idx val="5"/>
              <c:layout>
                <c:manualLayout>
                  <c:x val="-7.3002882548561424E-2"/>
                  <c:y val="4.115558471857684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0">
                        <a:solidFill>
                          <a:sysClr val="windowText" lastClr="000000"/>
                        </a:solidFill>
                      </a:rPr>
                      <a:t>ES</a:t>
                    </a:r>
                    <a:r>
                      <a:rPr lang="en-US" baseline="0"/>
                      <a:t>
</a:t>
                    </a:r>
                    <a:r>
                      <a:rPr lang="en-US" b="0" baseline="0">
                        <a:solidFill>
                          <a:sysClr val="windowText" lastClr="000000"/>
                        </a:solidFill>
                      </a:rPr>
                      <a:t>803</a:t>
                    </a:r>
                    <a:r>
                      <a:rPr lang="en-US" baseline="0"/>
                      <a:t>
</a:t>
                    </a:r>
                    <a:r>
                      <a:rPr lang="en-US" b="0" baseline="0">
                        <a:solidFill>
                          <a:sysClr val="windowText" lastClr="000000"/>
                        </a:solidFill>
                      </a:rPr>
                      <a:t>54 %</a:t>
                    </a:r>
                    <a:endParaRPr lang="en-US" baseline="0"/>
                  </a:p>
                </c:rich>
              </c:tx>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4CAA-44B4-96BA-72A0864AAF6A}"/>
                </c:ext>
              </c:extLst>
            </c:dLbl>
            <c:dLbl>
              <c:idx val="11"/>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CAA-44B4-96BA-72A0864AAF6A}"/>
                </c:ext>
              </c:extLst>
            </c:dLbl>
            <c:dLbl>
              <c:idx val="12"/>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4CAA-44B4-96BA-72A0864AAF6A}"/>
                </c:ext>
              </c:extLst>
            </c:dLbl>
            <c:dLbl>
              <c:idx val="13"/>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4CAA-44B4-96BA-72A0864AAF6A}"/>
                </c:ext>
              </c:extLst>
            </c:dLbl>
            <c:dLbl>
              <c:idx val="14"/>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4CAA-44B4-96BA-72A0864AAF6A}"/>
                </c:ext>
              </c:extLst>
            </c:dLbl>
            <c:dLbl>
              <c:idx val="15"/>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4CAA-44B4-96BA-72A0864AAF6A}"/>
                </c:ext>
              </c:extLst>
            </c:dLbl>
            <c:dLbl>
              <c:idx val="16"/>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4CAA-44B4-96BA-72A0864AAF6A}"/>
                </c:ext>
              </c:extLst>
            </c:dLbl>
            <c:dLbl>
              <c:idx val="17"/>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lumOff val="2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4CAA-44B4-96BA-72A0864AAF6A}"/>
                </c:ext>
              </c:extLst>
            </c:dLbl>
            <c:dLbl>
              <c:idx val="18"/>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4CAA-44B4-96BA-72A0864AAF6A}"/>
                </c:ext>
              </c:extLst>
            </c:dLbl>
            <c:dLbl>
              <c:idx val="19"/>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4CAA-44B4-96BA-72A0864AAF6A}"/>
                </c:ext>
              </c:extLst>
            </c:dLbl>
            <c:dLbl>
              <c:idx val="20"/>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4CAA-44B4-96BA-72A0864AAF6A}"/>
                </c:ext>
              </c:extLst>
            </c:dLbl>
            <c:dLbl>
              <c:idx val="21"/>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4CAA-44B4-96BA-72A0864AAF6A}"/>
                </c:ext>
              </c:extLst>
            </c:dLbl>
            <c:dLbl>
              <c:idx val="22"/>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4CAA-44B4-96BA-72A0864AAF6A}"/>
                </c:ext>
              </c:extLst>
            </c:dLbl>
            <c:dLbl>
              <c:idx val="23"/>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8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4CAA-44B4-96BA-72A0864AAF6A}"/>
                </c:ext>
              </c:extLst>
            </c:dLbl>
            <c:dLbl>
              <c:idx val="24"/>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4CAA-44B4-96BA-72A0864AAF6A}"/>
                </c:ext>
              </c:extLst>
            </c:dLbl>
            <c:dLbl>
              <c:idx val="25"/>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4CAA-44B4-96BA-72A0864AAF6A}"/>
                </c:ext>
              </c:extLst>
            </c:dLbl>
            <c:dLbl>
              <c:idx val="26"/>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4CAA-44B4-96BA-72A0864AAF6A}"/>
                </c:ext>
              </c:extLst>
            </c:dLbl>
            <c:dLbl>
              <c:idx val="27"/>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4CAA-44B4-96BA-72A0864AAF6A}"/>
                </c:ext>
              </c:extLst>
            </c:dLbl>
            <c:dLbl>
              <c:idx val="28"/>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9-4CAA-44B4-96BA-72A0864AAF6A}"/>
                </c:ext>
              </c:extLst>
            </c:dLbl>
            <c:dLbl>
              <c:idx val="29"/>
              <c:spPr>
                <a:pattFill prst="pct5">
                  <a:fgClr>
                    <a:sysClr val="window" lastClr="FFFFFF"/>
                  </a:fgClr>
                  <a:bgClr>
                    <a:sysClr val="window" lastClr="FFFFFF"/>
                  </a:bgClr>
                </a:patt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lumOff val="40000"/>
                        </a:schemeClr>
                      </a:solidFill>
                      <a:latin typeface="+mn-lt"/>
                      <a:ea typeface="+mn-ea"/>
                      <a:cs typeface="+mn-cs"/>
                    </a:defRPr>
                  </a:pPr>
                  <a:endParaRPr lang="en-US"/>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B-4CAA-44B4-96BA-72A0864AAF6A}"/>
                </c:ext>
              </c:extLst>
            </c:dLbl>
            <c:spPr>
              <a:pattFill prst="pct5">
                <a:fgClr>
                  <a:sysClr val="window" lastClr="FFFFFF"/>
                </a:fgClr>
                <a:bgClr>
                  <a:sysClr val="window" lastClr="FFFFFF"/>
                </a:bgClr>
              </a:pattFill>
              <a:ln>
                <a:noFill/>
              </a:ln>
              <a:effectLst/>
            </c:sp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'General open licences'!$U$57:$U$62</c:f>
              <c:strCache>
                <c:ptCount val="6"/>
                <c:pt idx="0">
                  <c:v>Others MS</c:v>
                </c:pt>
                <c:pt idx="1">
                  <c:v>EL</c:v>
                </c:pt>
                <c:pt idx="2">
                  <c:v>PL</c:v>
                </c:pt>
                <c:pt idx="3">
                  <c:v>SI</c:v>
                </c:pt>
                <c:pt idx="4">
                  <c:v>DE</c:v>
                </c:pt>
                <c:pt idx="5">
                  <c:v>ES</c:v>
                </c:pt>
              </c:strCache>
            </c:strRef>
          </c:cat>
          <c:val>
            <c:numRef>
              <c:f>'General open licences'!$V$57:$V$62</c:f>
              <c:numCache>
                <c:formatCode>General</c:formatCode>
                <c:ptCount val="6"/>
                <c:pt idx="0">
                  <c:v>27</c:v>
                </c:pt>
                <c:pt idx="1">
                  <c:v>17</c:v>
                </c:pt>
                <c:pt idx="2">
                  <c:v>124</c:v>
                </c:pt>
                <c:pt idx="3">
                  <c:v>141</c:v>
                </c:pt>
                <c:pt idx="4">
                  <c:v>389</c:v>
                </c:pt>
                <c:pt idx="5">
                  <c:v>803</c:v>
                </c:pt>
              </c:numCache>
            </c:numRef>
          </c:val>
          <c:extLst xmlns:c16r2="http://schemas.microsoft.com/office/drawing/2015/06/chart">
            <c:ext xmlns:c16="http://schemas.microsoft.com/office/drawing/2014/chart" uri="{C3380CC4-5D6E-409C-BE32-E72D297353CC}">
              <c16:uniqueId val="{0000003C-4CAA-44B4-96BA-72A0864AAF6A}"/>
            </c:ext>
          </c:extLst>
        </c:ser>
        <c:ser>
          <c:idx val="1"/>
          <c:order val="1"/>
          <c:tx>
            <c:strRef>
              <c:f>'General open licences'!$W$56</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3E-4CAA-44B4-96BA-72A0864AAF6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0-4CAA-44B4-96BA-72A0864AAF6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2-4CAA-44B4-96BA-72A0864AAF6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4-4CAA-44B4-96BA-72A0864AAF6A}"/>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6-4CAA-44B4-96BA-72A0864AAF6A}"/>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48-4CAA-44B4-96BA-72A0864AAF6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inEnd"/>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in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in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in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inEnd"/>
              <c:showLegendKey val="0"/>
              <c:showVal val="1"/>
              <c:showCatName val="0"/>
              <c:showSerName val="0"/>
              <c:showPercent val="0"/>
              <c:showBubbleSize val="0"/>
            </c:dLbl>
            <c:spPr>
              <a:noFill/>
              <a:ln>
                <a:noFill/>
              </a:ln>
              <a:effectLst/>
            </c:sp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'General open licences'!$U$57:$U$62</c:f>
              <c:strCache>
                <c:ptCount val="6"/>
                <c:pt idx="0">
                  <c:v>Others MS</c:v>
                </c:pt>
                <c:pt idx="1">
                  <c:v>EL</c:v>
                </c:pt>
                <c:pt idx="2">
                  <c:v>PL</c:v>
                </c:pt>
                <c:pt idx="3">
                  <c:v>SI</c:v>
                </c:pt>
                <c:pt idx="4">
                  <c:v>DE</c:v>
                </c:pt>
                <c:pt idx="5">
                  <c:v>ES</c:v>
                </c:pt>
              </c:strCache>
            </c:strRef>
          </c:cat>
          <c:val>
            <c:numRef>
              <c:f>'General open licences'!$W$57:$W$62</c:f>
              <c:numCache>
                <c:formatCode>0.00%</c:formatCode>
                <c:ptCount val="6"/>
                <c:pt idx="0">
                  <c:v>1.7999999999999999E-2</c:v>
                </c:pt>
                <c:pt idx="1">
                  <c:v>1.1299999999999999E-2</c:v>
                </c:pt>
                <c:pt idx="2">
                  <c:v>8.2600000000000007E-2</c:v>
                </c:pt>
                <c:pt idx="3">
                  <c:v>9.3899999999999997E-2</c:v>
                </c:pt>
                <c:pt idx="4">
                  <c:v>0.25919999999999999</c:v>
                </c:pt>
                <c:pt idx="5">
                  <c:v>0.53500000000000003</c:v>
                </c:pt>
              </c:numCache>
            </c:numRef>
          </c:val>
          <c:extLst xmlns:c16r2="http://schemas.microsoft.com/office/drawing/2015/06/chart">
            <c:ext xmlns:c16="http://schemas.microsoft.com/office/drawing/2014/chart" uri="{C3380CC4-5D6E-409C-BE32-E72D297353CC}">
              <c16:uniqueId val="{00000049-4CAA-44B4-96BA-72A0864AAF6A}"/>
            </c:ext>
          </c:extLst>
        </c:ser>
        <c:dLbls>
          <c:dLblPos val="in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D71915-68BD-4DF3-9CB2-750CC3A7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19</Pages>
  <Words>5435</Words>
  <Characters>27559</Characters>
  <Application>Microsoft Office Word</Application>
  <DocSecurity>0</DocSecurity>
  <Lines>1621</Lines>
  <Paragraphs>1434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23</cp:revision>
  <cp:lastPrinted>2019-09-03T13:15:00Z</cp:lastPrinted>
  <dcterms:created xsi:type="dcterms:W3CDTF">2019-09-02T09:47:00Z</dcterms:created>
  <dcterms:modified xsi:type="dcterms:W3CDTF">2019-09-17T13:54:00Z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CP-007</vt:lpwstr>
  </property>
  <property fmtid="{D5CDD505-2E9C-101B-9397-08002B2CF9AE}" pid="7" name="Last edited using">
    <vt:lpwstr>LW 7.0, Build 20190717</vt:lpwstr>
  </property>
  <property fmtid="{D5CDD505-2E9C-101B-9397-08002B2CF9AE}" pid="8" name="Created using">
    <vt:lpwstr>LW 7.0, Build 20190717</vt:lpwstr>
  </property>
</Properties>
</file>