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65DDAE6-0178-4658-A142-20A42398E002" style="width:450.8pt;height:492.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BILAGA </w:t>
      </w:r>
    </w:p>
    <w:p>
      <w:pPr>
        <w:spacing w:before="360" w:after="0"/>
        <w:jc w:val="center"/>
        <w:rPr>
          <w:b/>
          <w:noProof/>
          <w:szCs w:val="24"/>
        </w:rPr>
      </w:pPr>
      <w:r>
        <w:rPr>
          <w:b/>
          <w:noProof/>
          <w:szCs w:val="24"/>
        </w:rPr>
        <w:t>GEMENSAMMA EES-KOMMITTÉNS BESLUT</w:t>
      </w:r>
    </w:p>
    <w:p>
      <w:pPr>
        <w:spacing w:after="0"/>
        <w:jc w:val="center"/>
        <w:rPr>
          <w:b/>
          <w:noProof/>
          <w:szCs w:val="24"/>
        </w:rPr>
      </w:pPr>
      <w:r>
        <w:rPr>
          <w:b/>
          <w:noProof/>
          <w:szCs w:val="24"/>
        </w:rPr>
        <w:t>nr [...]</w:t>
      </w:r>
    </w:p>
    <w:p>
      <w:pPr>
        <w:spacing w:before="360" w:after="0"/>
        <w:jc w:val="center"/>
        <w:rPr>
          <w:b/>
          <w:noProof/>
          <w:szCs w:val="24"/>
        </w:rPr>
      </w:pPr>
      <w:r>
        <w:rPr>
          <w:b/>
          <w:noProof/>
          <w:szCs w:val="24"/>
        </w:rPr>
        <w:t>av den [...]</w:t>
      </w:r>
    </w:p>
    <w:p>
      <w:pPr>
        <w:spacing w:before="360" w:after="360"/>
        <w:jc w:val="center"/>
        <w:rPr>
          <w:b/>
          <w:noProof/>
          <w:szCs w:val="24"/>
        </w:rPr>
      </w:pPr>
      <w:r>
        <w:rPr>
          <w:b/>
          <w:noProof/>
          <w:szCs w:val="24"/>
        </w:rPr>
        <w:t>om ändring av protokoll 31 till EES-avtalet om samarbete inom särskilda områden vid sidan om de fyra friheterna</w:t>
      </w:r>
    </w:p>
    <w:p>
      <w:pPr>
        <w:spacing w:before="600"/>
        <w:rPr>
          <w:noProof/>
          <w:szCs w:val="24"/>
        </w:rPr>
      </w:pPr>
      <w:r>
        <w:rPr>
          <w:noProof/>
        </w:rPr>
        <w:t>GEMENSAMMA EES-KOMMITTÉN HAR ANTAGIT DETTA BESLUT</w:t>
      </w:r>
    </w:p>
    <w:p>
      <w:pPr>
        <w:rPr>
          <w:noProof/>
          <w:szCs w:val="24"/>
        </w:rPr>
      </w:pPr>
      <w:r>
        <w:rPr>
          <w:noProof/>
        </w:rPr>
        <w:t xml:space="preserve">med beaktande av avtalet om Europeiska ekonomiska samarbetsområdet (nedan kallat </w:t>
      </w:r>
      <w:r>
        <w:rPr>
          <w:i/>
          <w:noProof/>
        </w:rPr>
        <w:t>EES-avtalet</w:t>
      </w:r>
      <w:r>
        <w:rPr>
          <w:noProof/>
        </w:rPr>
        <w:t>), särskilt artiklarna 86 och 98, och</w:t>
      </w:r>
    </w:p>
    <w:p>
      <w:pPr>
        <w:rPr>
          <w:noProof/>
          <w:szCs w:val="24"/>
        </w:rPr>
      </w:pPr>
      <w:r>
        <w:rPr>
          <w:noProof/>
        </w:rPr>
        <w:t>av följande skäl:</w:t>
      </w:r>
    </w:p>
    <w:p>
      <w:pPr>
        <w:pStyle w:val="Considrant"/>
        <w:numPr>
          <w:ilvl w:val="0"/>
          <w:numId w:val="10"/>
        </w:numPr>
        <w:rPr>
          <w:noProof/>
        </w:rPr>
      </w:pPr>
      <w:r>
        <w:rPr>
          <w:noProof/>
        </w:rPr>
        <w:t>Europeiska unionen, Island och Norge har åtagit sig att minska sina totala utsläpp av växthusgaser i syfte att hålla ökningen i den globala medeltemperaturen betydligt under 2 °C över förindustriell nivå samt göra ansträngningar för att begränsa temperaturökningen till 1,5 °C över förindustriell nivå.</w:t>
      </w:r>
    </w:p>
    <w:p>
      <w:pPr>
        <w:pStyle w:val="Considrant"/>
        <w:rPr>
          <w:noProof/>
        </w:rPr>
      </w:pPr>
      <w:r>
        <w:rPr>
          <w:noProof/>
        </w:rPr>
        <w:t>Samarbetet mellan de avtalsslutande parterna i EES-avtalet bör lämpligen utvidgas till att omfatta Europaparlamentets och rådets förordning (EU) 2018/841 av den 30 maj 2018 om inbegripande av utsläpp och upptag av växthusgaser från markanvändning, förändrad markanvändning och skogsbruk i ramen för klimat- och energipolitiken fram till 2030 och om ändring av förordning (EU) nr 525/2013 och beslut nr 529/2013/EU</w:t>
      </w:r>
      <w:r>
        <w:rPr>
          <w:rStyle w:val="FootnoteReference"/>
          <w:noProof/>
        </w:rPr>
        <w:footnoteReference w:id="1"/>
      </w:r>
      <w:r>
        <w:rPr>
          <w:noProof/>
        </w:rPr>
        <w:t>.</w:t>
      </w:r>
    </w:p>
    <w:p>
      <w:pPr>
        <w:pStyle w:val="Considrant"/>
        <w:rPr>
          <w:noProof/>
        </w:rPr>
      </w:pPr>
      <w:r>
        <w:rPr>
          <w:noProof/>
        </w:rPr>
        <w:t>Samarbetet mellan de avtalsslutande parterna i EES-avtalet bör lämpligen utvidgas till att omfatta Europaparlamentets och rådets förordning (EU) 2018/842 av den 30 maj 2018 om medlemsstaternas bindande årliga minskningar av växthusgasutsläpp under perioden 2021–2030 som bidrar till klimatåtgärder för att fullgöra åtagandena enligt Parisavtalet samt om ändring av förordning (EU) nr 525/2013</w:t>
      </w:r>
      <w:r>
        <w:rPr>
          <w:rStyle w:val="FootnoteReference"/>
          <w:noProof/>
        </w:rPr>
        <w:footnoteReference w:id="2"/>
      </w:r>
      <w:r>
        <w:rPr>
          <w:noProof/>
        </w:rPr>
        <w:t>.</w:t>
      </w:r>
    </w:p>
    <w:p>
      <w:pPr>
        <w:pStyle w:val="Considrant"/>
        <w:rPr>
          <w:noProof/>
        </w:rPr>
      </w:pPr>
      <w:r>
        <w:rPr>
          <w:noProof/>
        </w:rPr>
        <w:t>Samarbetet mellan de avtalsslutande parterna i EES-avtalet bör lämpligen utvidgas till att omfatta vissa bestämmelser i Europaparlamentets och rådets förordning (EU) 2018/1999 av den 11 december 2018 om styrningen av energiunionen och av klimatåtgärder samt om ändring av Europaparlamentets och rådets förordningar (EG) nr 663/2009 och (EG) nr 715/2009, Europaparlamentets och rådets direktiv 94/22/EG, 98/70/EG, 2009/31/EG, 2009/73/EG, 2010/31/EU, 2012/27/EU och 2013/30/EU samt rådets direktiv 2009/119/EG och (EU) 2015/652 och om upphävande av Europaparlamentets och rådets förordning (EU) nr 525/2013</w:t>
      </w:r>
      <w:r>
        <w:rPr>
          <w:rStyle w:val="FootnoteReference"/>
          <w:noProof/>
        </w:rPr>
        <w:footnoteReference w:id="3"/>
      </w:r>
      <w:r>
        <w:rPr>
          <w:noProof/>
        </w:rPr>
        <w:t xml:space="preserve">, vilka är väsentliga för genomförandet av förordningarna (EU) 2018/841 och (EU) 2018/842. </w:t>
      </w:r>
    </w:p>
    <w:p>
      <w:pPr>
        <w:pStyle w:val="Considrant"/>
        <w:rPr>
          <w:noProof/>
        </w:rPr>
      </w:pPr>
      <w:r>
        <w:rPr>
          <w:noProof/>
        </w:rPr>
        <w:t>Samarbetet mellan de avtalsslutande parterna i EES-avtalet bör lämpligen utvidgas till att omfatta vissa bestämmelser i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w:t>
      </w:r>
      <w:r>
        <w:rPr>
          <w:rStyle w:val="FootnoteReference"/>
          <w:noProof/>
        </w:rPr>
        <w:footnoteReference w:id="4"/>
      </w:r>
      <w:r>
        <w:rPr>
          <w:noProof/>
        </w:rPr>
        <w:t>, vilka är väsentliga för genomförandet av förordning (EU) 2018/842.</w:t>
      </w:r>
    </w:p>
    <w:p>
      <w:pPr>
        <w:pStyle w:val="Considrant"/>
        <w:rPr>
          <w:noProof/>
        </w:rPr>
      </w:pPr>
      <w:r>
        <w:rPr>
          <w:noProof/>
        </w:rPr>
        <w:t>Samarbetet mellan de avtalsslutande parterna i EES-avtalet bör lämpligen utvidgas till att omfatta vissa bestämmelser i kommissionens genomförandeförordning (EU) nr 749/2014 av den 30 juni 2014 om struktur, format, inlämningsförfaranden och granskning gällande medlemsstaternas rapportering av information i enlighet med Europaparlamentets och rådets förordning (EU) nr 525/2013</w:t>
      </w:r>
      <w:r>
        <w:rPr>
          <w:rStyle w:val="FootnoteReference"/>
          <w:noProof/>
        </w:rPr>
        <w:footnoteReference w:id="5"/>
      </w:r>
      <w:r>
        <w:rPr>
          <w:noProof/>
        </w:rPr>
        <w:t>, vilka är väsentliga för genomförandet av förordning (EU) 2018/842.</w:t>
      </w:r>
    </w:p>
    <w:p>
      <w:pPr>
        <w:pStyle w:val="Considrant"/>
        <w:rPr>
          <w:noProof/>
        </w:rPr>
      </w:pPr>
      <w:r>
        <w:rPr>
          <w:noProof/>
        </w:rPr>
        <w:t>Genom detta beslut vidtar Island och Norge åtgärder för att senast 2030 uppnå sina utsläppsminskningsmål på minst 40 % minskning av växthusgasutsläppen jämfört med 1990 års nivåer</w:t>
      </w:r>
    </w:p>
    <w:p>
      <w:pPr>
        <w:pStyle w:val="Considrant"/>
        <w:rPr>
          <w:noProof/>
        </w:rPr>
      </w:pPr>
      <w:r>
        <w:rPr>
          <w:noProof/>
        </w:rPr>
        <w:t>Detta beslut påverkar inte hur EU, Island och Norge genomför Parisavtalet.</w:t>
      </w:r>
    </w:p>
    <w:p>
      <w:pPr>
        <w:pStyle w:val="Considrant"/>
        <w:rPr>
          <w:noProof/>
        </w:rPr>
      </w:pPr>
      <w:r>
        <w:rPr>
          <w:noProof/>
        </w:rPr>
        <w:t>Budgetfrågor ingår inte i EES-avtalet. Tillämpningen av artikel 5.6 i förordning (EU) 2018/842 påverkar därför inte EES-avtalets tillämpningsområde.</w:t>
      </w:r>
    </w:p>
    <w:p>
      <w:pPr>
        <w:pStyle w:val="Considrant"/>
        <w:rPr>
          <w:noProof/>
        </w:rPr>
      </w:pPr>
      <w:r>
        <w:rPr>
          <w:noProof/>
        </w:rPr>
        <w:t>Eftas övervakningsmyndighet bör verka i nära samordning med kommissionen närhelst den i kraft av detta beslut anmodas att utföra arbetsuppgifter som rör Island och Norge.</w:t>
      </w:r>
    </w:p>
    <w:p>
      <w:pPr>
        <w:pStyle w:val="Considrant"/>
        <w:rPr>
          <w:noProof/>
        </w:rPr>
      </w:pPr>
      <w:r>
        <w:rPr>
          <w:noProof/>
        </w:rPr>
        <w:t xml:space="preserve">Eftas övervakningsmyndighets och Efta-domstolens befogenheter är i kraft av detta beslut begränsade till de skyldigheter som härmed fullgörs. </w:t>
      </w:r>
    </w:p>
    <w:p>
      <w:pPr>
        <w:pStyle w:val="Considrant"/>
        <w:rPr>
          <w:noProof/>
        </w:rPr>
      </w:pPr>
      <w:r>
        <w:rPr>
          <w:noProof/>
        </w:rPr>
        <w:t>Protokoll 31 till EES-avtalet bör därför ändras så att detta utvidgade samarbete kan äga rum.</w:t>
      </w:r>
    </w:p>
    <w:p>
      <w:pPr>
        <w:keepNext/>
        <w:tabs>
          <w:tab w:val="left" w:pos="709"/>
        </w:tabs>
        <w:rPr>
          <w:noProof/>
          <w:szCs w:val="24"/>
        </w:rPr>
      </w:pPr>
      <w:r>
        <w:rPr>
          <w:noProof/>
        </w:rPr>
        <w:t>HÄRIGENOM FÖRESKRIVS FÖLJANDE.</w:t>
      </w:r>
    </w:p>
    <w:p>
      <w:pPr>
        <w:pStyle w:val="Articleheading"/>
        <w:rPr>
          <w:noProof/>
          <w:color w:val="auto"/>
        </w:rPr>
      </w:pPr>
      <w:r>
        <w:rPr>
          <w:noProof/>
          <w:color w:val="auto"/>
        </w:rPr>
        <w:t>Artikel 1</w:t>
      </w:r>
    </w:p>
    <w:p>
      <w:pPr>
        <w:pStyle w:val="Articletext"/>
        <w:rPr>
          <w:noProof/>
          <w:color w:val="auto"/>
        </w:rPr>
      </w:pPr>
      <w:r>
        <w:rPr>
          <w:noProof/>
          <w:color w:val="auto"/>
        </w:rPr>
        <w:t>Följande punkt ska införas efter punkt 7 i artikel 3 (Miljö) i protokoll 31 till EES-avtalet:</w:t>
      </w:r>
    </w:p>
    <w:p>
      <w:pPr>
        <w:pStyle w:val="Point0"/>
        <w:ind w:left="852" w:hanging="852"/>
        <w:rPr>
          <w:noProof/>
        </w:rPr>
      </w:pPr>
      <w:r>
        <w:rPr>
          <w:noProof/>
        </w:rPr>
        <w:t xml:space="preserve">”8. a) </w:t>
      </w:r>
      <w:r>
        <w:rPr>
          <w:noProof/>
        </w:rPr>
        <w:tab/>
        <w:t>Island och Norge kommer att uppfylla sina respektive mål för minskade växthusgasutsläpp för perioden 1 januari 2021–31 december 2030 i enlighet med följande rättsakter:</w:t>
      </w:r>
    </w:p>
    <w:p>
      <w:pPr>
        <w:pStyle w:val="Point1"/>
        <w:rPr>
          <w:noProof/>
        </w:rPr>
      </w:pPr>
      <w:r>
        <w:rPr>
          <w:noProof/>
        </w:rPr>
        <w:t>-</w:t>
      </w:r>
      <w:r>
        <w:rPr>
          <w:noProof/>
        </w:rPr>
        <w:tab/>
      </w:r>
      <w:r>
        <w:rPr>
          <w:b/>
          <w:noProof/>
        </w:rPr>
        <w:t>32018 R 0841</w:t>
      </w:r>
      <w:r>
        <w:rPr>
          <w:noProof/>
        </w:rPr>
        <w:t>: Europaparlamentets och rådets förordning (EU) 2018/841 av den 30 maj 2018 om inbegripande av utsläpp och upptag av växthusgaser från markanvändning, förändrad markanvändning och skogsbruk i ramen för klimat- och energipolitiken fram till 2030 och om ändring av förordning (EU) nr 525/2013 och beslut nr 529/2013/EU (EUT L 156, 19.6.2018, s. 1).</w:t>
      </w:r>
    </w:p>
    <w:p>
      <w:pPr>
        <w:pStyle w:val="Text2"/>
        <w:rPr>
          <w:noProof/>
        </w:rPr>
      </w:pPr>
      <w:r>
        <w:rPr>
          <w:noProof/>
        </w:rPr>
        <w:t>Förordningen ska, inom ramen för detta avtal, tillämpas med följande anpassningar:</w:t>
      </w:r>
    </w:p>
    <w:p>
      <w:pPr>
        <w:pStyle w:val="Point2"/>
        <w:rPr>
          <w:noProof/>
        </w:rPr>
      </w:pPr>
      <w:bookmarkStart w:id="1" w:name="_Hlk1461605"/>
      <w:r>
        <w:rPr>
          <w:noProof/>
        </w:rPr>
        <w:t>i)</w:t>
      </w:r>
      <w:r>
        <w:rPr>
          <w:noProof/>
        </w:rPr>
        <w:tab/>
        <w:t xml:space="preserve">I artikel 6.2 ska orden ”30 år” för Island läsas som ”50 år”. </w:t>
      </w:r>
      <w:bookmarkEnd w:id="1"/>
    </w:p>
    <w:p>
      <w:pPr>
        <w:pStyle w:val="Point2"/>
        <w:rPr>
          <w:noProof/>
        </w:rPr>
      </w:pPr>
      <w:r>
        <w:rPr>
          <w:noProof/>
        </w:rPr>
        <w:t>ii)</w:t>
      </w:r>
      <w:r>
        <w:rPr>
          <w:noProof/>
        </w:rPr>
        <w:tab/>
        <w:t xml:space="preserve">Följande ska läggas till i artikel 8.7: </w:t>
      </w:r>
    </w:p>
    <w:p>
      <w:pPr>
        <w:pStyle w:val="Text3"/>
        <w:rPr>
          <w:noProof/>
        </w:rPr>
      </w:pPr>
      <w:bookmarkStart w:id="2" w:name="_Hlk2694809"/>
      <w:r>
        <w:rPr>
          <w:noProof/>
        </w:rPr>
        <w:t xml:space="preserve">”Eftastaterna ska meddela Eftas övervakningsmyndighet sina reviderade föreslagna referensnivåer för skog senast nio månader efter ikraftträdandet av gemensamma EES-kommitténs beslut nr xx av den xx/xxxx [detta beslut ] för perioden 2021–2025. Eftas övervakningsmyndighet ska offentliggöra de föreslagna referensnivåer för skog som anmälts av Eftastaterna.” </w:t>
      </w:r>
    </w:p>
    <w:bookmarkEnd w:id="2"/>
    <w:p>
      <w:pPr>
        <w:pStyle w:val="Point2"/>
        <w:rPr>
          <w:noProof/>
        </w:rPr>
      </w:pPr>
      <w:r>
        <w:rPr>
          <w:noProof/>
        </w:rPr>
        <w:t>iii)</w:t>
      </w:r>
      <w:r>
        <w:rPr>
          <w:noProof/>
        </w:rPr>
        <w:tab/>
        <w:t xml:space="preserve">Artikel 13.2 a ska för Eftastaternas del läsas som följer: </w:t>
      </w:r>
    </w:p>
    <w:p>
      <w:pPr>
        <w:pStyle w:val="Text3"/>
        <w:rPr>
          <w:noProof/>
        </w:rPr>
      </w:pPr>
      <w:bookmarkStart w:id="3" w:name="_Hlk2694852"/>
      <w:r>
        <w:rPr>
          <w:noProof/>
        </w:rPr>
        <w:t xml:space="preserve">”Eftastaten har lagt fram en strategi enligt nedan för sektorn för markanvändning, förändrad markanvändning och skogsbruk med ett tidsperspektiv på minst 30 år, som innefattar pågående eller planerade särskilda åtgärder för att säkerställa bevarande eller, i förekommande fall, förbättring av skogssänkor och skogsreservoarer. </w:t>
      </w:r>
    </w:p>
    <w:p>
      <w:pPr>
        <w:pStyle w:val="Text3"/>
        <w:rPr>
          <w:noProof/>
        </w:rPr>
      </w:pPr>
      <w:r>
        <w:rPr>
          <w:noProof/>
        </w:rPr>
        <w:t xml:space="preserve">1. Senast den 1 januari 2020 ska varje Eftastat utarbeta och till Eftas övervakningsmyndighet inlämna sin strategi för sektorn för markanvändning, förändrad markanvändning och skogsbruk, med ett tidsperspektiv på minst 30 år. Eftastaterna bör vid behov uppdatera dessa strategier senast den 1 januari 2025.  </w:t>
      </w:r>
    </w:p>
    <w:p>
      <w:pPr>
        <w:pStyle w:val="Text3"/>
        <w:rPr>
          <w:noProof/>
        </w:rPr>
      </w:pPr>
      <w:r>
        <w:rPr>
          <w:noProof/>
        </w:rPr>
        <w:t xml:space="preserve">2. Eftastaternas strategier ska bidra till att </w:t>
      </w:r>
    </w:p>
    <w:p>
      <w:pPr>
        <w:pStyle w:val="Text3"/>
        <w:rPr>
          <w:noProof/>
        </w:rPr>
      </w:pPr>
      <w:r>
        <w:rPr>
          <w:noProof/>
        </w:rPr>
        <w:t xml:space="preserve">a) uppfylla Eftastaternas åtaganden enligt UNFCCC och Parisavtalet om att minska de antropogena utsläppen av växthusgaser och öka upptaget i sänkor, samt främja ökad koldioxidbindning, </w:t>
      </w:r>
    </w:p>
    <w:p>
      <w:pPr>
        <w:pStyle w:val="Text3"/>
        <w:rPr>
          <w:noProof/>
        </w:rPr>
      </w:pPr>
      <w:r>
        <w:rPr>
          <w:noProof/>
        </w:rPr>
        <w:t xml:space="preserve">b) uppfylla Parisavtalets mål om att hålla ökningen i den globala medeltemperaturen betydligt under 2 °C över förindustriell nivå samt göra ansträngningar för att begränsa temperaturökningen till 1,5 °C över förindustriell nivå, </w:t>
      </w:r>
    </w:p>
    <w:p>
      <w:pPr>
        <w:pStyle w:val="Text3"/>
        <w:rPr>
          <w:noProof/>
        </w:rPr>
      </w:pPr>
      <w:r>
        <w:rPr>
          <w:noProof/>
        </w:rPr>
        <w:t>c) uppnå långsiktiga minskningar av utsläppen av växthusgaser och förbättringar av upptag i sänkor i en utsträckning som är relevant för sektorn för markanvändning, förändrad markanvändning och skogsbruk i enlighet med målet, i samband med nödvändiga minskningar enligt den mellanstatliga panelen för klimatförändringar (IPCC), för att på ett kostnadseffektivt sätt minska Eftastaternas växthusgasutsläpp och förbättra upptagen i sänkor, såsom ett led i strävan att uppnå Parisavtalets temperaturmål, för att så snart som möjligt inom unionen uppnå balans mellan antropogena utsläpp från olika källor och upptag av växthusgaser i sänkor under andra hälften av detta sekel, på grundval av principen om rättvisa och inom ramen för en hållbar utveckling och ansträngningar för att utrota fattigdom.</w:t>
      </w:r>
    </w:p>
    <w:p>
      <w:pPr>
        <w:pStyle w:val="Text3"/>
        <w:rPr>
          <w:noProof/>
        </w:rPr>
      </w:pPr>
      <w:r>
        <w:rPr>
          <w:noProof/>
        </w:rPr>
        <w:t>3. Eftastaternas strategier ska omfatta</w:t>
      </w:r>
    </w:p>
    <w:p>
      <w:pPr>
        <w:pStyle w:val="Text3"/>
        <w:rPr>
          <w:noProof/>
        </w:rPr>
      </w:pPr>
      <w:r>
        <w:rPr>
          <w:noProof/>
        </w:rPr>
        <w:t xml:space="preserve">a) utsläppsminskningar och förbättringar av upptag i markanvändning, förändrad markanvändning och skogsbruk, med beaktande av bioenergi och biomaterial från denna sektor. </w:t>
      </w:r>
    </w:p>
    <w:p>
      <w:pPr>
        <w:pStyle w:val="Text3"/>
        <w:rPr>
          <w:noProof/>
        </w:rPr>
      </w:pPr>
      <w:r>
        <w:rPr>
          <w:noProof/>
        </w:rPr>
        <w:t>b) I den mån det är relevant för markanvändning, förändrad markanvändning och skogsbruk, kopplingar till andra nationella långsiktiga mål, planering och andra politiska strategier och åtgärder.</w:t>
      </w:r>
    </w:p>
    <w:p>
      <w:pPr>
        <w:pStyle w:val="Text3"/>
        <w:rPr>
          <w:noProof/>
        </w:rPr>
      </w:pPr>
      <w:r>
        <w:rPr>
          <w:noProof/>
        </w:rPr>
        <w:t>4. Eftastaterna ska genast informera och offentliggöra sina respektive strategier och uppdateringar av dessa.</w:t>
      </w:r>
    </w:p>
    <w:p>
      <w:pPr>
        <w:pStyle w:val="Text3"/>
        <w:rPr>
          <w:noProof/>
        </w:rPr>
      </w:pPr>
      <w:r>
        <w:rPr>
          <w:noProof/>
        </w:rPr>
        <w:t xml:space="preserve">5. Eftas övervakningsmyndighet ska bedöma om Eftastaternas strategier är tillräckliga som dokumentation av att de fullgör kraven i denna artikel. </w:t>
      </w:r>
    </w:p>
    <w:p>
      <w:pPr>
        <w:pStyle w:val="Text3"/>
        <w:rPr>
          <w:noProof/>
        </w:rPr>
      </w:pPr>
      <w:r>
        <w:rPr>
          <w:noProof/>
        </w:rPr>
        <w:t xml:space="preserve">6. Eftastaternas strategier för markanvändning, förändrad markanvändning och skogsbruk bör innehålla följande: </w:t>
      </w:r>
    </w:p>
    <w:p>
      <w:pPr>
        <w:pStyle w:val="Point1"/>
        <w:ind w:left="2123" w:firstLine="0"/>
        <w:rPr>
          <w:noProof/>
        </w:rPr>
      </w:pPr>
      <w:r>
        <w:rPr>
          <w:noProof/>
        </w:rPr>
        <w:t xml:space="preserve">A. ÖVERSIKT OCH FÖRFARANDE FÖR UTVECKLING AV STRATEGIERNA </w:t>
      </w:r>
    </w:p>
    <w:p>
      <w:pPr>
        <w:pStyle w:val="Point1"/>
        <w:ind w:left="2123" w:firstLine="565"/>
        <w:rPr>
          <w:noProof/>
        </w:rPr>
      </w:pPr>
      <w:r>
        <w:rPr>
          <w:noProof/>
        </w:rPr>
        <w:t xml:space="preserve">A.1. Sammanfattning </w:t>
      </w:r>
    </w:p>
    <w:p>
      <w:pPr>
        <w:pStyle w:val="Point1"/>
        <w:ind w:left="2688" w:firstLine="0"/>
        <w:rPr>
          <w:noProof/>
        </w:rPr>
      </w:pPr>
      <w:r>
        <w:rPr>
          <w:noProof/>
        </w:rPr>
        <w:t>A.2. Rättsligt och politiskt sammanhang, inbegripet, i förekommande fall, vägledande delmål för 2040 och 2050</w:t>
      </w:r>
    </w:p>
    <w:p>
      <w:pPr>
        <w:pStyle w:val="Point1"/>
        <w:ind w:left="1558" w:firstLine="565"/>
        <w:rPr>
          <w:noProof/>
        </w:rPr>
      </w:pPr>
      <w:r>
        <w:rPr>
          <w:noProof/>
        </w:rPr>
        <w:t xml:space="preserve">B. INNEHÅLL </w:t>
      </w:r>
    </w:p>
    <w:p>
      <w:pPr>
        <w:pStyle w:val="Point1"/>
        <w:ind w:left="2688" w:firstLine="0"/>
        <w:rPr>
          <w:noProof/>
        </w:rPr>
      </w:pPr>
      <w:r>
        <w:rPr>
          <w:noProof/>
        </w:rPr>
        <w:t xml:space="preserve">B.1. MARKANVÄNDNING, FÖRÄNDRAD MARKANVÄNDNING OCH SKOGSBRUK (LULUCF) </w:t>
      </w:r>
    </w:p>
    <w:p>
      <w:pPr>
        <w:pStyle w:val="Point1"/>
        <w:ind w:left="3253" w:firstLine="0"/>
        <w:rPr>
          <w:noProof/>
        </w:rPr>
      </w:pPr>
      <w:r>
        <w:rPr>
          <w:noProof/>
        </w:rPr>
        <w:t xml:space="preserve">B.1.1. Förväntade utsläppsminskningar och ökade upptag i sänkor fram till 2050 </w:t>
      </w:r>
    </w:p>
    <w:p>
      <w:pPr>
        <w:pStyle w:val="Point1"/>
        <w:ind w:left="3253" w:firstLine="0"/>
        <w:rPr>
          <w:noProof/>
        </w:rPr>
      </w:pPr>
      <w:r>
        <w:rPr>
          <w:noProof/>
        </w:rPr>
        <w:t xml:space="preserve">B.1.2 I den utsträckning det är möjligt, förväntade utsläpp per källa och per enskild växthusgas </w:t>
      </w:r>
    </w:p>
    <w:p>
      <w:pPr>
        <w:pStyle w:val="Point1"/>
        <w:ind w:left="3253" w:firstLine="0"/>
        <w:rPr>
          <w:noProof/>
        </w:rPr>
      </w:pPr>
      <w:r>
        <w:rPr>
          <w:noProof/>
        </w:rPr>
        <w:t xml:space="preserve">B.1.3. Planerade alternativ för utsläppsminskning och alternativ för förbättring av sänkor </w:t>
      </w:r>
    </w:p>
    <w:p>
      <w:pPr>
        <w:pStyle w:val="Point1"/>
        <w:ind w:left="3253" w:firstLine="0"/>
        <w:rPr>
          <w:noProof/>
        </w:rPr>
      </w:pPr>
      <w:r>
        <w:rPr>
          <w:noProof/>
        </w:rPr>
        <w:t xml:space="preserve">B.1.4. I den utsträckning det är relevant för bevarande eller förbättring, beroende på vad som är lämpligt, av skogssänkor och skogsreservoarer, styrmedel och åtgärder för anpassning </w:t>
      </w:r>
    </w:p>
    <w:p>
      <w:pPr>
        <w:pStyle w:val="Point1"/>
        <w:ind w:left="3253" w:firstLine="0"/>
        <w:rPr>
          <w:noProof/>
        </w:rPr>
      </w:pPr>
      <w:r>
        <w:rPr>
          <w:noProof/>
        </w:rPr>
        <w:t xml:space="preserve">B.1.5 Aspekter relaterade till marknadsefterfrågan på skogsbiomassa och påverkan på skörden  </w:t>
      </w:r>
    </w:p>
    <w:p>
      <w:pPr>
        <w:pStyle w:val="Point1"/>
        <w:ind w:left="3253" w:firstLine="0"/>
        <w:rPr>
          <w:noProof/>
        </w:rPr>
      </w:pPr>
      <w:r>
        <w:rPr>
          <w:noProof/>
        </w:rPr>
        <w:t xml:space="preserve">B.1.6. Uppgifter, beroende på vad som är nödvändigt, om modeller (inklusive antaganden), analyser, indikatorer osv.”  </w:t>
      </w:r>
    </w:p>
    <w:bookmarkEnd w:id="3"/>
    <w:p>
      <w:pPr>
        <w:pStyle w:val="Point2"/>
        <w:rPr>
          <w:noProof/>
        </w:rPr>
      </w:pPr>
      <w:r>
        <w:rPr>
          <w:noProof/>
        </w:rPr>
        <w:t>iv)</w:t>
      </w:r>
      <w:r>
        <w:rPr>
          <w:noProof/>
        </w:rPr>
        <w:tab/>
        <w:t>I artikel 15.2 ska följande läggas till:</w:t>
      </w:r>
    </w:p>
    <w:p>
      <w:pPr>
        <w:pStyle w:val="Point1"/>
        <w:ind w:left="1984" w:hanging="2"/>
        <w:rPr>
          <w:noProof/>
        </w:rPr>
      </w:pPr>
      <w:r>
        <w:rPr>
          <w:noProof/>
        </w:rPr>
        <w:t>”Den centrala förvaltaren ska vara behörig att utföra de uppgifter som avses i denna artikel när Eftastaterna berörs. Eftas övervakningsmyndighet ska underrättas om den centrala förvaltaren blockerar en transaktion som berör eller genomförs av Eftastaterna.”</w:t>
      </w:r>
    </w:p>
    <w:p>
      <w:pPr>
        <w:pStyle w:val="Point2"/>
        <w:rPr>
          <w:noProof/>
        </w:rPr>
      </w:pPr>
      <w:r>
        <w:rPr>
          <w:noProof/>
        </w:rPr>
        <w:t>v)</w:t>
      </w:r>
      <w:r>
        <w:rPr>
          <w:noProof/>
        </w:rPr>
        <w:tab/>
        <w:t>Följande ska läggas till i tabellen i bilaga II:</w:t>
      </w:r>
    </w:p>
    <w:p>
      <w:pPr>
        <w:pStyle w:val="Point1"/>
        <w:ind w:left="2135" w:firstLine="0"/>
        <w:rPr>
          <w:noProof/>
        </w:rPr>
      </w:pPr>
      <w:r>
        <w:rPr>
          <w:noProof/>
        </w:rPr>
        <w:t>”Island</w:t>
      </w:r>
      <w:r>
        <w:rPr>
          <w:noProof/>
        </w:rPr>
        <w:tab/>
        <w:t xml:space="preserve"> 0,5</w:t>
      </w:r>
      <w:r>
        <w:rPr>
          <w:noProof/>
        </w:rPr>
        <w:tab/>
        <w:t>10</w:t>
      </w:r>
      <w:r>
        <w:rPr>
          <w:noProof/>
        </w:rPr>
        <w:tab/>
        <w:t>2</w:t>
      </w:r>
      <w:r>
        <w:rPr>
          <w:noProof/>
        </w:rPr>
        <w:tab/>
      </w:r>
    </w:p>
    <w:p>
      <w:pPr>
        <w:pStyle w:val="Point1"/>
        <w:ind w:left="2135" w:firstLine="0"/>
        <w:rPr>
          <w:noProof/>
        </w:rPr>
      </w:pPr>
      <w:r>
        <w:rPr>
          <w:noProof/>
        </w:rPr>
        <w:t>Norge</w:t>
      </w:r>
      <w:r>
        <w:rPr>
          <w:noProof/>
        </w:rPr>
        <w:tab/>
        <w:t xml:space="preserve"> 0,1</w:t>
      </w:r>
      <w:r>
        <w:rPr>
          <w:noProof/>
        </w:rPr>
        <w:tab/>
        <w:t xml:space="preserve">10 </w:t>
      </w:r>
      <w:r>
        <w:rPr>
          <w:noProof/>
        </w:rPr>
        <w:tab/>
        <w:t>5”</w:t>
      </w:r>
    </w:p>
    <w:p>
      <w:pPr>
        <w:pStyle w:val="Point2"/>
        <w:rPr>
          <w:noProof/>
        </w:rPr>
      </w:pPr>
      <w:r>
        <w:rPr>
          <w:noProof/>
        </w:rPr>
        <w:t>vi)</w:t>
      </w:r>
      <w:r>
        <w:rPr>
          <w:noProof/>
        </w:rPr>
        <w:tab/>
        <w:t>I tabellen i bilagan ska följande läggas till bilaga III:</w:t>
      </w:r>
    </w:p>
    <w:p>
      <w:pPr>
        <w:pStyle w:val="Point1"/>
        <w:ind w:left="2135" w:firstLine="0"/>
        <w:rPr>
          <w:noProof/>
        </w:rPr>
      </w:pPr>
      <w:r>
        <w:rPr>
          <w:noProof/>
        </w:rPr>
        <w:t>”Island</w:t>
      </w:r>
      <w:r>
        <w:rPr>
          <w:noProof/>
        </w:rPr>
        <w:tab/>
        <w:t>1990</w:t>
      </w:r>
    </w:p>
    <w:p>
      <w:pPr>
        <w:pStyle w:val="Point1"/>
        <w:ind w:left="1571" w:firstLine="553"/>
        <w:rPr>
          <w:noProof/>
        </w:rPr>
      </w:pPr>
      <w:r>
        <w:rPr>
          <w:noProof/>
        </w:rPr>
        <w:t>Norge</w:t>
      </w:r>
      <w:r>
        <w:rPr>
          <w:noProof/>
        </w:rPr>
        <w:tab/>
        <w:t>1990”</w:t>
      </w:r>
    </w:p>
    <w:p>
      <w:pPr>
        <w:pStyle w:val="Point2"/>
        <w:rPr>
          <w:noProof/>
        </w:rPr>
      </w:pPr>
      <w:r>
        <w:rPr>
          <w:noProof/>
        </w:rPr>
        <w:t>vii)</w:t>
      </w:r>
      <w:r>
        <w:rPr>
          <w:noProof/>
        </w:rPr>
        <w:tab/>
        <w:t xml:space="preserve"> Följande ska läggas till i led g i avsnitt A i bilaga IV: </w:t>
      </w:r>
    </w:p>
    <w:p>
      <w:pPr>
        <w:pStyle w:val="Point1"/>
        <w:ind w:left="2136" w:firstLine="0"/>
        <w:rPr>
          <w:noProof/>
        </w:rPr>
      </w:pPr>
      <w:r>
        <w:rPr>
          <w:noProof/>
        </w:rPr>
        <w:t>”För Eftastaternas del ska referensnivån för perioden 2021–2025 överensstämma med de prognoser som på frivillig basis rapporterats till Europeiska miljöbyrån i enlighet med förordning (EU) nr 525/2013 och, för Island, också i enlighet med det bilaterala avtalet mellan Island och Europeiska unionen och dess medlemsstater rörande Islands deltagande i det gemensamma fullgörandet av Europeiska unionens, dess medlemsstaters och Islands åtaganden under den andra åtagandeperioden enligt Kyotoprotokollet till Förenta nationernas ramkonvention om klimatförändringar</w:t>
      </w:r>
      <w:r>
        <w:rPr>
          <w:rStyle w:val="FootnoteReference"/>
          <w:noProof/>
        </w:rPr>
        <w:footnoteReference w:id="6"/>
      </w:r>
      <w:r>
        <w:rPr>
          <w:noProof/>
        </w:rPr>
        <w:t xml:space="preserve">.” </w:t>
      </w:r>
    </w:p>
    <w:p>
      <w:pPr>
        <w:pStyle w:val="Point2"/>
        <w:rPr>
          <w:noProof/>
        </w:rPr>
      </w:pPr>
      <w:r>
        <w:rPr>
          <w:noProof/>
        </w:rPr>
        <w:t>viii)</w:t>
      </w:r>
      <w:r>
        <w:rPr>
          <w:noProof/>
        </w:rPr>
        <w:tab/>
        <w:t>I tabellen i bilaga VII ska följande läggas till:</w:t>
      </w:r>
    </w:p>
    <w:p>
      <w:pPr>
        <w:pStyle w:val="Point1"/>
        <w:ind w:left="2136" w:firstLine="0"/>
        <w:rPr>
          <w:noProof/>
        </w:rPr>
      </w:pPr>
      <w:r>
        <w:rPr>
          <w:noProof/>
        </w:rPr>
        <w:t>”Island</w:t>
      </w:r>
      <w:r>
        <w:rPr>
          <w:noProof/>
        </w:rPr>
        <w:tab/>
        <w:t xml:space="preserve">-0,0224 </w:t>
      </w:r>
      <w:r>
        <w:rPr>
          <w:noProof/>
        </w:rPr>
        <w:tab/>
        <w:t>-0,0045</w:t>
      </w:r>
    </w:p>
    <w:p>
      <w:pPr>
        <w:pStyle w:val="Point1"/>
        <w:ind w:left="2136" w:firstLine="0"/>
        <w:rPr>
          <w:noProof/>
        </w:rPr>
      </w:pPr>
      <w:r>
        <w:rPr>
          <w:noProof/>
        </w:rPr>
        <w:t>Norge</w:t>
      </w:r>
      <w:r>
        <w:rPr>
          <w:noProof/>
        </w:rPr>
        <w:tab/>
        <w:t>-29,6</w:t>
      </w:r>
      <w:r>
        <w:rPr>
          <w:noProof/>
        </w:rPr>
        <w:tab/>
      </w:r>
      <w:r>
        <w:rPr>
          <w:noProof/>
        </w:rPr>
        <w:tab/>
        <w:t>-35,5”</w:t>
      </w:r>
    </w:p>
    <w:p>
      <w:pPr>
        <w:pStyle w:val="Point0"/>
        <w:ind w:left="1415" w:hanging="564"/>
        <w:rPr>
          <w:noProof/>
        </w:rPr>
      </w:pPr>
      <w:r>
        <w:rPr>
          <w:noProof/>
        </w:rPr>
        <w:t>-</w:t>
      </w:r>
      <w:r>
        <w:rPr>
          <w:noProof/>
        </w:rPr>
        <w:tab/>
      </w:r>
      <w:r>
        <w:rPr>
          <w:b/>
          <w:noProof/>
        </w:rPr>
        <w:t>32018 R 0842</w:t>
      </w:r>
      <w:r>
        <w:rPr>
          <w:noProof/>
        </w:rPr>
        <w:t xml:space="preserve">: Europaparlamentets och rådets förordning (EU) 2018/842 av den 30 maj 2018 om medlemsstaternas bindande årliga minskningar av växthusgasutsläpp 2021–2030 som bidrar till klimatåtgärder för att fullgöra åtagandena enligt Parisavtalet samt om ändring av förordning (EU) nr 525/2013 (EUT L 156, 19.6.2018, s. 26). </w:t>
      </w:r>
    </w:p>
    <w:p>
      <w:pPr>
        <w:pStyle w:val="Point0"/>
        <w:ind w:left="1415" w:firstLine="0"/>
        <w:rPr>
          <w:noProof/>
        </w:rPr>
      </w:pPr>
      <w:r>
        <w:rPr>
          <w:noProof/>
        </w:rPr>
        <w:t>Förordningen ska, inom ramen för detta avtal, tillämpas med följande anpassningar:</w:t>
      </w:r>
    </w:p>
    <w:p>
      <w:pPr>
        <w:pStyle w:val="Point2"/>
        <w:ind w:left="1417" w:firstLine="0"/>
        <w:rPr>
          <w:noProof/>
        </w:rPr>
      </w:pPr>
      <w:r>
        <w:rPr>
          <w:noProof/>
        </w:rPr>
        <w:t>i)</w:t>
      </w:r>
      <w:r>
        <w:rPr>
          <w:noProof/>
        </w:rPr>
        <w:tab/>
        <w:t xml:space="preserve">Följande ska, för Eftastaternas del läggas till i artikel 4.3: </w:t>
      </w:r>
    </w:p>
    <w:p>
      <w:pPr>
        <w:pStyle w:val="Text3"/>
        <w:rPr>
          <w:noProof/>
        </w:rPr>
      </w:pPr>
      <w:r>
        <w:rPr>
          <w:noProof/>
        </w:rPr>
        <w:t>”Vad gäller Eftastaterna kommer, vid fastställandet av de årliga utsläppstilldelningarna för åren 2021–2030 uttryckta i ton koldioxidekvivalenter enligt punkterna 1 och 2 i denna artikel, 2005 års basår för utsläppstilldelningen 2030 att bygga på skillnaden mellan de totala växthusgasutsläppen 2005, som följer av den omfattande översynen där koldioxidutsläpp från luftfart räknas som noll, och de stationära utsläppen 2005 inom EU:s utsläppshandelssystem enligt utsläppshandelssystemets omfattning 2013, såsom den rapporterats i del B i tillägget till gemensamma EES-kommitténs beslut nr 152/2012 av den 26 juli 2012</w:t>
      </w:r>
      <w:r>
        <w:rPr>
          <w:rStyle w:val="FootnoteReference"/>
          <w:noProof/>
        </w:rPr>
        <w:footnoteReference w:id="7"/>
      </w:r>
      <w:r>
        <w:rPr>
          <w:noProof/>
        </w:rPr>
        <w:t>, anpassad efter de värden för global uppvärmningspotential som antagits i den delegerade akt som avses i artikel 26.6 b i förordning (EU) 2018/1999 eller de som angetts i den fjärde utvärderingsrapporten (AR4) från den mellanstatliga panelen för klimatförändringar till dess att den delegerade akten blir tillämplig.</w:t>
      </w:r>
      <w:bookmarkStart w:id="4" w:name="_Hlk2697079"/>
      <w:r>
        <w:rPr>
          <w:noProof/>
        </w:rPr>
        <w:t xml:space="preserve"> </w:t>
      </w:r>
      <w:bookmarkEnd w:id="4"/>
      <w:r>
        <w:rPr>
          <w:noProof/>
        </w:rPr>
        <w:t>De stationära utsläppen 2005 enligt EU:s utsläppshandelssystem som rapporteras i gemensamma EES-kommitténs beslut nr 152/2012 (AR2) och samma siffror med uppdaterade värden för global uppvärmningspotential (AR4) som ska beaktas vid fastställandet av de årliga utsläppstilldelningarna för åren 2021–2030 i enlighet med denna artikel anges i tillägget.”</w:t>
      </w:r>
    </w:p>
    <w:p>
      <w:pPr>
        <w:pStyle w:val="Point2"/>
        <w:ind w:left="695" w:firstLine="720"/>
        <w:rPr>
          <w:noProof/>
        </w:rPr>
      </w:pPr>
      <w:r>
        <w:rPr>
          <w:noProof/>
        </w:rPr>
        <w:t>ii)</w:t>
      </w:r>
      <w:r>
        <w:rPr>
          <w:noProof/>
        </w:rPr>
        <w:tab/>
        <w:t>Följande ska läggas till efter bilaga IV:</w:t>
      </w:r>
    </w:p>
    <w:p>
      <w:pPr>
        <w:ind w:left="1415"/>
        <w:jc w:val="center"/>
        <w:rPr>
          <w:i/>
          <w:noProof/>
          <w:szCs w:val="24"/>
        </w:rPr>
      </w:pPr>
      <w:r>
        <w:rPr>
          <w:i/>
          <w:noProof/>
          <w:szCs w:val="24"/>
        </w:rPr>
        <w:t>”Tillägg</w:t>
      </w:r>
    </w:p>
    <w:p>
      <w:pPr>
        <w:ind w:left="1415"/>
        <w:rPr>
          <w:noProof/>
          <w:szCs w:val="24"/>
        </w:rPr>
      </w:pPr>
      <w:r>
        <w:rPr>
          <w:noProof/>
        </w:rPr>
        <w:t>Eftastaternas stationära utsläpp 2005 enligt EU:s utsläppshandelssystem som rapporteras i gemensamma EES-kommitténs beslut nr 152/2012 (AR2) och samma siffror med uppdaterade värden för global uppvärmningspotential (AR4) som ska beaktas vid fastställandet av de årliga utsläppstilldelningarna för åren 2021–2030 i enlighet med artikel 4.3.”</w:t>
      </w:r>
    </w:p>
    <w:p>
      <w:pPr>
        <w:ind w:left="1415"/>
        <w:rPr>
          <w:noProof/>
          <w:szCs w:val="24"/>
        </w:rPr>
      </w:pPr>
      <w:r>
        <w:rPr>
          <w:b/>
          <w:noProof/>
          <w:szCs w:val="24"/>
        </w:rPr>
        <w:t>Tabell 1</w:t>
      </w:r>
      <w:r>
        <w:rPr>
          <w:noProof/>
        </w:rPr>
        <w:t>: 2005 års ETS-utsläpp för Norge:</w:t>
      </w:r>
    </w:p>
    <w:tbl>
      <w:tblPr>
        <w:tblW w:w="8917" w:type="dxa"/>
        <w:tblInd w:w="1276" w:type="dxa"/>
        <w:tblCellMar>
          <w:left w:w="0" w:type="dxa"/>
          <w:right w:w="0" w:type="dxa"/>
        </w:tblCellMar>
        <w:tblLook w:val="04A0" w:firstRow="1" w:lastRow="0" w:firstColumn="1" w:lastColumn="0" w:noHBand="0" w:noVBand="1"/>
      </w:tblPr>
      <w:tblGrid>
        <w:gridCol w:w="2964"/>
        <w:gridCol w:w="1984"/>
        <w:gridCol w:w="2127"/>
        <w:gridCol w:w="1842"/>
      </w:tblGrid>
      <w:tr>
        <w:trPr>
          <w:trHeight w:val="315"/>
        </w:trPr>
        <w:tc>
          <w:tcPr>
            <w:tcW w:w="29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 Växthusgas (ton)</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CO</w:t>
            </w:r>
            <w:r>
              <w:rPr>
                <w:b/>
                <w:bCs/>
                <w:noProof/>
                <w:szCs w:val="24"/>
                <w:vertAlign w:val="subscript"/>
              </w:rPr>
              <w:t>2</w:t>
            </w:r>
            <w:r>
              <w:rPr>
                <w:b/>
                <w:bCs/>
                <w:noProof/>
                <w:szCs w:val="24"/>
              </w:rPr>
              <w:t>-eq (AR2)</w:t>
            </w:r>
          </w:p>
        </w:tc>
        <w:tc>
          <w:tcPr>
            <w:tcW w:w="21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b/>
                <w:bCs/>
                <w:noProof/>
                <w:szCs w:val="24"/>
              </w:rPr>
              <w:t>CO</w:t>
            </w:r>
            <w:r>
              <w:rPr>
                <w:b/>
                <w:bCs/>
                <w:noProof/>
                <w:szCs w:val="24"/>
                <w:vertAlign w:val="subscript"/>
              </w:rPr>
              <w:t>2</w:t>
            </w:r>
            <w:r>
              <w:rPr>
                <w:b/>
                <w:bCs/>
                <w:noProof/>
                <w:szCs w:val="24"/>
              </w:rPr>
              <w:t>-eq (AR4)</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pPr>
              <w:jc w:val="right"/>
              <w:rPr>
                <w:noProof/>
                <w:szCs w:val="24"/>
              </w:rPr>
            </w:pPr>
            <w:r>
              <w:rPr>
                <w:b/>
                <w:bCs/>
                <w:i/>
                <w:iCs/>
                <w:noProof/>
                <w:szCs w:val="24"/>
              </w:rPr>
              <w:t>N</w:t>
            </w:r>
            <w:r>
              <w:rPr>
                <w:b/>
                <w:bCs/>
                <w:i/>
                <w:iCs/>
                <w:noProof/>
                <w:szCs w:val="24"/>
                <w:vertAlign w:val="subscript"/>
              </w:rPr>
              <w:t>2</w:t>
            </w:r>
            <w:r>
              <w:rPr>
                <w:b/>
                <w:bCs/>
                <w:i/>
                <w:iCs/>
                <w:noProof/>
                <w:szCs w:val="24"/>
              </w:rPr>
              <w:t>O/PFC</w:t>
            </w:r>
          </w:p>
        </w:tc>
      </w:tr>
      <w:tr>
        <w:trPr>
          <w:trHeight w:val="300"/>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CO</w:t>
            </w:r>
            <w:r>
              <w:rPr>
                <w:b/>
                <w:bCs/>
                <w:noProof/>
                <w:szCs w:val="24"/>
                <w:vertAlign w:val="subscript"/>
              </w:rPr>
              <w:t>2</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23 090 000</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23 090 000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r>
      <w:tr>
        <w:trPr>
          <w:trHeight w:val="300"/>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N</w:t>
            </w:r>
            <w:r>
              <w:rPr>
                <w:b/>
                <w:bCs/>
                <w:noProof/>
                <w:szCs w:val="24"/>
                <w:vertAlign w:val="subscript"/>
              </w:rPr>
              <w:t>2</w:t>
            </w:r>
            <w:r>
              <w:rPr>
                <w:b/>
                <w:bCs/>
                <w:noProof/>
                <w:szCs w:val="24"/>
              </w:rPr>
              <w:t>O</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1 955 000</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1 880 000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i/>
                <w:iCs/>
                <w:noProof/>
                <w:szCs w:val="24"/>
              </w:rPr>
              <w:t>6 308</w:t>
            </w:r>
          </w:p>
        </w:tc>
      </w:tr>
      <w:tr>
        <w:trPr>
          <w:trHeight w:val="300"/>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PFC</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829 000</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noProof/>
              </w:rPr>
              <w:t>955 000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r>
      <w:tr>
        <w:trPr>
          <w:trHeight w:val="300"/>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i/>
                <w:iCs/>
                <w:noProof/>
                <w:szCs w:val="24"/>
              </w:rPr>
              <w:t>CF</w:t>
            </w:r>
            <w:r>
              <w:rPr>
                <w:b/>
                <w:bCs/>
                <w:i/>
                <w:iCs/>
                <w:noProof/>
                <w:szCs w:val="24"/>
                <w:vertAlign w:val="subscript"/>
              </w:rPr>
              <w:t>4</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i/>
                <w:iCs/>
                <w:noProof/>
                <w:szCs w:val="24"/>
              </w:rPr>
              <w:t>116,698</w:t>
            </w:r>
          </w:p>
        </w:tc>
      </w:tr>
      <w:tr>
        <w:trPr>
          <w:trHeight w:val="300"/>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i/>
                <w:iCs/>
                <w:noProof/>
                <w:szCs w:val="24"/>
              </w:rPr>
              <w:t>C</w:t>
            </w:r>
            <w:r>
              <w:rPr>
                <w:b/>
                <w:bCs/>
                <w:i/>
                <w:iCs/>
                <w:noProof/>
                <w:szCs w:val="24"/>
                <w:vertAlign w:val="subscript"/>
              </w:rPr>
              <w:t>2</w:t>
            </w:r>
            <w:r>
              <w:rPr>
                <w:b/>
                <w:bCs/>
                <w:i/>
                <w:iCs/>
                <w:noProof/>
                <w:szCs w:val="24"/>
              </w:rPr>
              <w:t>F</w:t>
            </w:r>
            <w:r>
              <w:rPr>
                <w:b/>
                <w:bCs/>
                <w:i/>
                <w:iCs/>
                <w:noProof/>
                <w:szCs w:val="24"/>
                <w:vertAlign w:val="subscript"/>
              </w:rPr>
              <w:t>6</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i/>
                <w:iCs/>
                <w:noProof/>
                <w:szCs w:val="24"/>
              </w:rPr>
              <w:t>7,616</w:t>
            </w:r>
          </w:p>
        </w:tc>
      </w:tr>
      <w:tr>
        <w:trPr>
          <w:trHeight w:val="315"/>
        </w:trPr>
        <w:tc>
          <w:tcPr>
            <w:tcW w:w="2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pPr>
              <w:rPr>
                <w:noProof/>
                <w:szCs w:val="24"/>
              </w:rPr>
            </w:pPr>
            <w:r>
              <w:rPr>
                <w:b/>
                <w:bCs/>
                <w:noProof/>
                <w:szCs w:val="24"/>
              </w:rPr>
              <w:t>Totalt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b/>
                <w:bCs/>
                <w:noProof/>
                <w:szCs w:val="24"/>
              </w:rPr>
              <w:t>25 874 000</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r>
              <w:rPr>
                <w:b/>
                <w:bCs/>
                <w:noProof/>
                <w:szCs w:val="24"/>
              </w:rPr>
              <w:t>25 925 000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pPr>
              <w:jc w:val="center"/>
              <w:rPr>
                <w:noProof/>
                <w:szCs w:val="24"/>
              </w:rPr>
            </w:pPr>
          </w:p>
        </w:tc>
      </w:tr>
    </w:tbl>
    <w:p>
      <w:pPr>
        <w:ind w:left="1284"/>
        <w:rPr>
          <w:rFonts w:ascii="Calibri" w:hAnsi="Calibri" w:cs="Calibri"/>
          <w:noProof/>
          <w:szCs w:val="24"/>
        </w:rPr>
      </w:pPr>
    </w:p>
    <w:p>
      <w:pPr>
        <w:ind w:left="1284"/>
        <w:rPr>
          <w:noProof/>
          <w:szCs w:val="24"/>
        </w:rPr>
      </w:pPr>
      <w:r>
        <w:rPr>
          <w:b/>
          <w:noProof/>
          <w:szCs w:val="24"/>
        </w:rPr>
        <w:t xml:space="preserve">Tabell 2: </w:t>
      </w:r>
      <w:r>
        <w:rPr>
          <w:noProof/>
        </w:rPr>
        <w:t xml:space="preserve">2005 års ETS-utsläpp för Island: </w:t>
      </w:r>
    </w:p>
    <w:tbl>
      <w:tblPr>
        <w:tblW w:w="8930" w:type="dxa"/>
        <w:tblInd w:w="1268" w:type="dxa"/>
        <w:tblCellMar>
          <w:left w:w="70" w:type="dxa"/>
          <w:right w:w="70" w:type="dxa"/>
        </w:tblCellMar>
        <w:tblLook w:val="04A0" w:firstRow="1" w:lastRow="0" w:firstColumn="1" w:lastColumn="0" w:noHBand="0" w:noVBand="1"/>
      </w:tblPr>
      <w:tblGrid>
        <w:gridCol w:w="2977"/>
        <w:gridCol w:w="1984"/>
        <w:gridCol w:w="2127"/>
        <w:gridCol w:w="1842"/>
      </w:tblGrid>
      <w:tr>
        <w:trPr>
          <w:trHeight w:val="360"/>
        </w:trPr>
        <w:tc>
          <w:tcPr>
            <w:tcW w:w="2977" w:type="dxa"/>
            <w:tcBorders>
              <w:top w:val="single" w:sz="4" w:space="0" w:color="auto"/>
              <w:left w:val="single" w:sz="4" w:space="0" w:color="auto"/>
              <w:bottom w:val="single" w:sz="4" w:space="0" w:color="auto"/>
              <w:right w:val="single" w:sz="4" w:space="0" w:color="auto"/>
            </w:tcBorders>
            <w:noWrap/>
            <w:vAlign w:val="bottom"/>
            <w:hideMark/>
          </w:tcPr>
          <w:p>
            <w:pPr>
              <w:rPr>
                <w:b/>
                <w:bCs/>
                <w:noProof/>
                <w:szCs w:val="24"/>
              </w:rPr>
            </w:pPr>
            <w:r>
              <w:rPr>
                <w:b/>
                <w:bCs/>
                <w:noProof/>
                <w:szCs w:val="24"/>
              </w:rPr>
              <w:t>Växthusgas (ton)</w:t>
            </w:r>
          </w:p>
        </w:tc>
        <w:tc>
          <w:tcPr>
            <w:tcW w:w="1984" w:type="dxa"/>
            <w:tcBorders>
              <w:top w:val="single" w:sz="4" w:space="0" w:color="auto"/>
              <w:left w:val="nil"/>
              <w:bottom w:val="single" w:sz="4" w:space="0" w:color="auto"/>
              <w:right w:val="single" w:sz="4" w:space="0" w:color="auto"/>
            </w:tcBorders>
            <w:noWrap/>
            <w:vAlign w:val="bottom"/>
            <w:hideMark/>
          </w:tcPr>
          <w:p>
            <w:pPr>
              <w:jc w:val="center"/>
              <w:rPr>
                <w:b/>
                <w:bCs/>
                <w:noProof/>
                <w:szCs w:val="24"/>
              </w:rPr>
            </w:pPr>
            <w:r>
              <w:rPr>
                <w:b/>
                <w:bCs/>
                <w:noProof/>
                <w:szCs w:val="24"/>
              </w:rPr>
              <w:t>CO</w:t>
            </w:r>
            <w:r>
              <w:rPr>
                <w:b/>
                <w:bCs/>
                <w:noProof/>
                <w:szCs w:val="24"/>
                <w:vertAlign w:val="subscript"/>
              </w:rPr>
              <w:t>2</w:t>
            </w:r>
            <w:r>
              <w:rPr>
                <w:b/>
                <w:bCs/>
                <w:noProof/>
                <w:szCs w:val="24"/>
              </w:rPr>
              <w:t>-eq (AR2)</w:t>
            </w:r>
          </w:p>
        </w:tc>
        <w:tc>
          <w:tcPr>
            <w:tcW w:w="2127" w:type="dxa"/>
            <w:tcBorders>
              <w:top w:val="single" w:sz="4" w:space="0" w:color="auto"/>
              <w:left w:val="nil"/>
              <w:bottom w:val="single" w:sz="4" w:space="0" w:color="auto"/>
              <w:right w:val="single" w:sz="4" w:space="0" w:color="auto"/>
            </w:tcBorders>
            <w:noWrap/>
            <w:vAlign w:val="bottom"/>
            <w:hideMark/>
          </w:tcPr>
          <w:p>
            <w:pPr>
              <w:jc w:val="center"/>
              <w:rPr>
                <w:b/>
                <w:bCs/>
                <w:noProof/>
                <w:szCs w:val="24"/>
              </w:rPr>
            </w:pPr>
            <w:r>
              <w:rPr>
                <w:b/>
                <w:bCs/>
                <w:noProof/>
                <w:szCs w:val="24"/>
              </w:rPr>
              <w:t>CO</w:t>
            </w:r>
            <w:r>
              <w:rPr>
                <w:b/>
                <w:bCs/>
                <w:noProof/>
                <w:szCs w:val="24"/>
                <w:vertAlign w:val="subscript"/>
              </w:rPr>
              <w:t>2</w:t>
            </w:r>
            <w:r>
              <w:rPr>
                <w:b/>
                <w:bCs/>
                <w:noProof/>
                <w:szCs w:val="24"/>
              </w:rPr>
              <w:t>-eq (AR4)</w:t>
            </w:r>
          </w:p>
        </w:tc>
        <w:tc>
          <w:tcPr>
            <w:tcW w:w="1842" w:type="dxa"/>
            <w:tcBorders>
              <w:top w:val="single" w:sz="4" w:space="0" w:color="auto"/>
              <w:left w:val="nil"/>
              <w:bottom w:val="single" w:sz="4" w:space="0" w:color="auto"/>
              <w:right w:val="single" w:sz="4" w:space="0" w:color="auto"/>
            </w:tcBorders>
            <w:noWrap/>
            <w:vAlign w:val="bottom"/>
            <w:hideMark/>
          </w:tcPr>
          <w:p>
            <w:pPr>
              <w:jc w:val="center"/>
              <w:rPr>
                <w:b/>
                <w:bCs/>
                <w:noProof/>
                <w:szCs w:val="24"/>
              </w:rPr>
            </w:pPr>
            <w:r>
              <w:rPr>
                <w:b/>
                <w:bCs/>
                <w:i/>
                <w:iCs/>
                <w:noProof/>
                <w:szCs w:val="24"/>
              </w:rPr>
              <w:t>N</w:t>
            </w:r>
            <w:r>
              <w:rPr>
                <w:b/>
                <w:bCs/>
                <w:i/>
                <w:iCs/>
                <w:noProof/>
                <w:szCs w:val="24"/>
                <w:vertAlign w:val="subscript"/>
              </w:rPr>
              <w:t>2</w:t>
            </w:r>
            <w:r>
              <w:rPr>
                <w:b/>
                <w:bCs/>
                <w:i/>
                <w:iCs/>
                <w:noProof/>
                <w:szCs w:val="24"/>
              </w:rPr>
              <w:t>O/PFC</w:t>
            </w:r>
          </w:p>
        </w:tc>
      </w:tr>
      <w:tr>
        <w:trPr>
          <w:trHeight w:val="360"/>
        </w:trPr>
        <w:tc>
          <w:tcPr>
            <w:tcW w:w="2977" w:type="dxa"/>
            <w:tcBorders>
              <w:top w:val="nil"/>
              <w:left w:val="single" w:sz="4" w:space="0" w:color="auto"/>
              <w:bottom w:val="single" w:sz="4" w:space="0" w:color="auto"/>
              <w:right w:val="single" w:sz="4" w:space="0" w:color="auto"/>
            </w:tcBorders>
            <w:noWrap/>
            <w:vAlign w:val="bottom"/>
            <w:hideMark/>
          </w:tcPr>
          <w:p>
            <w:pPr>
              <w:rPr>
                <w:b/>
                <w:bCs/>
                <w:noProof/>
                <w:szCs w:val="24"/>
              </w:rPr>
            </w:pPr>
            <w:r>
              <w:rPr>
                <w:b/>
                <w:bCs/>
                <w:noProof/>
                <w:szCs w:val="24"/>
              </w:rPr>
              <w:t>CO</w:t>
            </w:r>
            <w:r>
              <w:rPr>
                <w:b/>
                <w:bCs/>
                <w:noProof/>
                <w:szCs w:val="24"/>
                <w:vertAlign w:val="subscript"/>
              </w:rPr>
              <w:t>2</w:t>
            </w:r>
          </w:p>
        </w:tc>
        <w:tc>
          <w:tcPr>
            <w:tcW w:w="1984" w:type="dxa"/>
            <w:tcBorders>
              <w:top w:val="nil"/>
              <w:left w:val="nil"/>
              <w:bottom w:val="single" w:sz="4" w:space="0" w:color="auto"/>
              <w:right w:val="single" w:sz="4" w:space="0" w:color="auto"/>
            </w:tcBorders>
            <w:noWrap/>
            <w:vAlign w:val="bottom"/>
            <w:hideMark/>
          </w:tcPr>
          <w:p>
            <w:pPr>
              <w:jc w:val="center"/>
              <w:rPr>
                <w:bCs/>
                <w:noProof/>
                <w:szCs w:val="24"/>
              </w:rPr>
            </w:pPr>
            <w:r>
              <w:rPr>
                <w:noProof/>
              </w:rPr>
              <w:t>909 132</w:t>
            </w:r>
          </w:p>
        </w:tc>
        <w:tc>
          <w:tcPr>
            <w:tcW w:w="2127" w:type="dxa"/>
            <w:tcBorders>
              <w:top w:val="nil"/>
              <w:left w:val="nil"/>
              <w:bottom w:val="single" w:sz="4" w:space="0" w:color="auto"/>
              <w:right w:val="single" w:sz="4" w:space="0" w:color="auto"/>
            </w:tcBorders>
            <w:noWrap/>
            <w:vAlign w:val="bottom"/>
            <w:hideMark/>
          </w:tcPr>
          <w:p>
            <w:pPr>
              <w:jc w:val="center"/>
              <w:rPr>
                <w:bCs/>
                <w:noProof/>
                <w:szCs w:val="24"/>
              </w:rPr>
            </w:pPr>
            <w:r>
              <w:rPr>
                <w:noProof/>
              </w:rPr>
              <w:t>909 132</w:t>
            </w:r>
          </w:p>
        </w:tc>
        <w:tc>
          <w:tcPr>
            <w:tcW w:w="1842" w:type="dxa"/>
            <w:tcBorders>
              <w:top w:val="nil"/>
              <w:left w:val="nil"/>
              <w:bottom w:val="single" w:sz="4" w:space="0" w:color="auto"/>
              <w:right w:val="single" w:sz="4" w:space="0" w:color="auto"/>
            </w:tcBorders>
            <w:noWrap/>
            <w:vAlign w:val="bottom"/>
            <w:hideMark/>
          </w:tcPr>
          <w:p>
            <w:pPr>
              <w:jc w:val="center"/>
              <w:rPr>
                <w:bCs/>
                <w:noProof/>
                <w:szCs w:val="24"/>
                <w:lang w:eastAsia="nb-NO"/>
              </w:rPr>
            </w:pPr>
          </w:p>
        </w:tc>
      </w:tr>
      <w:tr>
        <w:trPr>
          <w:trHeight w:val="300"/>
        </w:trPr>
        <w:tc>
          <w:tcPr>
            <w:tcW w:w="2977" w:type="dxa"/>
            <w:tcBorders>
              <w:top w:val="nil"/>
              <w:left w:val="single" w:sz="4" w:space="0" w:color="auto"/>
              <w:bottom w:val="single" w:sz="4" w:space="0" w:color="auto"/>
              <w:right w:val="single" w:sz="4" w:space="0" w:color="auto"/>
            </w:tcBorders>
            <w:noWrap/>
            <w:vAlign w:val="bottom"/>
            <w:hideMark/>
          </w:tcPr>
          <w:p>
            <w:pPr>
              <w:rPr>
                <w:b/>
                <w:bCs/>
                <w:noProof/>
                <w:szCs w:val="24"/>
              </w:rPr>
            </w:pPr>
            <w:r>
              <w:rPr>
                <w:b/>
                <w:bCs/>
                <w:noProof/>
                <w:szCs w:val="24"/>
              </w:rPr>
              <w:t>PFC</w:t>
            </w:r>
          </w:p>
        </w:tc>
        <w:tc>
          <w:tcPr>
            <w:tcW w:w="1984" w:type="dxa"/>
            <w:tcBorders>
              <w:top w:val="nil"/>
              <w:left w:val="nil"/>
              <w:bottom w:val="single" w:sz="4" w:space="0" w:color="auto"/>
              <w:right w:val="single" w:sz="4" w:space="0" w:color="auto"/>
            </w:tcBorders>
            <w:noWrap/>
            <w:vAlign w:val="bottom"/>
            <w:hideMark/>
          </w:tcPr>
          <w:p>
            <w:pPr>
              <w:jc w:val="center"/>
              <w:rPr>
                <w:bCs/>
                <w:noProof/>
                <w:szCs w:val="24"/>
              </w:rPr>
            </w:pPr>
            <w:r>
              <w:rPr>
                <w:noProof/>
              </w:rPr>
              <w:t>26 709</w:t>
            </w:r>
          </w:p>
        </w:tc>
        <w:tc>
          <w:tcPr>
            <w:tcW w:w="2127" w:type="dxa"/>
            <w:tcBorders>
              <w:top w:val="nil"/>
              <w:left w:val="nil"/>
              <w:bottom w:val="single" w:sz="4" w:space="0" w:color="auto"/>
              <w:right w:val="single" w:sz="4" w:space="0" w:color="auto"/>
            </w:tcBorders>
            <w:noWrap/>
            <w:vAlign w:val="bottom"/>
            <w:hideMark/>
          </w:tcPr>
          <w:p>
            <w:pPr>
              <w:jc w:val="center"/>
              <w:rPr>
                <w:bCs/>
                <w:noProof/>
                <w:szCs w:val="24"/>
              </w:rPr>
            </w:pPr>
            <w:r>
              <w:rPr>
                <w:noProof/>
              </w:rPr>
              <w:t>31 105</w:t>
            </w:r>
          </w:p>
        </w:tc>
        <w:tc>
          <w:tcPr>
            <w:tcW w:w="1842" w:type="dxa"/>
            <w:tcBorders>
              <w:top w:val="nil"/>
              <w:left w:val="nil"/>
              <w:bottom w:val="single" w:sz="4" w:space="0" w:color="auto"/>
              <w:right w:val="single" w:sz="4" w:space="0" w:color="auto"/>
            </w:tcBorders>
            <w:noWrap/>
            <w:vAlign w:val="bottom"/>
            <w:hideMark/>
          </w:tcPr>
          <w:p>
            <w:pPr>
              <w:jc w:val="center"/>
              <w:rPr>
                <w:bCs/>
                <w:noProof/>
                <w:szCs w:val="24"/>
                <w:lang w:eastAsia="nb-NO"/>
              </w:rPr>
            </w:pPr>
          </w:p>
        </w:tc>
      </w:tr>
      <w:tr>
        <w:trPr>
          <w:trHeight w:val="360"/>
        </w:trPr>
        <w:tc>
          <w:tcPr>
            <w:tcW w:w="2977" w:type="dxa"/>
            <w:tcBorders>
              <w:top w:val="nil"/>
              <w:left w:val="single" w:sz="4" w:space="0" w:color="auto"/>
              <w:bottom w:val="single" w:sz="4" w:space="0" w:color="auto"/>
              <w:right w:val="single" w:sz="4" w:space="0" w:color="auto"/>
            </w:tcBorders>
            <w:noWrap/>
            <w:vAlign w:val="bottom"/>
            <w:hideMark/>
          </w:tcPr>
          <w:p>
            <w:pPr>
              <w:rPr>
                <w:b/>
                <w:bCs/>
                <w:noProof/>
                <w:szCs w:val="24"/>
              </w:rPr>
            </w:pPr>
            <w:r>
              <w:rPr>
                <w:b/>
                <w:bCs/>
                <w:noProof/>
                <w:szCs w:val="24"/>
              </w:rPr>
              <w:t>CF</w:t>
            </w:r>
            <w:r>
              <w:rPr>
                <w:b/>
                <w:bCs/>
                <w:noProof/>
                <w:szCs w:val="24"/>
                <w:vertAlign w:val="subscript"/>
              </w:rPr>
              <w:t>4</w:t>
            </w:r>
          </w:p>
        </w:tc>
        <w:tc>
          <w:tcPr>
            <w:tcW w:w="1984" w:type="dxa"/>
            <w:tcBorders>
              <w:top w:val="nil"/>
              <w:left w:val="nil"/>
              <w:bottom w:val="single" w:sz="4" w:space="0" w:color="auto"/>
              <w:right w:val="single" w:sz="4" w:space="0" w:color="auto"/>
            </w:tcBorders>
            <w:noWrap/>
            <w:vAlign w:val="bottom"/>
            <w:hideMark/>
          </w:tcPr>
          <w:p>
            <w:pPr>
              <w:rPr>
                <w:bCs/>
                <w:noProof/>
                <w:szCs w:val="24"/>
              </w:rPr>
            </w:pPr>
            <w:r>
              <w:rPr>
                <w:noProof/>
              </w:rPr>
              <w:t> </w:t>
            </w:r>
          </w:p>
        </w:tc>
        <w:tc>
          <w:tcPr>
            <w:tcW w:w="2127" w:type="dxa"/>
            <w:tcBorders>
              <w:top w:val="nil"/>
              <w:left w:val="nil"/>
              <w:bottom w:val="single" w:sz="4" w:space="0" w:color="auto"/>
              <w:right w:val="single" w:sz="4" w:space="0" w:color="auto"/>
            </w:tcBorders>
            <w:noWrap/>
            <w:vAlign w:val="bottom"/>
            <w:hideMark/>
          </w:tcPr>
          <w:p>
            <w:pPr>
              <w:rPr>
                <w:bCs/>
                <w:noProof/>
                <w:szCs w:val="24"/>
              </w:rPr>
            </w:pPr>
            <w:r>
              <w:rPr>
                <w:noProof/>
              </w:rPr>
              <w:t> </w:t>
            </w:r>
          </w:p>
        </w:tc>
        <w:tc>
          <w:tcPr>
            <w:tcW w:w="1842" w:type="dxa"/>
            <w:tcBorders>
              <w:top w:val="nil"/>
              <w:left w:val="nil"/>
              <w:bottom w:val="single" w:sz="4" w:space="0" w:color="auto"/>
              <w:right w:val="single" w:sz="4" w:space="0" w:color="auto"/>
            </w:tcBorders>
            <w:noWrap/>
            <w:vAlign w:val="bottom"/>
            <w:hideMark/>
          </w:tcPr>
          <w:p>
            <w:pPr>
              <w:jc w:val="center"/>
              <w:rPr>
                <w:bCs/>
                <w:i/>
                <w:noProof/>
                <w:szCs w:val="24"/>
              </w:rPr>
            </w:pPr>
            <w:r>
              <w:rPr>
                <w:bCs/>
                <w:i/>
                <w:noProof/>
                <w:szCs w:val="24"/>
              </w:rPr>
              <w:t>3,508</w:t>
            </w:r>
          </w:p>
        </w:tc>
      </w:tr>
      <w:tr>
        <w:trPr>
          <w:trHeight w:val="360"/>
        </w:trPr>
        <w:tc>
          <w:tcPr>
            <w:tcW w:w="2977" w:type="dxa"/>
            <w:tcBorders>
              <w:top w:val="nil"/>
              <w:left w:val="single" w:sz="4" w:space="0" w:color="auto"/>
              <w:bottom w:val="single" w:sz="4" w:space="0" w:color="auto"/>
              <w:right w:val="single" w:sz="4" w:space="0" w:color="auto"/>
            </w:tcBorders>
            <w:noWrap/>
            <w:vAlign w:val="bottom"/>
            <w:hideMark/>
          </w:tcPr>
          <w:p>
            <w:pPr>
              <w:rPr>
                <w:b/>
                <w:bCs/>
                <w:noProof/>
                <w:szCs w:val="24"/>
              </w:rPr>
            </w:pPr>
            <w:r>
              <w:rPr>
                <w:b/>
                <w:bCs/>
                <w:noProof/>
                <w:szCs w:val="24"/>
              </w:rPr>
              <w:t>C</w:t>
            </w:r>
            <w:r>
              <w:rPr>
                <w:b/>
                <w:bCs/>
                <w:noProof/>
                <w:szCs w:val="24"/>
                <w:vertAlign w:val="subscript"/>
              </w:rPr>
              <w:t>2</w:t>
            </w:r>
            <w:r>
              <w:rPr>
                <w:b/>
                <w:bCs/>
                <w:noProof/>
                <w:szCs w:val="24"/>
              </w:rPr>
              <w:t>F</w:t>
            </w:r>
            <w:r>
              <w:rPr>
                <w:b/>
                <w:bCs/>
                <w:noProof/>
                <w:szCs w:val="24"/>
                <w:vertAlign w:val="subscript"/>
              </w:rPr>
              <w:t>6</w:t>
            </w:r>
          </w:p>
        </w:tc>
        <w:tc>
          <w:tcPr>
            <w:tcW w:w="1984" w:type="dxa"/>
            <w:tcBorders>
              <w:top w:val="nil"/>
              <w:left w:val="nil"/>
              <w:bottom w:val="single" w:sz="4" w:space="0" w:color="auto"/>
              <w:right w:val="single" w:sz="4" w:space="0" w:color="auto"/>
            </w:tcBorders>
            <w:noWrap/>
            <w:vAlign w:val="bottom"/>
            <w:hideMark/>
          </w:tcPr>
          <w:p>
            <w:pPr>
              <w:rPr>
                <w:bCs/>
                <w:noProof/>
                <w:szCs w:val="24"/>
              </w:rPr>
            </w:pPr>
            <w:r>
              <w:rPr>
                <w:noProof/>
              </w:rPr>
              <w:t> </w:t>
            </w:r>
          </w:p>
        </w:tc>
        <w:tc>
          <w:tcPr>
            <w:tcW w:w="2127" w:type="dxa"/>
            <w:tcBorders>
              <w:top w:val="nil"/>
              <w:left w:val="nil"/>
              <w:bottom w:val="single" w:sz="4" w:space="0" w:color="auto"/>
              <w:right w:val="single" w:sz="4" w:space="0" w:color="auto"/>
            </w:tcBorders>
            <w:noWrap/>
            <w:vAlign w:val="bottom"/>
            <w:hideMark/>
          </w:tcPr>
          <w:p>
            <w:pPr>
              <w:rPr>
                <w:bCs/>
                <w:noProof/>
                <w:szCs w:val="24"/>
              </w:rPr>
            </w:pPr>
            <w:r>
              <w:rPr>
                <w:noProof/>
              </w:rPr>
              <w:t> </w:t>
            </w:r>
          </w:p>
        </w:tc>
        <w:tc>
          <w:tcPr>
            <w:tcW w:w="1842" w:type="dxa"/>
            <w:tcBorders>
              <w:top w:val="nil"/>
              <w:left w:val="nil"/>
              <w:bottom w:val="single" w:sz="4" w:space="0" w:color="auto"/>
              <w:right w:val="single" w:sz="4" w:space="0" w:color="auto"/>
            </w:tcBorders>
            <w:noWrap/>
            <w:vAlign w:val="bottom"/>
            <w:hideMark/>
          </w:tcPr>
          <w:p>
            <w:pPr>
              <w:jc w:val="center"/>
              <w:rPr>
                <w:bCs/>
                <w:i/>
                <w:noProof/>
                <w:szCs w:val="24"/>
              </w:rPr>
            </w:pPr>
            <w:r>
              <w:rPr>
                <w:bCs/>
                <w:i/>
                <w:noProof/>
                <w:szCs w:val="24"/>
              </w:rPr>
              <w:t>0,424</w:t>
            </w:r>
          </w:p>
        </w:tc>
      </w:tr>
      <w:tr>
        <w:trPr>
          <w:trHeight w:val="300"/>
        </w:trPr>
        <w:tc>
          <w:tcPr>
            <w:tcW w:w="2977" w:type="dxa"/>
            <w:tcBorders>
              <w:top w:val="nil"/>
              <w:left w:val="single" w:sz="4" w:space="0" w:color="auto"/>
              <w:bottom w:val="single" w:sz="4" w:space="0" w:color="auto"/>
              <w:right w:val="single" w:sz="4" w:space="0" w:color="auto"/>
            </w:tcBorders>
            <w:noWrap/>
            <w:vAlign w:val="bottom"/>
            <w:hideMark/>
          </w:tcPr>
          <w:p>
            <w:pPr>
              <w:rPr>
                <w:b/>
                <w:bCs/>
                <w:noProof/>
                <w:szCs w:val="24"/>
              </w:rPr>
            </w:pPr>
            <w:r>
              <w:rPr>
                <w:b/>
                <w:bCs/>
                <w:noProof/>
                <w:szCs w:val="24"/>
              </w:rPr>
              <w:t>Totalt</w:t>
            </w:r>
          </w:p>
        </w:tc>
        <w:tc>
          <w:tcPr>
            <w:tcW w:w="1984" w:type="dxa"/>
            <w:tcBorders>
              <w:top w:val="nil"/>
              <w:left w:val="nil"/>
              <w:bottom w:val="single" w:sz="4" w:space="0" w:color="auto"/>
              <w:right w:val="single" w:sz="4" w:space="0" w:color="auto"/>
            </w:tcBorders>
            <w:noWrap/>
            <w:vAlign w:val="bottom"/>
            <w:hideMark/>
          </w:tcPr>
          <w:p>
            <w:pPr>
              <w:jc w:val="center"/>
              <w:rPr>
                <w:b/>
                <w:bCs/>
                <w:noProof/>
                <w:szCs w:val="24"/>
              </w:rPr>
            </w:pPr>
            <w:r>
              <w:rPr>
                <w:b/>
                <w:bCs/>
                <w:noProof/>
                <w:szCs w:val="24"/>
              </w:rPr>
              <w:t>935 841</w:t>
            </w:r>
          </w:p>
        </w:tc>
        <w:tc>
          <w:tcPr>
            <w:tcW w:w="2127" w:type="dxa"/>
            <w:tcBorders>
              <w:top w:val="nil"/>
              <w:left w:val="nil"/>
              <w:bottom w:val="single" w:sz="4" w:space="0" w:color="auto"/>
              <w:right w:val="single" w:sz="4" w:space="0" w:color="auto"/>
            </w:tcBorders>
            <w:noWrap/>
            <w:vAlign w:val="bottom"/>
            <w:hideMark/>
          </w:tcPr>
          <w:p>
            <w:pPr>
              <w:jc w:val="center"/>
              <w:rPr>
                <w:b/>
                <w:bCs/>
                <w:noProof/>
                <w:szCs w:val="24"/>
              </w:rPr>
            </w:pPr>
            <w:r>
              <w:rPr>
                <w:b/>
                <w:bCs/>
                <w:noProof/>
                <w:szCs w:val="24"/>
              </w:rPr>
              <w:t>940 237</w:t>
            </w:r>
          </w:p>
        </w:tc>
        <w:tc>
          <w:tcPr>
            <w:tcW w:w="1842" w:type="dxa"/>
            <w:tcBorders>
              <w:top w:val="nil"/>
              <w:left w:val="nil"/>
              <w:bottom w:val="single" w:sz="4" w:space="0" w:color="auto"/>
              <w:right w:val="single" w:sz="4" w:space="0" w:color="auto"/>
            </w:tcBorders>
            <w:noWrap/>
            <w:vAlign w:val="bottom"/>
            <w:hideMark/>
          </w:tcPr>
          <w:p>
            <w:pPr>
              <w:jc w:val="center"/>
              <w:rPr>
                <w:b/>
                <w:bCs/>
                <w:noProof/>
                <w:szCs w:val="24"/>
                <w:lang w:eastAsia="nb-NO"/>
              </w:rPr>
            </w:pPr>
          </w:p>
        </w:tc>
      </w:tr>
    </w:tbl>
    <w:p>
      <w:pPr>
        <w:pStyle w:val="Point2"/>
        <w:rPr>
          <w:noProof/>
        </w:rPr>
      </w:pPr>
    </w:p>
    <w:p>
      <w:pPr>
        <w:pStyle w:val="Point2"/>
        <w:rPr>
          <w:noProof/>
        </w:rPr>
      </w:pPr>
      <w:r>
        <w:rPr>
          <w:noProof/>
        </w:rPr>
        <w:t>iii)</w:t>
      </w:r>
      <w:r>
        <w:rPr>
          <w:noProof/>
        </w:rPr>
        <w:tab/>
        <w:t>I artikel 6.1 ska ”100 miljoner EU-utsläppsrätter” ersättas med ”107 miljoner EU-utsläppsrätter”.</w:t>
      </w:r>
    </w:p>
    <w:p>
      <w:pPr>
        <w:pStyle w:val="Point2"/>
        <w:rPr>
          <w:noProof/>
        </w:rPr>
      </w:pPr>
      <w:r>
        <w:rPr>
          <w:noProof/>
        </w:rPr>
        <w:t>iv)</w:t>
      </w:r>
      <w:r>
        <w:rPr>
          <w:noProof/>
        </w:rPr>
        <w:tab/>
        <w:t>I artikel 12.2 ska följande läggas till:</w:t>
      </w:r>
    </w:p>
    <w:p>
      <w:pPr>
        <w:pStyle w:val="Text3"/>
        <w:rPr>
          <w:noProof/>
        </w:rPr>
      </w:pPr>
      <w:r>
        <w:rPr>
          <w:noProof/>
        </w:rPr>
        <w:t>”Den centrala förvaltaren ska vara behörig att utföra de uppgifter som avses i denna artikel när Eftastaterna berörs. Eftas övervakningsmyndighet ska underrättas om den centrala förvaltaren blockerar en transaktion som berör eller genomförs av Eftastaterna.”</w:t>
      </w:r>
    </w:p>
    <w:p>
      <w:pPr>
        <w:pStyle w:val="Point2"/>
        <w:rPr>
          <w:noProof/>
        </w:rPr>
      </w:pPr>
      <w:r>
        <w:rPr>
          <w:noProof/>
        </w:rPr>
        <w:t>v)</w:t>
      </w:r>
      <w:r>
        <w:rPr>
          <w:noProof/>
        </w:rPr>
        <w:tab/>
        <w:t>Följande ska läggas till i tabellen i bilaga I:</w:t>
      </w:r>
    </w:p>
    <w:p>
      <w:pPr>
        <w:pStyle w:val="Text3"/>
        <w:rPr>
          <w:noProof/>
        </w:rPr>
      </w:pPr>
      <w:r>
        <w:rPr>
          <w:noProof/>
        </w:rPr>
        <w:t>”Island</w:t>
      </w:r>
      <w:r>
        <w:rPr>
          <w:noProof/>
        </w:rPr>
        <w:tab/>
        <w:t>- 29 %</w:t>
      </w:r>
    </w:p>
    <w:p>
      <w:pPr>
        <w:pStyle w:val="Text3"/>
        <w:rPr>
          <w:noProof/>
        </w:rPr>
      </w:pPr>
      <w:r>
        <w:rPr>
          <w:noProof/>
        </w:rPr>
        <w:t>Norge</w:t>
      </w:r>
      <w:r>
        <w:rPr>
          <w:noProof/>
        </w:rPr>
        <w:tab/>
        <w:t>- 40 %”</w:t>
      </w:r>
    </w:p>
    <w:p>
      <w:pPr>
        <w:pStyle w:val="Point2"/>
        <w:rPr>
          <w:noProof/>
        </w:rPr>
      </w:pPr>
      <w:r>
        <w:rPr>
          <w:noProof/>
        </w:rPr>
        <w:t>vi)</w:t>
      </w:r>
      <w:r>
        <w:rPr>
          <w:noProof/>
        </w:rPr>
        <w:tab/>
        <w:t>Följande ska läggas till i tabellen i bilaga II:</w:t>
      </w:r>
    </w:p>
    <w:p>
      <w:pPr>
        <w:pStyle w:val="Text3"/>
        <w:rPr>
          <w:noProof/>
        </w:rPr>
      </w:pPr>
      <w:r>
        <w:rPr>
          <w:noProof/>
        </w:rPr>
        <w:t>”Island</w:t>
      </w:r>
      <w:r>
        <w:rPr>
          <w:noProof/>
        </w:rPr>
        <w:tab/>
      </w:r>
      <w:r>
        <w:rPr>
          <w:noProof/>
        </w:rPr>
        <w:tab/>
        <w:t>4 %</w:t>
      </w:r>
    </w:p>
    <w:p>
      <w:pPr>
        <w:pStyle w:val="Text3"/>
        <w:rPr>
          <w:noProof/>
        </w:rPr>
      </w:pPr>
      <w:r>
        <w:rPr>
          <w:noProof/>
        </w:rPr>
        <w:t>Norge</w:t>
      </w:r>
      <w:r>
        <w:rPr>
          <w:noProof/>
        </w:rPr>
        <w:tab/>
      </w:r>
      <w:r>
        <w:rPr>
          <w:noProof/>
        </w:rPr>
        <w:tab/>
        <w:t>2 %”</w:t>
      </w:r>
    </w:p>
    <w:p>
      <w:pPr>
        <w:pStyle w:val="Point2"/>
        <w:rPr>
          <w:noProof/>
        </w:rPr>
      </w:pPr>
      <w:r>
        <w:rPr>
          <w:noProof/>
        </w:rPr>
        <w:t>vii)</w:t>
      </w:r>
      <w:r>
        <w:rPr>
          <w:noProof/>
        </w:rPr>
        <w:tab/>
        <w:t xml:space="preserve">Tabellen i bilaga III ska ändras på följande sätt: </w:t>
      </w:r>
    </w:p>
    <w:p>
      <w:pPr>
        <w:pStyle w:val="Point3letter"/>
        <w:numPr>
          <w:ilvl w:val="7"/>
          <w:numId w:val="11"/>
        </w:numPr>
        <w:rPr>
          <w:noProof/>
        </w:rPr>
      </w:pPr>
      <w:r>
        <w:rPr>
          <w:noProof/>
        </w:rPr>
        <w:t>Tabellen ska kompletteras med följande text:</w:t>
      </w:r>
    </w:p>
    <w:p>
      <w:pPr>
        <w:pStyle w:val="Text4"/>
        <w:rPr>
          <w:noProof/>
        </w:rPr>
      </w:pPr>
      <w:r>
        <w:rPr>
          <w:noProof/>
        </w:rPr>
        <w:t>”Island</w:t>
      </w:r>
      <w:r>
        <w:rPr>
          <w:noProof/>
        </w:rPr>
        <w:tab/>
      </w:r>
      <w:r>
        <w:rPr>
          <w:noProof/>
        </w:rPr>
        <w:tab/>
        <w:t>0,2</w:t>
      </w:r>
    </w:p>
    <w:p>
      <w:pPr>
        <w:pStyle w:val="Text4"/>
        <w:rPr>
          <w:noProof/>
        </w:rPr>
      </w:pPr>
      <w:r>
        <w:rPr>
          <w:noProof/>
        </w:rPr>
        <w:t>Norge</w:t>
      </w:r>
      <w:r>
        <w:rPr>
          <w:noProof/>
        </w:rPr>
        <w:tab/>
      </w:r>
      <w:r>
        <w:rPr>
          <w:noProof/>
        </w:rPr>
        <w:tab/>
        <w:t>1,6</w:t>
      </w:r>
      <w:bookmarkStart w:id="5" w:name="_Hlk1661012"/>
      <w:r>
        <w:rPr>
          <w:noProof/>
        </w:rPr>
        <w:t>”</w:t>
      </w:r>
      <w:bookmarkEnd w:id="5"/>
    </w:p>
    <w:p>
      <w:pPr>
        <w:pStyle w:val="Point3letter"/>
        <w:rPr>
          <w:noProof/>
        </w:rPr>
      </w:pPr>
      <w:r>
        <w:rPr>
          <w:noProof/>
        </w:rPr>
        <w:t>Siffran ”280” för maximal totalsumma ska läsas som ”281,8”.</w:t>
      </w:r>
    </w:p>
    <w:p>
      <w:pPr>
        <w:pStyle w:val="Point1"/>
        <w:rPr>
          <w:noProof/>
        </w:rPr>
      </w:pPr>
      <w:r>
        <w:rPr>
          <w:noProof/>
        </w:rPr>
        <w:t>-</w:t>
      </w:r>
      <w:r>
        <w:rPr>
          <w:noProof/>
        </w:rPr>
        <w:tab/>
      </w:r>
      <w:r>
        <w:rPr>
          <w:b/>
          <w:noProof/>
        </w:rPr>
        <w:t>32018 R 1999</w:t>
      </w:r>
      <w:r>
        <w:rPr>
          <w:noProof/>
        </w:rPr>
        <w:t>: Europaparlamentets och rådets förordning (EU) 2018/1999 av den 11 december 2018 om styrningen av energiunionen och av klimatåtgärder samt om ändring av Europaparlamentets och rådets förordningar (EG) nr 663/2009 och (EG) nr 715/2009, Europaparlamentets och rådets direktiv 94/22/EG, 98/70/EG, 2009/31/EG, 2009/73/EG, 2010/31/EU, 2012/27/EU och 2013/30/EU samt rådets direktiv 2009/119/EG och (EU) 2015/652 och om upphävande av Europaparlamentets och rådets förordning (EU) nr 525/2013 (EUT L 328, 21.12.2018, s. 1).”</w:t>
      </w:r>
    </w:p>
    <w:p>
      <w:pPr>
        <w:pStyle w:val="Text2"/>
        <w:rPr>
          <w:noProof/>
        </w:rPr>
      </w:pPr>
      <w:r>
        <w:rPr>
          <w:noProof/>
        </w:rPr>
        <w:t>De tillämpliga bestämmelserna i denna förordning förtecknas nedan, och ska, inom ramen för detta avtal, läsas med följande anpassningar:</w:t>
      </w:r>
    </w:p>
    <w:p>
      <w:pPr>
        <w:pStyle w:val="Point2"/>
        <w:rPr>
          <w:noProof/>
        </w:rPr>
      </w:pPr>
      <w:r>
        <w:rPr>
          <w:noProof/>
        </w:rPr>
        <w:t>i)</w:t>
      </w:r>
      <w:r>
        <w:rPr>
          <w:noProof/>
        </w:rPr>
        <w:tab/>
        <w:t>Endast följande bestämmelser i förordningen ska tillämpas:</w:t>
      </w:r>
    </w:p>
    <w:p>
      <w:pPr>
        <w:pStyle w:val="Text3"/>
        <w:rPr>
          <w:noProof/>
        </w:rPr>
      </w:pPr>
      <w:r>
        <w:rPr>
          <w:noProof/>
        </w:rPr>
        <w:t xml:space="preserve">Artiklarna 2.1-2.10, 2.12–2.13, 2.15–2.17, 18, 26.2–26.7, 29.5 b, 37–42, 44.1 a, 44.2–44.3 och 44.6, 57–58 samt bilagorna V–VII och XII–XIII.   </w:t>
      </w:r>
    </w:p>
    <w:p>
      <w:pPr>
        <w:pStyle w:val="Point2"/>
        <w:rPr>
          <w:noProof/>
        </w:rPr>
      </w:pPr>
      <w:r>
        <w:rPr>
          <w:noProof/>
        </w:rPr>
        <w:t>ii)</w:t>
      </w:r>
      <w:r>
        <w:rPr>
          <w:noProof/>
        </w:rPr>
        <w:tab/>
        <w:t>Artikel 2.1–2.10 och 2.12–2.13 och 2.15–2.17 ska vid tillämpningen av denna punkt endast gälla Eftastaterna i den mån de avser genomförandet av förordningarna (EU) 2018/841 och (EU) 2018/842.</w:t>
      </w:r>
    </w:p>
    <w:p>
      <w:pPr>
        <w:pStyle w:val="Point2"/>
        <w:rPr>
          <w:noProof/>
        </w:rPr>
      </w:pPr>
      <w:r>
        <w:rPr>
          <w:noProof/>
        </w:rPr>
        <w:t>iii)</w:t>
      </w:r>
      <w:r>
        <w:rPr>
          <w:noProof/>
        </w:rPr>
        <w:tab/>
        <w:t xml:space="preserve">Artikel 26.4 ska för Eftastaternas del läsas som följer: </w:t>
      </w:r>
    </w:p>
    <w:p>
      <w:pPr>
        <w:pStyle w:val="Text3"/>
        <w:rPr>
          <w:noProof/>
        </w:rPr>
      </w:pPr>
      <w:r>
        <w:rPr>
          <w:noProof/>
        </w:rPr>
        <w:t>”Island och Norge ska senast den 15 april varje år till Eftas övervakningsmyndighet inlämna en kopia av slutgiltiga data från växthusgasinventeringen som rapporterats enligt UNFCCC i enlighet med punkt 3.”</w:t>
      </w:r>
    </w:p>
    <w:p>
      <w:pPr>
        <w:pStyle w:val="Point2"/>
        <w:rPr>
          <w:noProof/>
        </w:rPr>
      </w:pPr>
      <w:r>
        <w:rPr>
          <w:noProof/>
        </w:rPr>
        <w:t>iv)</w:t>
      </w:r>
      <w:r>
        <w:rPr>
          <w:noProof/>
        </w:rPr>
        <w:tab/>
        <w:t>Artikel 41 ska för Eftastaternas del endast tillämpas i den mån som bestämmelserna eller delar av dem som nämns i artikeln hänvisas till eller fastställs i [detta beslut].</w:t>
      </w:r>
    </w:p>
    <w:p>
      <w:pPr>
        <w:pStyle w:val="Point2"/>
        <w:rPr>
          <w:noProof/>
        </w:rPr>
      </w:pPr>
      <w:bookmarkStart w:id="6" w:name="_Hlk6331839"/>
      <w:r>
        <w:rPr>
          <w:noProof/>
        </w:rPr>
        <w:t>v)</w:t>
      </w:r>
      <w:r>
        <w:rPr>
          <w:noProof/>
        </w:rPr>
        <w:tab/>
        <w:t>Följande mening ska för Eftastaternas del läggas till efter den första meningen i artikel 42:</w:t>
      </w:r>
      <w:bookmarkEnd w:id="6"/>
    </w:p>
    <w:p>
      <w:pPr>
        <w:pStyle w:val="Text3"/>
        <w:rPr>
          <w:noProof/>
        </w:rPr>
      </w:pPr>
      <w:r>
        <w:rPr>
          <w:noProof/>
        </w:rPr>
        <w:t>”</w:t>
      </w:r>
      <w:bookmarkStart w:id="7" w:name="_Hlk6331741"/>
      <w:r>
        <w:rPr>
          <w:noProof/>
        </w:rPr>
        <w:t>Europeiska miljöbyrån ska endast bistå Eftas övervakningsmyndighet i dess arbete avseende artiklarna 18, 26.2–26.7, 29.5 b, 37–39 och 41.</w:t>
      </w:r>
      <w:bookmarkEnd w:id="7"/>
      <w:r>
        <w:rPr>
          <w:noProof/>
        </w:rPr>
        <w:t>”</w:t>
      </w:r>
    </w:p>
    <w:p>
      <w:pPr>
        <w:pStyle w:val="Point1"/>
        <w:rPr>
          <w:noProof/>
        </w:rPr>
      </w:pPr>
      <w:r>
        <w:rPr>
          <w:noProof/>
        </w:rPr>
        <w:t>-</w:t>
      </w:r>
      <w:r>
        <w:rPr>
          <w:noProof/>
        </w:rPr>
        <w:tab/>
      </w:r>
      <w:r>
        <w:rPr>
          <w:b/>
          <w:noProof/>
        </w:rPr>
        <w:t>32013 R 0525</w:t>
      </w:r>
      <w:r>
        <w:rPr>
          <w:noProof/>
        </w:rPr>
        <w:t>: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 (EUT L 165, 18.6.2013, s. 13).</w:t>
      </w:r>
    </w:p>
    <w:p>
      <w:pPr>
        <w:pStyle w:val="Text2"/>
        <w:rPr>
          <w:noProof/>
        </w:rPr>
      </w:pPr>
      <w:r>
        <w:rPr>
          <w:noProof/>
        </w:rPr>
        <w:t>De tillämpliga bestämmelserna i denna förordning förtecknas nedan, och ska, inom ramen för detta avtal, läsas med följande anpassningar:</w:t>
      </w:r>
    </w:p>
    <w:p>
      <w:pPr>
        <w:pStyle w:val="Point2"/>
        <w:rPr>
          <w:noProof/>
        </w:rPr>
      </w:pPr>
      <w:r>
        <w:rPr>
          <w:noProof/>
        </w:rPr>
        <w:t>i)</w:t>
      </w:r>
      <w:r>
        <w:rPr>
          <w:noProof/>
        </w:rPr>
        <w:tab/>
        <w:t>Endast följande bestämmelser i förordningen ska tillämpas:</w:t>
      </w:r>
    </w:p>
    <w:p>
      <w:pPr>
        <w:pStyle w:val="Point2"/>
        <w:ind w:firstLine="0"/>
        <w:rPr>
          <w:noProof/>
        </w:rPr>
      </w:pPr>
      <w:r>
        <w:rPr>
          <w:noProof/>
        </w:rPr>
        <w:t>Artiklarna 7, 19.1 och 19.3.</w:t>
      </w:r>
    </w:p>
    <w:p>
      <w:pPr>
        <w:pStyle w:val="Point2"/>
        <w:rPr>
          <w:noProof/>
        </w:rPr>
      </w:pPr>
      <w:r>
        <w:rPr>
          <w:noProof/>
        </w:rPr>
        <w:t>ii)</w:t>
      </w:r>
      <w:r>
        <w:rPr>
          <w:noProof/>
        </w:rPr>
        <w:tab/>
        <w:t>Artiklarna 7, 19.1 och 19.3 ska vid tillämpningen av denna punkt endast gälla Eftastaterna i den mån de avser genomförandet av förordning (EU) 2018/842.</w:t>
      </w:r>
    </w:p>
    <w:p>
      <w:pPr>
        <w:pStyle w:val="Point1"/>
        <w:rPr>
          <w:noProof/>
        </w:rPr>
      </w:pPr>
      <w:r>
        <w:rPr>
          <w:noProof/>
        </w:rPr>
        <w:t>-</w:t>
      </w:r>
      <w:r>
        <w:rPr>
          <w:noProof/>
        </w:rPr>
        <w:tab/>
      </w:r>
      <w:r>
        <w:rPr>
          <w:b/>
          <w:noProof/>
        </w:rPr>
        <w:t>32014 R 0749</w:t>
      </w:r>
      <w:r>
        <w:rPr>
          <w:noProof/>
        </w:rPr>
        <w:t>: Kommissionens genomförandeförordning (EU) nr 749/2014 av den 30 juni 2014 om struktur, format, inlämningsförfaranden och granskning gällande medlemsstaternas rapportering av information i enlighet med Europaparlamentets och rådets förordning (EU) nr 525/2013 (EUT L 203, 11.7.2014, s. 23).</w:t>
      </w:r>
    </w:p>
    <w:p>
      <w:pPr>
        <w:pStyle w:val="Text2"/>
        <w:rPr>
          <w:noProof/>
        </w:rPr>
      </w:pPr>
      <w:r>
        <w:rPr>
          <w:noProof/>
        </w:rPr>
        <w:t>De tillämpliga bestämmelserna i denna förordning förtecknas nedan, och ska, inom ramen för detta avtal, läsas med följande anpassningar:</w:t>
      </w:r>
    </w:p>
    <w:p>
      <w:pPr>
        <w:pStyle w:val="Point2"/>
        <w:rPr>
          <w:noProof/>
        </w:rPr>
      </w:pPr>
      <w:r>
        <w:rPr>
          <w:noProof/>
        </w:rPr>
        <w:t>i)</w:t>
      </w:r>
      <w:r>
        <w:rPr>
          <w:noProof/>
        </w:rPr>
        <w:tab/>
        <w:t>Endast följande bestämmelser i förordningen ska tillämpas:</w:t>
      </w:r>
    </w:p>
    <w:p>
      <w:pPr>
        <w:pStyle w:val="Text3"/>
        <w:rPr>
          <w:noProof/>
        </w:rPr>
      </w:pPr>
      <w:r>
        <w:rPr>
          <w:noProof/>
        </w:rPr>
        <w:t>Artiklarna 3–5, 7–10, 12–14, 16, 29, 32–34, 36–37 och bilagorna I-VIII och tabell 2 i bilaga XVI.</w:t>
      </w:r>
    </w:p>
    <w:p>
      <w:pPr>
        <w:pStyle w:val="Point2"/>
        <w:rPr>
          <w:noProof/>
        </w:rPr>
      </w:pPr>
      <w:r>
        <w:rPr>
          <w:noProof/>
        </w:rPr>
        <w:t>ii)</w:t>
      </w:r>
      <w:r>
        <w:rPr>
          <w:noProof/>
        </w:rPr>
        <w:tab/>
        <w:t>Artiklarna 3–5, 7–10, 12–14, 16, 29, 32–34, 36–37 och bilagorna I-VIII och tabell 2 i bilaga XVI ska, vid tillämpningen av denna punkt, endast gälla Eftastaterna i den mån de avser genomförandet av förordning (EU) 2018/842.</w:t>
      </w:r>
    </w:p>
    <w:p>
      <w:pPr>
        <w:pStyle w:val="Point0"/>
        <w:rPr>
          <w:noProof/>
          <w:highlight w:val="yellow"/>
        </w:rPr>
      </w:pPr>
      <w:r>
        <w:rPr>
          <w:noProof/>
        </w:rPr>
        <w:t>b)</w:t>
      </w:r>
      <w:r>
        <w:rPr>
          <w:noProof/>
        </w:rPr>
        <w:tab/>
        <w:t>I kraft av artikel 79.3 i EES-avtalet ska bestämmelserna i del VII (Institutionella bestämmelser) i avtalet gälla för denna punkt.</w:t>
      </w:r>
    </w:p>
    <w:p>
      <w:pPr>
        <w:pStyle w:val="Point0"/>
        <w:rPr>
          <w:noProof/>
        </w:rPr>
      </w:pPr>
      <w:r>
        <w:rPr>
          <w:noProof/>
        </w:rPr>
        <w:t>c)</w:t>
      </w:r>
      <w:r>
        <w:rPr>
          <w:noProof/>
        </w:rPr>
        <w:tab/>
        <w:t>Protokoll 1 till EES-avtalet (Horisontella anpassningar) ska i tillämpliga delar gälla för denna punkt.</w:t>
      </w:r>
    </w:p>
    <w:p>
      <w:pPr>
        <w:pStyle w:val="Point0"/>
        <w:rPr>
          <w:noProof/>
        </w:rPr>
      </w:pPr>
      <w:r>
        <w:rPr>
          <w:noProof/>
        </w:rPr>
        <w:t>d)</w:t>
      </w:r>
      <w:r>
        <w:rPr>
          <w:noProof/>
        </w:rPr>
        <w:tab/>
        <w:t>Hänvisningar till unionens lagstiftning, akter, regler, politik och åtgärder i de akter och bestämmelser som avses eller fastställs i denna punkt ska tillämpas i den mån och i den form som relevant lagstiftning, akter, politik och åtgärder är införlivade i detta avtal.</w:t>
      </w:r>
    </w:p>
    <w:p>
      <w:pPr>
        <w:pStyle w:val="Point0"/>
        <w:rPr>
          <w:noProof/>
        </w:rPr>
      </w:pPr>
      <w:r>
        <w:rPr>
          <w:noProof/>
        </w:rPr>
        <w:t>e)</w:t>
      </w:r>
      <w:r>
        <w:rPr>
          <w:noProof/>
        </w:rPr>
        <w:tab/>
        <w:t xml:space="preserve">Island och Norge ska till fullo delta i arbetet i kommittén för klimatförändringar i enlighet med de akter och bestämmelser som avses eller ingår i denna punkt, men ska inte ha rösträtt. </w:t>
      </w:r>
    </w:p>
    <w:p>
      <w:pPr>
        <w:pStyle w:val="Point0"/>
        <w:rPr>
          <w:noProof/>
        </w:rPr>
      </w:pPr>
      <w:r>
        <w:rPr>
          <w:noProof/>
        </w:rPr>
        <w:t xml:space="preserve">f) </w:t>
      </w:r>
      <w:r>
        <w:rPr>
          <w:noProof/>
        </w:rPr>
        <w:tab/>
        <w:t>När kommissionen samråder med experter som utsetts av medlemsstaterna i enlighet med de akter och bestämmelser som avses eller ingår i denna punkt, ska den på samma grundval samråda med experter som utsetts av Eftastaterna.</w:t>
      </w:r>
    </w:p>
    <w:p>
      <w:pPr>
        <w:pStyle w:val="Point0"/>
        <w:rPr>
          <w:noProof/>
        </w:rPr>
      </w:pPr>
      <w:r>
        <w:rPr>
          <w:noProof/>
        </w:rPr>
        <w:t>g)</w:t>
      </w:r>
      <w:r>
        <w:rPr>
          <w:noProof/>
        </w:rPr>
        <w:tab/>
        <w:t>Europeiska miljöbyrån ska bistå Eftas övervakningsmyndighet i dess arbete i enlighet med förordningarna (EU) 2018/841 och (EU) 2018/842.</w:t>
      </w:r>
    </w:p>
    <w:p>
      <w:pPr>
        <w:pStyle w:val="Point0"/>
        <w:rPr>
          <w:noProof/>
        </w:rPr>
      </w:pPr>
      <w:r>
        <w:rPr>
          <w:noProof/>
        </w:rPr>
        <w:t>h)</w:t>
      </w:r>
      <w:r>
        <w:rPr>
          <w:noProof/>
        </w:rPr>
        <w:tab/>
        <w:t>Denna punkt ska inte tillämpas på Liechtenstein.”</w:t>
      </w:r>
    </w:p>
    <w:p>
      <w:pPr>
        <w:pStyle w:val="Articleheading"/>
        <w:rPr>
          <w:noProof/>
          <w:color w:val="auto"/>
        </w:rPr>
      </w:pPr>
      <w:r>
        <w:rPr>
          <w:noProof/>
          <w:color w:val="auto"/>
        </w:rPr>
        <w:t>Artikel 2</w:t>
      </w:r>
    </w:p>
    <w:p>
      <w:pPr>
        <w:pStyle w:val="Articletext"/>
        <w:rPr>
          <w:noProof/>
          <w:color w:val="auto"/>
        </w:rPr>
      </w:pPr>
      <w:r>
        <w:rPr>
          <w:noProof/>
        </w:rPr>
        <w:t>Detta beslut träder i kraft den […] under förutsättning att alla anmälningar enligt artikel 103.1 i EES-avtalet har gjorts</w:t>
      </w:r>
      <w:r>
        <w:rPr>
          <w:rStyle w:val="FootnoteReference"/>
          <w:b/>
          <w:noProof/>
          <w:color w:val="auto"/>
        </w:rPr>
        <w:footnoteReference w:customMarkFollows="1" w:id="8"/>
        <w:sym w:font="Symbol" w:char="F02A"/>
      </w:r>
      <w:r>
        <w:rPr>
          <w:noProof/>
        </w:rPr>
        <w:t>.</w:t>
      </w:r>
    </w:p>
    <w:p>
      <w:pPr>
        <w:pStyle w:val="Articleheading"/>
        <w:rPr>
          <w:noProof/>
          <w:color w:val="auto"/>
        </w:rPr>
      </w:pPr>
      <w:r>
        <w:rPr>
          <w:noProof/>
          <w:color w:val="auto"/>
        </w:rPr>
        <w:t>Artikel 3</w:t>
      </w:r>
    </w:p>
    <w:p>
      <w:pPr>
        <w:pStyle w:val="Articletext"/>
        <w:rPr>
          <w:noProof/>
          <w:color w:val="auto"/>
        </w:rPr>
      </w:pPr>
      <w:r>
        <w:rPr>
          <w:noProof/>
          <w:color w:val="auto"/>
        </w:rPr>
        <w:t xml:space="preserve">Detta beslut ska offentliggöras i EES-delen av och EES-supplementet till </w:t>
      </w:r>
      <w:r>
        <w:rPr>
          <w:i/>
          <w:noProof/>
          <w:color w:val="auto"/>
        </w:rPr>
        <w:t>Europeiska unionens officiella tidning</w:t>
      </w:r>
      <w:r>
        <w:rPr>
          <w:noProof/>
          <w:color w:val="auto"/>
        </w:rPr>
        <w:t>.</w:t>
      </w:r>
    </w:p>
    <w:p>
      <w:pPr>
        <w:rPr>
          <w:noProof/>
          <w:szCs w:val="24"/>
        </w:rPr>
      </w:pPr>
      <w:r>
        <w:rPr>
          <w:noProof/>
        </w:rPr>
        <w:t xml:space="preserve">Utfärdat i Bryssel den </w:t>
      </w:r>
      <w:r>
        <w:rPr>
          <w:rStyle w:val="Marker"/>
          <w:noProof/>
        </w:rPr>
        <w:t>[…]</w:t>
      </w:r>
      <w:r>
        <w:rPr>
          <w:noProof/>
        </w:rPr>
        <w:t>.</w:t>
      </w:r>
    </w:p>
    <w:p>
      <w:pPr>
        <w:tabs>
          <w:tab w:val="left" w:pos="4253"/>
        </w:tabs>
        <w:spacing w:before="720" w:after="0"/>
        <w:rPr>
          <w:i/>
          <w:noProof/>
          <w:szCs w:val="24"/>
        </w:rPr>
      </w:pPr>
      <w:r>
        <w:rPr>
          <w:i/>
          <w:noProof/>
          <w:szCs w:val="24"/>
        </w:rPr>
        <w:tab/>
        <w:t>På gemensamma EES-kommitténs vägnar</w:t>
      </w:r>
    </w:p>
    <w:p>
      <w:pPr>
        <w:tabs>
          <w:tab w:val="left" w:pos="4253"/>
        </w:tabs>
        <w:spacing w:after="0"/>
        <w:rPr>
          <w:i/>
          <w:noProof/>
          <w:szCs w:val="24"/>
        </w:rPr>
      </w:pPr>
      <w:r>
        <w:rPr>
          <w:i/>
          <w:noProof/>
          <w:szCs w:val="24"/>
        </w:rPr>
        <w:tab/>
        <w:t>Ordförande</w:t>
      </w:r>
    </w:p>
    <w:p>
      <w:pPr>
        <w:tabs>
          <w:tab w:val="left" w:pos="4253"/>
        </w:tabs>
        <w:spacing w:after="0"/>
        <w:rPr>
          <w:i/>
          <w:noProof/>
          <w:szCs w:val="24"/>
        </w:rPr>
      </w:pPr>
      <w:r>
        <w:rPr>
          <w:i/>
          <w:noProof/>
          <w:szCs w:val="24"/>
        </w:rPr>
        <w:tab/>
      </w:r>
      <w:r>
        <w:rPr>
          <w:rStyle w:val="Marker"/>
          <w:i/>
          <w:noProof/>
        </w:rPr>
        <w:t>[…]</w:t>
      </w:r>
    </w:p>
    <w:p>
      <w:pPr>
        <w:pStyle w:val="ListParagraph"/>
        <w:ind w:left="0"/>
        <w:rPr>
          <w:rStyle w:val="Marker"/>
          <w:noProof/>
        </w:rPr>
      </w:pPr>
    </w:p>
    <w:p>
      <w:pPr>
        <w:pStyle w:val="ListParagraph"/>
        <w:ind w:left="0"/>
        <w:rPr>
          <w:rStyle w:val="Marker"/>
          <w:noProof/>
        </w:rPr>
      </w:pPr>
    </w:p>
    <w:p>
      <w:pPr>
        <w:pStyle w:val="ListParagraph"/>
        <w:tabs>
          <w:tab w:val="left" w:pos="4253"/>
        </w:tabs>
        <w:ind w:left="0"/>
        <w:rPr>
          <w:rFonts w:cs="Times New Roman"/>
          <w:i/>
          <w:noProof/>
          <w:sz w:val="24"/>
          <w:szCs w:val="24"/>
        </w:rPr>
      </w:pPr>
      <w:r>
        <w:rPr>
          <w:i/>
          <w:noProof/>
          <w:sz w:val="24"/>
          <w:szCs w:val="24"/>
        </w:rPr>
        <w:tab/>
        <w:t>Sekreterarna</w:t>
      </w:r>
    </w:p>
    <w:p>
      <w:pPr>
        <w:pStyle w:val="ListParagraph"/>
        <w:tabs>
          <w:tab w:val="left" w:pos="4253"/>
        </w:tabs>
        <w:ind w:left="0"/>
        <w:rPr>
          <w:rFonts w:cs="Times New Roman"/>
          <w:i/>
          <w:noProof/>
          <w:sz w:val="24"/>
          <w:szCs w:val="24"/>
        </w:rPr>
      </w:pPr>
      <w:r>
        <w:rPr>
          <w:i/>
          <w:noProof/>
          <w:sz w:val="24"/>
          <w:szCs w:val="24"/>
        </w:rPr>
        <w:tab/>
        <w:t>för EES-kommittén</w:t>
      </w:r>
    </w:p>
    <w:p>
      <w:pPr>
        <w:pStyle w:val="ListParagraph"/>
        <w:tabs>
          <w:tab w:val="left" w:pos="4253"/>
        </w:tabs>
        <w:ind w:left="0"/>
        <w:rPr>
          <w:rStyle w:val="Marker"/>
          <w:i/>
          <w:noProof/>
        </w:rPr>
      </w:pPr>
      <w:r>
        <w:rPr>
          <w:i/>
          <w:noProof/>
          <w:sz w:val="24"/>
          <w:szCs w:val="24"/>
        </w:rPr>
        <w:tab/>
      </w:r>
      <w:r>
        <w:rPr>
          <w:rStyle w:val="Marker"/>
          <w:i/>
          <w:noProof/>
        </w:rPr>
        <w:t>[…]</w:t>
      </w:r>
    </w:p>
    <w:p>
      <w:pPr>
        <w:pStyle w:val="ListParagraph"/>
        <w:tabs>
          <w:tab w:val="left" w:pos="4253"/>
        </w:tabs>
        <w:ind w:left="0"/>
        <w:rPr>
          <w:rStyle w:val="Marker"/>
          <w:noProof/>
        </w:rPr>
      </w:pPr>
    </w:p>
    <w:p>
      <w:pPr>
        <w:rPr>
          <w:noProof/>
        </w:rPr>
        <w:sectPr>
          <w:footerReference w:type="default" r:id="rId16"/>
          <w:footerReference w:type="first" r:id="rId17"/>
          <w:pgSz w:w="11906" w:h="16838"/>
          <w:pgMar w:top="1417" w:right="1417" w:bottom="1417" w:left="1417" w:header="708" w:footer="708" w:gutter="0"/>
          <w:cols w:space="708"/>
          <w:docGrid w:linePitch="360"/>
        </w:sectPr>
      </w:pPr>
    </w:p>
    <w:p>
      <w:pPr>
        <w:pStyle w:val="Articleheading"/>
        <w:rPr>
          <w:rFonts w:eastAsia="Times New Roman"/>
          <w:b/>
          <w:i w:val="0"/>
          <w:noProof/>
        </w:rPr>
      </w:pPr>
      <w:r>
        <w:rPr>
          <w:b/>
          <w:i w:val="0"/>
          <w:noProof/>
        </w:rPr>
        <w:t>Förklaring från Island och Norge</w:t>
      </w:r>
    </w:p>
    <w:p>
      <w:pPr>
        <w:pStyle w:val="Articleheading"/>
        <w:rPr>
          <w:rFonts w:eastAsia="Times New Roman"/>
          <w:b/>
          <w:i w:val="0"/>
          <w:noProof/>
        </w:rPr>
      </w:pPr>
      <w:r>
        <w:rPr>
          <w:b/>
          <w:i w:val="0"/>
          <w:noProof/>
        </w:rPr>
        <w:t xml:space="preserve">om nationella planer avseende gemensamma EES-kommitténs beslut nr [detta beslut] </w:t>
      </w:r>
    </w:p>
    <w:p>
      <w:pPr>
        <w:pStyle w:val="Articleheading"/>
        <w:rPr>
          <w:rFonts w:eastAsia="Times New Roman"/>
          <w:b/>
          <w:i w:val="0"/>
          <w:noProof/>
        </w:rPr>
      </w:pPr>
    </w:p>
    <w:p>
      <w:pPr>
        <w:pStyle w:val="Articletext"/>
        <w:rPr>
          <w:rFonts w:eastAsia="Times New Roman"/>
          <w:noProof/>
        </w:rPr>
      </w:pPr>
      <w:r>
        <w:rPr>
          <w:noProof/>
        </w:rPr>
        <w:t>Island och Norge kommer på frivillig basis att utarbeta nationella planer som beskriver hur Island och Norge har för avsikt att fullgöra sina åtaganden genom att inlemma följande akter i protokoll 31 till EES-avtalet:</w:t>
      </w:r>
    </w:p>
    <w:p>
      <w:pPr>
        <w:pStyle w:val="Point0"/>
        <w:rPr>
          <w:noProof/>
        </w:rPr>
      </w:pPr>
      <w:r>
        <w:rPr>
          <w:noProof/>
        </w:rPr>
        <w:t>-</w:t>
      </w:r>
      <w:r>
        <w:rPr>
          <w:noProof/>
        </w:rPr>
        <w:tab/>
        <w:t xml:space="preserve">Europaparlamentets och rådets förordning (EU) 2018/841 av den 30 maj 2018 om inbegripande av utsläpp och upptag av växthusgaser från markanvändning, förändrad markanvändning och skogsbruk i ramen för klimat- och energipolitiken fram till 2030 och om ändring av förordning (EU) nr 525/2013 och beslut nr 529/2013/EU </w:t>
      </w:r>
    </w:p>
    <w:p>
      <w:pPr>
        <w:pStyle w:val="Point0"/>
        <w:rPr>
          <w:noProof/>
        </w:rPr>
      </w:pPr>
      <w:r>
        <w:rPr>
          <w:noProof/>
        </w:rPr>
        <w:t>-</w:t>
      </w:r>
      <w:r>
        <w:rPr>
          <w:noProof/>
        </w:rPr>
        <w:tab/>
        <w:t xml:space="preserve">Europaparlamentets och rådets förordning (EU) 2018/842 av den 30 maj 2018 om medlemsstaternas bindande årliga minskningar av växthusgasutsläpp under perioden 2021–2030 som bidrar till klimatåtgärder för att fullgöra åtagandena enligt Parisavtalet samt om ändring av förordning (EU) nr 525/2013 </w:t>
      </w:r>
    </w:p>
    <w:p>
      <w:pPr>
        <w:pStyle w:val="Articletext"/>
        <w:rPr>
          <w:noProof/>
        </w:rPr>
      </w:pPr>
      <w:r>
        <w:rPr>
          <w:noProof/>
        </w:rPr>
        <w:t xml:space="preserve">Island och Norge kommer att utarbeta sina respektive nationella planer och göra dem tillgängliga för EU:s medlemsstater, Europeiska kommissionen, Eftas övervakningsmyndighet och allmänheten senast den 31 december 2019. </w:t>
      </w:r>
    </w:p>
    <w:p>
      <w:pPr>
        <w:pStyle w:val="Articletext"/>
        <w:rPr>
          <w:noProof/>
          <w:color w:val="auto"/>
        </w:rPr>
      </w:pPr>
      <w:r>
        <w:rPr>
          <w:noProof/>
          <w:color w:val="auto"/>
        </w:rPr>
        <w:t xml:space="preserve">Planerna kommer att innehålla följande huvudinslag: </w:t>
      </w:r>
    </w:p>
    <w:p>
      <w:pPr>
        <w:pStyle w:val="Bullet0"/>
        <w:numPr>
          <w:ilvl w:val="0"/>
          <w:numId w:val="12"/>
        </w:numPr>
        <w:rPr>
          <w:noProof/>
        </w:rPr>
      </w:pPr>
      <w:r>
        <w:rPr>
          <w:noProof/>
        </w:rPr>
        <w:t xml:space="preserve"> En sammanfattning av planen. </w:t>
      </w:r>
    </w:p>
    <w:p>
      <w:pPr>
        <w:pStyle w:val="Bullet0"/>
        <w:rPr>
          <w:noProof/>
        </w:rPr>
      </w:pPr>
      <w:r>
        <w:rPr>
          <w:noProof/>
        </w:rPr>
        <w:t xml:space="preserve">En översikt över den nuvarande nationella klimatpolitiken. </w:t>
      </w:r>
    </w:p>
    <w:p>
      <w:pPr>
        <w:pStyle w:val="Bullet0"/>
        <w:rPr>
          <w:noProof/>
        </w:rPr>
      </w:pPr>
      <w:r>
        <w:rPr>
          <w:noProof/>
        </w:rPr>
        <w:t>En beskrivning av det nationella ansvarsfördelningsmålet och åtagandet om markanvändning, förändrad markanvändning och skogsbruk.</w:t>
      </w:r>
    </w:p>
    <w:p>
      <w:pPr>
        <w:pStyle w:val="Bullet0"/>
        <w:rPr>
          <w:noProof/>
        </w:rPr>
      </w:pPr>
      <w:r>
        <w:rPr>
          <w:noProof/>
        </w:rPr>
        <w:t>En beskrivning av de viktigaste befintliga och politiska strategier och åtgärder som planeras för att uppnå ansvarsfördelningsmålet och åtagandet om markanvändning, förändrad markanvändning och skogsbruk.</w:t>
      </w:r>
    </w:p>
    <w:p>
      <w:pPr>
        <w:pStyle w:val="Bullet0"/>
        <w:rPr>
          <w:noProof/>
        </w:rPr>
      </w:pPr>
      <w:r>
        <w:rPr>
          <w:noProof/>
        </w:rPr>
        <w:t>En beskrivning av nuvarande nationella utsläpp och upptag av växthusgaser samt prognoser för ansvarsfördelningsmålet och åtagandet om markanvändning, förändrad markanvändning och skogsbruk på grundval av redan befintliga strategier och åtgärder.</w:t>
      </w:r>
    </w:p>
    <w:p>
      <w:pPr>
        <w:pStyle w:val="Bullet0"/>
        <w:rPr>
          <w:noProof/>
        </w:rPr>
      </w:pPr>
      <w:r>
        <w:rPr>
          <w:noProof/>
        </w:rPr>
        <w:t xml:space="preserve">En bedömning av de planerade nationella strategiernas och åtgärdernas effekter för uppnåendet av ansvarsfördelningsmålet och åtagandet om markanvändning, förändrad markanvändning och skogsbruk, varvid en jämförelse sker med prognoser som bygger på nuvarande strategier och åtgärder och en beskrivning görs av samspelet mellan nuvarande och planerade politiska strategier och åtgärder.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EUT L 156, 19.6.2018, s. 1.</w:t>
      </w:r>
    </w:p>
  </w:footnote>
  <w:footnote w:id="2">
    <w:p>
      <w:pPr>
        <w:pStyle w:val="FootnoteText"/>
        <w:rPr>
          <w:lang w:val="fr-FR"/>
        </w:rPr>
      </w:pPr>
      <w:r>
        <w:rPr>
          <w:rStyle w:val="FootnoteReference"/>
        </w:rPr>
        <w:footnoteRef/>
      </w:r>
      <w:r>
        <w:rPr>
          <w:lang w:val="fr-FR"/>
        </w:rPr>
        <w:tab/>
        <w:t>EUT L 156, 19.6.2018, s. 26.</w:t>
      </w:r>
    </w:p>
  </w:footnote>
  <w:footnote w:id="3">
    <w:p>
      <w:pPr>
        <w:pStyle w:val="FootnoteText"/>
        <w:rPr>
          <w:lang w:val="fr-FR"/>
        </w:rPr>
      </w:pPr>
      <w:r>
        <w:rPr>
          <w:rStyle w:val="FootnoteReference"/>
        </w:rPr>
        <w:footnoteRef/>
      </w:r>
      <w:r>
        <w:rPr>
          <w:lang w:val="fr-FR"/>
        </w:rPr>
        <w:tab/>
        <w:t>EUT L 328, 21.12.2018, s. 1.</w:t>
      </w:r>
    </w:p>
  </w:footnote>
  <w:footnote w:id="4">
    <w:p>
      <w:pPr>
        <w:pStyle w:val="FootnoteText"/>
        <w:rPr>
          <w:lang w:val="fr-FR"/>
        </w:rPr>
      </w:pPr>
      <w:r>
        <w:rPr>
          <w:rStyle w:val="FootnoteReference"/>
        </w:rPr>
        <w:footnoteRef/>
      </w:r>
      <w:r>
        <w:rPr>
          <w:lang w:val="fr-FR"/>
        </w:rPr>
        <w:tab/>
        <w:t>EUT L 165, 18.6.2013, s. 13.</w:t>
      </w:r>
    </w:p>
  </w:footnote>
  <w:footnote w:id="5">
    <w:p>
      <w:pPr>
        <w:pStyle w:val="FootnoteText"/>
        <w:rPr>
          <w:lang w:val="fr-FR"/>
        </w:rPr>
      </w:pPr>
      <w:r>
        <w:rPr>
          <w:rStyle w:val="FootnoteReference"/>
        </w:rPr>
        <w:footnoteRef/>
      </w:r>
      <w:r>
        <w:rPr>
          <w:lang w:val="fr-FR"/>
        </w:rPr>
        <w:tab/>
        <w:t>EUT L 203, 11.7.2014, s. 23.</w:t>
      </w:r>
    </w:p>
  </w:footnote>
  <w:footnote w:id="6">
    <w:p>
      <w:pPr>
        <w:pStyle w:val="FootnoteText"/>
        <w:rPr>
          <w:lang w:val="fr-FR"/>
        </w:rPr>
      </w:pPr>
      <w:r>
        <w:rPr>
          <w:rStyle w:val="FootnoteReference"/>
        </w:rPr>
        <w:footnoteRef/>
      </w:r>
      <w:r>
        <w:rPr>
          <w:lang w:val="fr-FR"/>
        </w:rPr>
        <w:tab/>
        <w:t>EUT L 207, 4.8.2015, s. 1.</w:t>
      </w:r>
    </w:p>
  </w:footnote>
  <w:footnote w:id="7">
    <w:p>
      <w:pPr>
        <w:pStyle w:val="FootnoteText"/>
      </w:pPr>
      <w:r>
        <w:rPr>
          <w:rStyle w:val="FootnoteReference"/>
        </w:rPr>
        <w:footnoteRef/>
      </w:r>
      <w:r>
        <w:tab/>
        <w:t>EUT L 309, 8.11.2012, s. 38.</w:t>
      </w:r>
    </w:p>
  </w:footnote>
  <w:footnote w:id="8">
    <w:p>
      <w:pPr>
        <w:pStyle w:val="FootnoteText"/>
      </w:pPr>
      <w:r>
        <w:rPr>
          <w:rStyle w:val="FootnoteReference"/>
        </w:rPr>
        <w:sym w:font="Symbol" w:char="F02A"/>
      </w:r>
      <w:r>
        <w:tab/>
        <w:t>[Inga konstitutionella krav angivna.]  [Konstitutionella krav finns angivna.]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2A21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E6F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4C0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625E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2E21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FA2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62B542"/>
    <w:lvl w:ilvl="0">
      <w:start w:val="1"/>
      <w:numFmt w:val="decimal"/>
      <w:pStyle w:val="ListNumber"/>
      <w:lvlText w:val="%1."/>
      <w:lvlJc w:val="left"/>
      <w:pPr>
        <w:tabs>
          <w:tab w:val="num" w:pos="360"/>
        </w:tabs>
        <w:ind w:left="360" w:hanging="360"/>
      </w:pPr>
    </w:lvl>
  </w:abstractNum>
  <w:abstractNum w:abstractNumId="7">
    <w:nsid w:val="FFFFFF89"/>
    <w:multiLevelType w:val="singleLevel"/>
    <w:tmpl w:val="8DC084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C47932"/>
    <w:multiLevelType w:val="hybridMultilevel"/>
    <w:tmpl w:val="9FA86560"/>
    <w:lvl w:ilvl="0" w:tplc="7E969CBC">
      <w:start w:val="1"/>
      <w:numFmt w:val="decimal"/>
      <w:pStyle w:val="Considerant"/>
      <w:lvlText w:val="(%1)"/>
      <w:lvlJc w:val="left"/>
      <w:pPr>
        <w:ind w:left="9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9088" w:hanging="360"/>
      </w:pPr>
    </w:lvl>
    <w:lvl w:ilvl="2" w:tplc="0809001B">
      <w:start w:val="1"/>
      <w:numFmt w:val="lowerRoman"/>
      <w:lvlText w:val="%3."/>
      <w:lvlJc w:val="right"/>
      <w:pPr>
        <w:ind w:left="9808" w:hanging="180"/>
      </w:pPr>
    </w:lvl>
    <w:lvl w:ilvl="3" w:tplc="0809000F">
      <w:start w:val="1"/>
      <w:numFmt w:val="decimal"/>
      <w:lvlText w:val="%4."/>
      <w:lvlJc w:val="left"/>
      <w:pPr>
        <w:ind w:left="10528" w:hanging="360"/>
      </w:pPr>
    </w:lvl>
    <w:lvl w:ilvl="4" w:tplc="08090019">
      <w:start w:val="1"/>
      <w:numFmt w:val="lowerLetter"/>
      <w:lvlText w:val="%5."/>
      <w:lvlJc w:val="left"/>
      <w:pPr>
        <w:ind w:left="11248" w:hanging="360"/>
      </w:pPr>
    </w:lvl>
    <w:lvl w:ilvl="5" w:tplc="0809001B">
      <w:start w:val="1"/>
      <w:numFmt w:val="lowerRoman"/>
      <w:lvlText w:val="%6."/>
      <w:lvlJc w:val="right"/>
      <w:pPr>
        <w:ind w:left="11968" w:hanging="180"/>
      </w:pPr>
    </w:lvl>
    <w:lvl w:ilvl="6" w:tplc="0809000F">
      <w:start w:val="1"/>
      <w:numFmt w:val="decimal"/>
      <w:lvlText w:val="%7."/>
      <w:lvlJc w:val="left"/>
      <w:pPr>
        <w:ind w:left="12688" w:hanging="360"/>
      </w:pPr>
    </w:lvl>
    <w:lvl w:ilvl="7" w:tplc="08090019">
      <w:start w:val="1"/>
      <w:numFmt w:val="lowerLetter"/>
      <w:lvlText w:val="%8."/>
      <w:lvlJc w:val="left"/>
      <w:pPr>
        <w:ind w:left="13408" w:hanging="360"/>
      </w:pPr>
    </w:lvl>
    <w:lvl w:ilvl="8" w:tplc="0809001B">
      <w:start w:val="1"/>
      <w:numFmt w:val="lowerRoman"/>
      <w:lvlText w:val="%9."/>
      <w:lvlJc w:val="right"/>
      <w:pPr>
        <w:ind w:left="14128"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3"/>
  </w:num>
  <w:num w:numId="29">
    <w:abstractNumId w:val="21"/>
  </w:num>
  <w:num w:numId="30">
    <w:abstractNumId w:val="11"/>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24 08:49:36"/>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8"/>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665DDAE6-0178-4658-A142-20A42398E002"/>
    <w:docVar w:name="LW_COVERPAGE_TYPE" w:val="1"/>
    <w:docVar w:name="LW_CROSSREFERENCE" w:val="&lt;UNUSED&gt;"/>
    <w:docVar w:name="LW_DocType" w:val="ANNEX"/>
    <w:docVar w:name="LW_EMISSION" w:val="27.9.2019"/>
    <w:docVar w:name="LW_EMISSION_ISODATE" w:val="2019-09-27"/>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_x000d__x000d__x000b_i gemensamma EES-kommittén beträffande en ändring av protokoll 31 till EES-avtalet om samarbete inom särskilda områden vid sidan om de fyra friheterna_x000d__x000d__x000b__x000d__x000d__x000b_[Utvidgat klimatsamarbete EU \u8211? Island \u8211? Norge]_x000d__x000d__x000d__x000b__x000d__x000d__x000d__x000b_"/>
    <w:docVar w:name="LW_OBJETACTEPRINCIPAL.CP" w:val="om den ståndpunkt som ska intas på Europeiska unionens vägnar _x000d__x000d__x000b_i gemensamma EES-kommittén beträffande en ändring av protokoll 31 till EES-avtalet om samarbete inom särskilda områden vid sidan om de fyra friheterna_x000d__x000d__x000b__x000d__x000d__x000b_[Utvidgat klimatsamarbete EU \u8211? Island \u8211? Norge]_x000d__x000d__x000d__x000b__x000d__x000d__x000d__x000b_"/>
    <w:docVar w:name="LW_PART_NBR" w:val="1"/>
    <w:docVar w:name="LW_PART_NBR_TOTAL" w:val="1"/>
    <w:docVar w:name="LW_REF.INST.NEW" w:val="COM"/>
    <w:docVar w:name="LW_REF.INST.NEW_ADOPTED" w:val="final"/>
    <w:docVar w:name="LW_REF.INST.NEW_TEXT" w:val="(2019) 4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_x000b__x000b_RÅDETS BESLUT_x000b_"/>
    <w:docVar w:name="LW_TYPEACTEPRINCIPAL.CP" w:val="förslag till_x000b__x000b_RÅDETS BESLUT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rPr>
  </w:style>
  <w:style w:type="character" w:customStyle="1" w:styleId="ArticleheadingChar">
    <w:name w:val="Article heading Char"/>
    <w:basedOn w:val="DefaultParagraphFont"/>
    <w:link w:val="Articleheading"/>
    <w:locked/>
    <w:rPr>
      <w:rFonts w:ascii="Times New Roman" w:hAnsi="Times New Roman" w:cs="Times New Roman"/>
      <w:i/>
      <w:color w:val="000000" w:themeColor="text1"/>
      <w:sz w:val="24"/>
      <w:szCs w:val="24"/>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character" w:customStyle="1" w:styleId="ArticletextChar">
    <w:name w:val="Article text Char"/>
    <w:basedOn w:val="ArticleheadingChar"/>
    <w:link w:val="Articletext"/>
    <w:locked/>
    <w:rPr>
      <w:rFonts w:ascii="Times New Roman" w:hAnsi="Times New Roman" w:cs="Times New Roman"/>
      <w:i w:val="0"/>
      <w:color w:val="000000" w:themeColor="text1"/>
      <w:sz w:val="24"/>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Point0Char">
    <w:name w:val="Point 0 Char"/>
    <w:basedOn w:val="DefaultParagraphFont"/>
    <w:locked/>
    <w:rPr>
      <w:rFonts w:ascii="Times New Roman" w:hAnsi="Times New Roman" w:cs="Times New Roman"/>
      <w:sz w:val="24"/>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Considerant">
    <w:name w:val="Considerant"/>
    <w:basedOn w:val="ListParagraph"/>
    <w:pPr>
      <w:numPr>
        <w:numId w:val="9"/>
      </w:numPr>
      <w:tabs>
        <w:tab w:val="left" w:pos="720"/>
      </w:tabs>
      <w:spacing w:before="120" w:after="120" w:line="240" w:lineRule="auto"/>
      <w:ind w:left="709" w:hanging="709"/>
      <w:jc w:val="both"/>
    </w:pPr>
    <w:rPr>
      <w:rFonts w:cs="Times New Roman"/>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cstheme="minorBidi"/>
      <w:sz w:val="20"/>
      <w:szCs w:val="20"/>
    </w:rPr>
  </w:style>
  <w:style w:type="character" w:customStyle="1" w:styleId="ArticleheadingChar">
    <w:name w:val="Article heading Char"/>
    <w:basedOn w:val="DefaultParagraphFont"/>
    <w:link w:val="Articleheading"/>
    <w:locked/>
    <w:rPr>
      <w:rFonts w:ascii="Times New Roman" w:hAnsi="Times New Roman" w:cs="Times New Roman"/>
      <w:i/>
      <w:color w:val="000000" w:themeColor="text1"/>
      <w:sz w:val="24"/>
      <w:szCs w:val="24"/>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character" w:customStyle="1" w:styleId="ArticletextChar">
    <w:name w:val="Article text Char"/>
    <w:basedOn w:val="ArticleheadingChar"/>
    <w:link w:val="Articletext"/>
    <w:locked/>
    <w:rPr>
      <w:rFonts w:ascii="Times New Roman" w:hAnsi="Times New Roman" w:cs="Times New Roman"/>
      <w:i w:val="0"/>
      <w:color w:val="000000" w:themeColor="text1"/>
      <w:sz w:val="24"/>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Point0Char">
    <w:name w:val="Point 0 Char"/>
    <w:basedOn w:val="DefaultParagraphFont"/>
    <w:locked/>
    <w:rPr>
      <w:rFonts w:ascii="Times New Roman" w:hAnsi="Times New Roman" w:cs="Times New Roman"/>
      <w:sz w:val="24"/>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Considerant">
    <w:name w:val="Considerant"/>
    <w:basedOn w:val="ListParagraph"/>
    <w:pPr>
      <w:numPr>
        <w:numId w:val="9"/>
      </w:numPr>
      <w:tabs>
        <w:tab w:val="left" w:pos="720"/>
      </w:tabs>
      <w:spacing w:before="120" w:after="120" w:line="240" w:lineRule="auto"/>
      <w:ind w:left="709" w:hanging="709"/>
      <w:jc w:val="both"/>
    </w:pPr>
    <w:rPr>
      <w:rFonts w:cs="Times New Roman"/>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8A06-3246-462A-9647-B74578A2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11</Pages>
  <Words>2959</Words>
  <Characters>17552</Characters>
  <Application>Microsoft Office Word</Application>
  <DocSecurity>0</DocSecurity>
  <Lines>408</Lines>
  <Paragraphs>207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9</cp:revision>
  <dcterms:created xsi:type="dcterms:W3CDTF">2019-09-20T10:15:00Z</dcterms:created>
  <dcterms:modified xsi:type="dcterms:W3CDTF">2019-09-24T06:49:00Z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