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94376FDF-D743-4692-95AE-73C253376C89" style="width:450.8pt;height:347.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</w:p>
    <w:p>
      <w:pPr>
        <w:pStyle w:val="Heading1"/>
        <w:numPr>
          <w:ilvl w:val="0"/>
          <w:numId w:val="0"/>
        </w:numPr>
        <w:ind w:left="397" w:hanging="397"/>
        <w:rPr>
          <w:noProof/>
        </w:rPr>
      </w:pPr>
      <w:r>
        <w:rPr>
          <w:noProof/>
        </w:rPr>
        <w:t>Az Európai Parlament és a Tanács 251/2014/EU rendelete az ízesített borászati termékekről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Bevezetés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 251/2014/EU európai parlamenti és tanácsi rendelet</w:t>
      </w:r>
      <w:r>
        <w:rPr>
          <w:rFonts w:ascii="Times New Roman" w:hAnsi="Times New Roman" w:cs="Times New Roman"/>
          <w:noProof/>
          <w:vertAlign w:val="superscript"/>
        </w:rPr>
        <w:footnoteReference w:id="1"/>
      </w:r>
      <w:r>
        <w:rPr>
          <w:rFonts w:ascii="Times New Roman" w:hAnsi="Times New Roman"/>
          <w:noProof/>
        </w:rPr>
        <w:t xml:space="preserve"> az ízesített borászati termékek meghatározására, megnevezésére, kiszerelésére és jelölésére, valamint az ízesített borászati termékek földrajzi árujelzőinek oltalmára vonatkozó szabályokat határozza meg.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 4. cikk (2) bekezdése felhatalmazza a Bizottságot arra, hogy felhatalmazáson alapuló jogi aktusokat fogadjon el az ízesített borászati termékek előállítására engedélyezett eljárások megállapítására, figyelembe véve a fogyasztók igényeit és a Nemzetközi Szőlészeti és Borászati Szervezet (OIV) által ajánlott és közzétett előállítási eljárásokat.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 28. cikk (1) bekezdése felhatalmazza a Bizottságot arra, hogy felhatalmazáson alapuló jogi aktusokat fogadjon el a következőre vonatkozóan:</w:t>
      </w:r>
    </w:p>
    <w:p>
      <w:pPr>
        <w:pStyle w:val="Listparagraph2"/>
        <w:rPr>
          <w:noProof/>
        </w:rPr>
      </w:pPr>
      <w:r>
        <w:rPr>
          <w:noProof/>
        </w:rPr>
        <w:t>a földrajzi terület körülhatárolására vonatkozó kritériumok; valamint</w:t>
      </w:r>
    </w:p>
    <w:p>
      <w:pPr>
        <w:pStyle w:val="Listparagraph2"/>
        <w:rPr>
          <w:noProof/>
        </w:rPr>
      </w:pPr>
      <w:r>
        <w:rPr>
          <w:noProof/>
        </w:rPr>
        <w:t>a körülhatárolt földrajzi területen folyó termeléssel összefüggő szabályok, korlátozások és eltérések.</w:t>
      </w:r>
    </w:p>
    <w:p>
      <w:pPr>
        <w:tabs>
          <w:tab w:val="left" w:pos="510"/>
          <w:tab w:val="left" w:pos="1021"/>
        </w:tabs>
        <w:spacing w:before="120" w:after="120" w:line="240" w:lineRule="auto"/>
        <w:ind w:left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 28. cikk (2) bekezdése felhatalmazza a Bizottságot arra, hogy felhatalmazáson alapuló jogi aktusokat fogadjon el azon feltételek megállapítására vonatkozóan, amelyek mellett a termékleírásokban a 10. cikk (2) bekezdésének f) pontjában említetteken felül további követelmények is feltüntethetők a termékek minőségének és nyomon követhetőségének biztosítása érdekében.</w:t>
      </w:r>
    </w:p>
    <w:p>
      <w:pPr>
        <w:spacing w:before="120" w:after="0" w:line="312" w:lineRule="atLeast"/>
        <w:jc w:val="both"/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</w:pPr>
      <w:r>
        <w:rPr>
          <w:rFonts w:ascii="Times New Roman" w:hAnsi="Times New Roman"/>
          <w:noProof/>
        </w:rPr>
        <w:t>A 28. cikk (3) bekezdése felhatalmazza a Bizottságot arra, hogy felhatalmazáson alapuló jogi aktusokat fogadjon el a következőre vonatkozóan:</w:t>
      </w:r>
    </w:p>
    <w:p>
      <w:pPr>
        <w:spacing w:before="120" w:after="0" w:line="312" w:lineRule="atLeast"/>
        <w:jc w:val="both"/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</w:pPr>
    </w:p>
    <w:p>
      <w:pPr>
        <w:pStyle w:val="Listparagraph2"/>
        <w:numPr>
          <w:ilvl w:val="0"/>
          <w:numId w:val="48"/>
        </w:numPr>
        <w:rPr>
          <w:noProof/>
        </w:rPr>
      </w:pPr>
      <w:r>
        <w:rPr>
          <w:noProof/>
        </w:rPr>
        <w:t>azon esetek meghatározása, amelyekben egy termelő egyénileg is kérelmezheti valamely földrajzi árujelző oltalmát;</w:t>
      </w:r>
    </w:p>
    <w:p>
      <w:pPr>
        <w:pStyle w:val="Listparagraph2"/>
        <w:numPr>
          <w:ilvl w:val="0"/>
          <w:numId w:val="48"/>
        </w:numPr>
        <w:rPr>
          <w:noProof/>
        </w:rPr>
      </w:pPr>
      <w:r>
        <w:rPr>
          <w:noProof/>
        </w:rPr>
        <w:t>azon korlátozások meghatározása, amelyek a földrajzi árujelző oltalmáért folyamodni jogosult kérelmezők körét szabályozzák;</w:t>
      </w:r>
    </w:p>
    <w:p>
      <w:pPr>
        <w:pStyle w:val="Listparagraph2"/>
        <w:numPr>
          <w:ilvl w:val="0"/>
          <w:numId w:val="48"/>
        </w:numPr>
        <w:rPr>
          <w:noProof/>
        </w:rPr>
      </w:pPr>
      <w:r>
        <w:rPr>
          <w:noProof/>
        </w:rPr>
        <w:t>a földrajzi árujelző oltalma iránti kérelemre, a Bizottság által végzett vizsgálatra, a kifogásolási eljárásra és a földrajzi árujelzők módosítására és törlésére vonatkozó eljárásokra vonatkozó követendő feltételek meghatározása;</w:t>
      </w:r>
    </w:p>
    <w:p>
      <w:pPr>
        <w:pStyle w:val="Listparagraph2"/>
        <w:numPr>
          <w:ilvl w:val="0"/>
          <w:numId w:val="48"/>
        </w:numPr>
        <w:rPr>
          <w:noProof/>
        </w:rPr>
      </w:pPr>
      <w:r>
        <w:rPr>
          <w:noProof/>
        </w:rPr>
        <w:t>a határokon átnyúló kérelmekre alkalmazandó feltételek meghatározása;</w:t>
      </w:r>
    </w:p>
    <w:p>
      <w:pPr>
        <w:pStyle w:val="Listparagraph2"/>
        <w:numPr>
          <w:ilvl w:val="0"/>
          <w:numId w:val="48"/>
        </w:numPr>
        <w:rPr>
          <w:noProof/>
        </w:rPr>
      </w:pPr>
      <w:r>
        <w:rPr>
          <w:noProof/>
        </w:rPr>
        <w:t>a kérelmek vagy az igénylések benyújtása időpontjának meghatározása;</w:t>
      </w:r>
    </w:p>
    <w:p>
      <w:pPr>
        <w:pStyle w:val="Listparagraph2"/>
        <w:numPr>
          <w:ilvl w:val="0"/>
          <w:numId w:val="48"/>
        </w:numPr>
        <w:rPr>
          <w:noProof/>
        </w:rPr>
      </w:pPr>
      <w:r>
        <w:rPr>
          <w:noProof/>
        </w:rPr>
        <w:t>azon időpont meghatározása, amelytől kezdve az oltalom érvényes;</w:t>
      </w:r>
    </w:p>
    <w:p>
      <w:pPr>
        <w:pStyle w:val="Listparagraph2"/>
        <w:numPr>
          <w:ilvl w:val="0"/>
          <w:numId w:val="48"/>
        </w:numPr>
        <w:rPr>
          <w:noProof/>
        </w:rPr>
      </w:pPr>
      <w:r>
        <w:rPr>
          <w:noProof/>
        </w:rPr>
        <w:lastRenderedPageBreak/>
        <w:t>azon feltételek meghatározása, amelyek mellett valamely módosítás a 24. cikk (2) bekezdése szerint nem jelentős módosításnak minősül;</w:t>
      </w:r>
    </w:p>
    <w:p>
      <w:pPr>
        <w:pStyle w:val="Listparagraph2"/>
        <w:numPr>
          <w:ilvl w:val="0"/>
          <w:numId w:val="48"/>
        </w:numPr>
        <w:rPr>
          <w:noProof/>
        </w:rPr>
      </w:pPr>
      <w:r>
        <w:rPr>
          <w:noProof/>
        </w:rPr>
        <w:t>azon időpont meghatározása, amikor egy adott módosítás hatályba lép;</w:t>
      </w:r>
    </w:p>
    <w:p>
      <w:pPr>
        <w:pStyle w:val="Listparagraph2"/>
        <w:numPr>
          <w:ilvl w:val="0"/>
          <w:numId w:val="48"/>
        </w:numPr>
        <w:rPr>
          <w:noProof/>
        </w:rPr>
      </w:pPr>
      <w:r>
        <w:rPr>
          <w:noProof/>
        </w:rPr>
        <w:t>az e rendelet szerint oltalom alatt álló földrajzi árujelző termékleírásának módosítására vonatkozó kérelemmel és annak jóváhagyásával kapcsolatos feltételek megállapítása abban az esetben, amikor azok nem vonnak magukkal változtatásokat a 10. cikk (1) bekezdésének d) pontjában említett egységes dokumentumban.</w:t>
      </w:r>
    </w:p>
    <w:p>
      <w:pPr>
        <w:tabs>
          <w:tab w:val="left" w:pos="510"/>
          <w:tab w:val="left" w:pos="1021"/>
        </w:tabs>
        <w:spacing w:before="120" w:after="120" w:line="240" w:lineRule="auto"/>
        <w:ind w:left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 28. cikk (4) bekezdése felhatalmazza a Bizottságot arra, hogy felhatalmazáson alapuló jogi aktusokat fogadjon el az oltalom alatt álló elnevezésre vonatkozó korlátozások tekintetében.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 32. cikk (2) bekezdése felhatalmazza a Bizottságot arra, hogy felhatalmazáson alapuló jogi aktusokat fogadjon el a következőre vonatkozóan:</w:t>
      </w:r>
    </w:p>
    <w:p>
      <w:pPr>
        <w:pStyle w:val="Listparagraph2"/>
        <w:numPr>
          <w:ilvl w:val="0"/>
          <w:numId w:val="47"/>
        </w:numPr>
        <w:spacing w:before="120"/>
        <w:rPr>
          <w:noProof/>
        </w:rPr>
      </w:pPr>
      <w:r>
        <w:rPr>
          <w:noProof/>
        </w:rPr>
        <w:t>azon információk jellege és típusa, amelyekről értesítést kell küldeni;</w:t>
      </w:r>
    </w:p>
    <w:p>
      <w:pPr>
        <w:pStyle w:val="Listparagraph2"/>
        <w:numPr>
          <w:ilvl w:val="0"/>
          <w:numId w:val="47"/>
        </w:numPr>
        <w:spacing w:before="120"/>
        <w:rPr>
          <w:noProof/>
        </w:rPr>
      </w:pPr>
      <w:r>
        <w:rPr>
          <w:noProof/>
        </w:rPr>
        <w:t>az értesítés módszerei;</w:t>
      </w:r>
    </w:p>
    <w:p>
      <w:pPr>
        <w:pStyle w:val="Listparagraph2"/>
        <w:numPr>
          <w:ilvl w:val="0"/>
          <w:numId w:val="47"/>
        </w:numPr>
        <w:spacing w:before="120"/>
        <w:rPr>
          <w:noProof/>
        </w:rPr>
      </w:pPr>
      <w:r>
        <w:rPr>
          <w:noProof/>
        </w:rPr>
        <w:t>a rendelkezésre bocsátott információkhoz vagy információs rendszerekhez való hozzáférés jogára vonatkozó szabályok;</w:t>
      </w:r>
    </w:p>
    <w:p>
      <w:pPr>
        <w:pStyle w:val="Listparagraph2"/>
        <w:numPr>
          <w:ilvl w:val="0"/>
          <w:numId w:val="47"/>
        </w:numPr>
        <w:spacing w:before="120"/>
        <w:rPr>
          <w:noProof/>
        </w:rPr>
      </w:pPr>
      <w:r>
        <w:rPr>
          <w:noProof/>
        </w:rPr>
        <w:t>az információk közzétételének feltételei és eszközei.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Az 1601/91/EGK rendeletben</w:t>
      </w:r>
      <w:r>
        <w:rPr>
          <w:rStyle w:val="FootnoteReference"/>
          <w:rFonts w:ascii="Times New Roman" w:hAnsi="Times New Roman" w:cs="Times New Roman"/>
          <w:noProof/>
        </w:rPr>
        <w:footnoteReference w:id="2"/>
      </w:r>
      <w:r>
        <w:rPr>
          <w:rFonts w:ascii="Times New Roman" w:hAnsi="Times New Roman"/>
          <w:noProof/>
        </w:rPr>
        <w:t xml:space="preserve"> előírt szabályokról az 251/2014/EU rendeletben meghatározott szabályokra való áttérés megkönnyítése érdekében a 36. cikk (1) bekezdése felhatalmazza a Bizottságot adott esetben 2018. március 28-ig hatályban maradó felhatalmazáson alapuló jogi aktusok elfogadására a 251/2014/EU rendelet módosítására vagy az attól való eltérésre irányuló intézkedések elfogadása tekintetében.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Jogalap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E jelentés elkészítését a 33. cikk (2) bekezdése írja elő. E rendelkezés értelmében a Bizottságnak a 4. cikk (2) bekezdésében, 28. cikkében, a 32. cikk (2) bekezdésében és a 36. cikk (1) bekezdésében említett, felhatalmazáson alapuló jogi aktusok elfogadására vonatkozó felhatalmazása ötéves időtartamra szól 2014. március 27-től kezdődő hatállyal. A Bizottság legkésőbb kilenc hónappal az ötéves időtartam letelte előtt jelentést készít a felhatalmazásról. A felhatalmazás hallgatólagosan meghosszabbodik a korábbival megegyező időtartamra, amennyiben az Európai Parlament vagy a Tanács nem ellenzi a meghosszabbítást legkésőbb három hónappal minden egyes időtartam letelte előtt.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A felhatalmazás gyakorlása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A Bizottság egy felhatalmazáson alapuló jogi aktust fogadott el a 4. cikk (2) bekezdése alapján: </w:t>
      </w:r>
      <w:r>
        <w:rPr>
          <w:rFonts w:ascii="Times New Roman" w:hAnsi="Times New Roman"/>
          <w:b/>
          <w:bCs/>
          <w:noProof/>
        </w:rPr>
        <w:t>a Bizottság (EU) 2017/670 felhatalmazáson alapuló rendelete</w:t>
      </w:r>
      <w:r>
        <w:rPr>
          <w:rFonts w:ascii="Times New Roman" w:hAnsi="Times New Roman" w:cs="Times New Roman"/>
          <w:noProof/>
          <w:color w:val="444444"/>
          <w:vertAlign w:val="superscript"/>
        </w:rPr>
        <w:footnoteReference w:id="3"/>
      </w:r>
      <w:r>
        <w:rPr>
          <w:rFonts w:ascii="Times New Roman" w:hAnsi="Times New Roman"/>
          <w:noProof/>
        </w:rPr>
        <w:t>. E felhatalmazáson alapuló jogi aktus az ízesített borászati termékek előállítására engedélyezett eljárásokat állapít meg, figyelembe véve a fogyasztók igényeit és az OIV által ajánlott és közzétett előállítási eljárásokat.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t>A felhatalmazáson alapuló jogi aktusokról szóló egyetértési megállapodással összhangban a Bizottság a tagállamok szakértőivel konzultált a mezőgazdasági piacokkal foglalkozó szakértői csoport keretében. A Bizottság az (EU) 2017/670 felhatalmazáson alapuló rendeletet 2017. január 31-én elfogadta és a rendeletről értesítette az Európai Parlamentet és a Tanácsot. Sem az Európai Parlament, sem a Tanács nem emelt kifogást a felhatalmazáson alapuló rendelet ellen. Az (EU) 2017/670 felhatalmazáson alapuló bizottsági rendeletet a két hónapos határidő elteltével az Európai Unió Hivatalos Lapjának 2017. április 8-i L 97. számában közzétették, és az 2017. április 28-án hatályba lépett.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A 28. cikkben, a 32. cikk (2) bekezdésében, valamint a 36. cikk (1) bekezdésében szereplő felhatalmazásokat nem használták fel.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 Bizottság a 28. cikkben szereplő felhatalmazást azért nem használta fel, mert úgy vélte, hogy a meglévő földrajzi árujelzők érvényesítési eljárásainak befejezése elsőbbséget élvez. Ezt követően, tekintettel az ízesített borászati termékekhez kapcsolódóan a 251/2014/EU rendelet szerint bejegyzett földrajzi árujelzők korlátozott számára, a Bizottság javasolta</w:t>
      </w:r>
      <w:r>
        <w:rPr>
          <w:rFonts w:ascii="Times New Roman" w:hAnsi="Times New Roman" w:cs="Times New Roman"/>
          <w:noProof/>
          <w:vertAlign w:val="superscript"/>
        </w:rPr>
        <w:footnoteReference w:id="4"/>
      </w:r>
      <w:r>
        <w:rPr>
          <w:rFonts w:ascii="Times New Roman" w:hAnsi="Times New Roman"/>
          <w:noProof/>
        </w:rPr>
        <w:t xml:space="preserve"> az ízesített borászati termékek földrajzi árujelzőire az egyéb mezőgazdasági termékekkel és élelmiszerekkel azonos jogszabályi keretek alkalmazását.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 Bizottság a 32. cikk (2) bekezdésében és a 36. cikk (1) bekezdésében szereplő felhatalmazásokat nem használta fel, mivel ebben a tekintetben nem állapított meg igényt.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 Bizottság a felhatalmazásokat a közeljövőben nem szándékozik felhasználni, azonban nem zárható ki, hogy azok felhasználása szükségessé válhat.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Következtetések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 Bizottság pontosan gyakorolta a felhatalmazását.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Nem zárható ki, hogy a felhatalmazások felhasználása a jövőben szükségessé válhat.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 Bizottság az Európai Parlament és a Tanács figyelmébe ajánlja ezt a jelentést.</w:t>
      </w:r>
    </w:p>
    <w:p>
      <w:pPr>
        <w:keepNext/>
        <w:tabs>
          <w:tab w:val="left" w:pos="510"/>
        </w:tabs>
        <w:spacing w:before="480" w:after="120" w:line="264" w:lineRule="auto"/>
        <w:ind w:left="397"/>
        <w:jc w:val="both"/>
        <w:outlineLvl w:val="0"/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417" w:bottom="1417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94403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color w:val="444444"/>
        </w:rPr>
        <w:t xml:space="preserve">Az Európai Parlament és a Tanács 251/2014/EU rendelete (2014. február 26.) az ízesített borászati termékek meghatározásáról, megnevezéséről, kiszereléséről, jelöléséről és földrajzi árujelzőinek oltalmáról és az 1601/91/EGK tanácsi rendelet hatályon kívül helyezéséről </w:t>
      </w:r>
      <w:r>
        <w:rPr>
          <w:iCs/>
          <w:color w:val="444444"/>
        </w:rPr>
        <w:t>HL L 84., 2014.3.20., 14. o.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 Tanács 1601/91/EGK rendelete (1991. június 10.) az ízesített bor, ízesített boralapú italok és az ízesített boralapú koktélok meghatározására, megnevezésére és kiszerelésére vonatkozó általános szabályok meghatározásáról, HL L 149., 1991.6.14., 1. o.</w:t>
      </w:r>
    </w:p>
  </w:footnote>
  <w:footnote w:id="3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A Bizottság (EU) 2017/670 felhatalmazáson alapuló rendelete (2017. január 31.) a 251/2014/EU európai parlamenti és tanácsi rendeletnek az ízesített borászati termékek előállítására engedélyezett eljárások tekintetében való kiegészítéséről, HL L 97., 2017.4.8., 5. o.</w:t>
      </w:r>
    </w:p>
  </w:footnote>
  <w:footnote w:id="4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Javaslat: Az EURÓPAI PARLAMENT ÉS A TANÁCS RENDELETE a mezőgazdasági termékpiacok közös szervezésének létrehozásáról szóló 1308/2013/EU rendelet, a mezőgazdasági termékek és az élelmiszerek minőségrendszereiről szóló 1151/2012/EU rendelet, az ízesített borászati termékek meghatározásáról, megnevezéséről, kiszereléséről, jelöléséről és földrajzi árujelzőinek oltalmáról szóló 251/2014/EU rendelet, az Unió legkülső régiói részére egyedi mezőgazdasági intézkedések megállapításáról szóló 228/2013/EU rendelet és az egyedi mezőgazdasági intézkedéseknek a kisebb égei-tengeri szigetek javára történő megállapításáról szóló 229/2013/EU rendelet módosításáról – COM(2018) 394 final/2.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AC6"/>
    <w:multiLevelType w:val="multilevel"/>
    <w:tmpl w:val="FF2AA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7225C5"/>
    <w:multiLevelType w:val="multilevel"/>
    <w:tmpl w:val="707CD0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0B41A3"/>
    <w:multiLevelType w:val="hybridMultilevel"/>
    <w:tmpl w:val="FE46510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53E58"/>
    <w:multiLevelType w:val="hybridMultilevel"/>
    <w:tmpl w:val="0DDE5CA6"/>
    <w:lvl w:ilvl="0" w:tplc="06321D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DA8"/>
    <w:multiLevelType w:val="hybridMultilevel"/>
    <w:tmpl w:val="39304FF4"/>
    <w:lvl w:ilvl="0" w:tplc="895E5EE0">
      <w:start w:val="1"/>
      <w:numFmt w:val="lowerRoman"/>
      <w:lvlText w:val="(%1)"/>
      <w:lvlJc w:val="left"/>
      <w:pPr>
        <w:ind w:left="10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270350CD"/>
    <w:multiLevelType w:val="hybridMultilevel"/>
    <w:tmpl w:val="69208A2C"/>
    <w:lvl w:ilvl="0" w:tplc="15F0D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B1D1E"/>
    <w:multiLevelType w:val="hybridMultilevel"/>
    <w:tmpl w:val="97EE051E"/>
    <w:lvl w:ilvl="0" w:tplc="5C188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B1C5C"/>
    <w:multiLevelType w:val="hybridMultilevel"/>
    <w:tmpl w:val="B78041F0"/>
    <w:lvl w:ilvl="0" w:tplc="EFEE1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D1A6C"/>
    <w:multiLevelType w:val="hybridMultilevel"/>
    <w:tmpl w:val="4D10B944"/>
    <w:lvl w:ilvl="0" w:tplc="D17894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E11"/>
    <w:multiLevelType w:val="hybridMultilevel"/>
    <w:tmpl w:val="04D25B18"/>
    <w:lvl w:ilvl="0" w:tplc="0D8621C2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137BD"/>
    <w:multiLevelType w:val="hybridMultilevel"/>
    <w:tmpl w:val="362CB0A8"/>
    <w:lvl w:ilvl="0" w:tplc="D408F55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64575"/>
    <w:multiLevelType w:val="hybridMultilevel"/>
    <w:tmpl w:val="A868182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864574"/>
    <w:multiLevelType w:val="hybridMultilevel"/>
    <w:tmpl w:val="A8681822"/>
    <w:lvl w:ilvl="0" w:tplc="040E0017">
      <w:start w:val="1"/>
      <w:numFmt w:val="lowerLetter"/>
      <w:pStyle w:val="Listparagraph2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2A6E81"/>
    <w:multiLevelType w:val="hybridMultilevel"/>
    <w:tmpl w:val="3160A75A"/>
    <w:lvl w:ilvl="0" w:tplc="08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DD3630"/>
    <w:multiLevelType w:val="hybridMultilevel"/>
    <w:tmpl w:val="793674A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B5D0C"/>
    <w:multiLevelType w:val="hybridMultilevel"/>
    <w:tmpl w:val="C960FC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E7A42"/>
    <w:multiLevelType w:val="hybridMultilevel"/>
    <w:tmpl w:val="20A603A0"/>
    <w:lvl w:ilvl="0" w:tplc="4DEE244E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762BB"/>
    <w:multiLevelType w:val="hybridMultilevel"/>
    <w:tmpl w:val="1D42E50C"/>
    <w:lvl w:ilvl="0" w:tplc="056C4778">
      <w:start w:val="1"/>
      <w:numFmt w:val="upperLetter"/>
      <w:lvlText w:val="(%1)"/>
      <w:lvlJc w:val="left"/>
      <w:pPr>
        <w:ind w:left="2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00" w:hanging="360"/>
      </w:pPr>
    </w:lvl>
    <w:lvl w:ilvl="2" w:tplc="0809001B" w:tentative="1">
      <w:start w:val="1"/>
      <w:numFmt w:val="lowerRoman"/>
      <w:lvlText w:val="%3."/>
      <w:lvlJc w:val="right"/>
      <w:pPr>
        <w:ind w:left="3520" w:hanging="180"/>
      </w:pPr>
    </w:lvl>
    <w:lvl w:ilvl="3" w:tplc="0809000F" w:tentative="1">
      <w:start w:val="1"/>
      <w:numFmt w:val="decimal"/>
      <w:lvlText w:val="%4."/>
      <w:lvlJc w:val="left"/>
      <w:pPr>
        <w:ind w:left="4240" w:hanging="360"/>
      </w:pPr>
    </w:lvl>
    <w:lvl w:ilvl="4" w:tplc="08090019" w:tentative="1">
      <w:start w:val="1"/>
      <w:numFmt w:val="lowerLetter"/>
      <w:lvlText w:val="%5."/>
      <w:lvlJc w:val="left"/>
      <w:pPr>
        <w:ind w:left="4960" w:hanging="360"/>
      </w:pPr>
    </w:lvl>
    <w:lvl w:ilvl="5" w:tplc="0809001B" w:tentative="1">
      <w:start w:val="1"/>
      <w:numFmt w:val="lowerRoman"/>
      <w:lvlText w:val="%6."/>
      <w:lvlJc w:val="right"/>
      <w:pPr>
        <w:ind w:left="5680" w:hanging="180"/>
      </w:pPr>
    </w:lvl>
    <w:lvl w:ilvl="6" w:tplc="0809000F" w:tentative="1">
      <w:start w:val="1"/>
      <w:numFmt w:val="decimal"/>
      <w:lvlText w:val="%7."/>
      <w:lvlJc w:val="left"/>
      <w:pPr>
        <w:ind w:left="6400" w:hanging="360"/>
      </w:pPr>
    </w:lvl>
    <w:lvl w:ilvl="7" w:tplc="08090019" w:tentative="1">
      <w:start w:val="1"/>
      <w:numFmt w:val="lowerLetter"/>
      <w:lvlText w:val="%8."/>
      <w:lvlJc w:val="left"/>
      <w:pPr>
        <w:ind w:left="7120" w:hanging="360"/>
      </w:pPr>
    </w:lvl>
    <w:lvl w:ilvl="8" w:tplc="08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8">
    <w:nsid w:val="7C65145E"/>
    <w:multiLevelType w:val="multilevel"/>
    <w:tmpl w:val="D3944FC2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firstLine="0"/>
      </w:pPr>
      <w:rPr>
        <w:rFonts w:hint="default"/>
      </w:rPr>
    </w:lvl>
  </w:abstractNum>
  <w:abstractNum w:abstractNumId="19">
    <w:nsid w:val="7DAC792C"/>
    <w:multiLevelType w:val="multilevel"/>
    <w:tmpl w:val="707CD0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startOverride w:val="3"/>
    </w:lvlOverride>
    <w:lvlOverride w:ilvl="1">
      <w:startOverride w:val="1"/>
    </w:lvlOverride>
  </w:num>
  <w:num w:numId="3">
    <w:abstractNumId w:val="9"/>
  </w:num>
  <w:num w:numId="4">
    <w:abstractNumId w:val="18"/>
    <w:lvlOverride w:ilvl="0">
      <w:startOverride w:val="2"/>
    </w:lvlOverride>
    <w:lvlOverride w:ilvl="1">
      <w:startOverride w:val="4"/>
    </w:lvlOverride>
  </w:num>
  <w:num w:numId="5">
    <w:abstractNumId w:val="13"/>
  </w:num>
  <w:num w:numId="6">
    <w:abstractNumId w:val="10"/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7"/>
  </w:num>
  <w:num w:numId="32">
    <w:abstractNumId w:val="17"/>
    <w:lvlOverride w:ilvl="0">
      <w:lvl w:ilvl="0" w:tplc="056C4778">
        <w:start w:val="1"/>
        <w:numFmt w:val="upperLetter"/>
        <w:lvlText w:val="(%1)"/>
        <w:lvlJc w:val="left"/>
        <w:pPr>
          <w:ind w:left="1021" w:hanging="681"/>
        </w:pPr>
        <w:rPr>
          <w:rFonts w:hint="default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4"/>
  </w:num>
  <w:num w:numId="34">
    <w:abstractNumId w:val="15"/>
  </w:num>
  <w:num w:numId="35">
    <w:abstractNumId w:val="2"/>
  </w:num>
  <w:num w:numId="36">
    <w:abstractNumId w:val="5"/>
  </w:num>
  <w:num w:numId="37">
    <w:abstractNumId w:val="16"/>
  </w:num>
  <w:num w:numId="38">
    <w:abstractNumId w:val="8"/>
  </w:num>
  <w:num w:numId="39">
    <w:abstractNumId w:val="3"/>
  </w:num>
  <w:num w:numId="40">
    <w:abstractNumId w:val="7"/>
  </w:num>
  <w:num w:numId="41">
    <w:abstractNumId w:val="14"/>
  </w:num>
  <w:num w:numId="42">
    <w:abstractNumId w:val="6"/>
  </w:num>
  <w:num w:numId="43">
    <w:abstractNumId w:val="0"/>
  </w:num>
  <w:num w:numId="44">
    <w:abstractNumId w:val="1"/>
  </w:num>
  <w:num w:numId="45">
    <w:abstractNumId w:val="18"/>
  </w:num>
  <w:num w:numId="46">
    <w:abstractNumId w:val="19"/>
  </w:num>
  <w:num w:numId="47">
    <w:abstractNumId w:val="12"/>
    <w:lvlOverride w:ilvl="0">
      <w:startOverride w:val="1"/>
    </w:lvlOverride>
  </w:num>
  <w:num w:numId="48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revisionView w:markup="0"/>
  <w:defaultTabStop w:val="51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94376FDF-D743-4692-95AE-73C253376C89"/>
    <w:docVar w:name="LW_COVERPAGE_TYPE" w:val="1"/>
    <w:docVar w:name="LW_CROSSREFERENCE" w:val="&lt;UNUSED&gt;"/>
    <w:docVar w:name="LW_DocType" w:val="NORMAL"/>
    <w:docVar w:name="LW_EMISSION" w:val="2019.9.27."/>
    <w:docVar w:name="LW_EMISSION_ISODATE" w:val="2019-09-27"/>
    <w:docVar w:name="LW_EMISSION_LOCATION" w:val="BRX"/>
    <w:docVar w:name="LW_EMISSION_PREFIX" w:val="Brüsszel, "/>
    <w:docVar w:name="LW_EMISSION_SUFFIX" w:val=" "/>
    <w:docVar w:name="LW_ID_DOCTYPE_NONLW" w:val="CP-006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4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az ízesített borászati termékek meghatározásáról, megnevezésér\u337?l, kiszerelésér\u337?l, jelölésér\u337?l és földrajzi árujelz\u337?inek oltalmáról és az 1601/91/EGK tanácsi rendelet hatályon kívül helyezésér\u337?l szóló, 2014. február 26-i 251/2014/EU európai parlamenti és tanácsi rendelet értelmében a felhatalmazáson alapuló jogi aktusok elfogadása tekintetében a Bizottságra ruházott jogkör gyakorlásáról"/>
    <w:docVar w:name="LW_TYPE.DOC.CP" w:val="A BIZOTTSÁG JELENTÉSE AZ EURÓPAI PARLAMENTNEK ÉS A TANÁCSNAK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0" w:unhideWhenUsed="0" w:qFormat="1"/>
    <w:lsdException w:name="heading 2" w:uiPriority="9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0"/>
    <w:qFormat/>
    <w:pPr>
      <w:keepNext/>
      <w:numPr>
        <w:numId w:val="1"/>
      </w:numPr>
      <w:tabs>
        <w:tab w:val="left" w:pos="510"/>
      </w:tabs>
      <w:spacing w:before="480" w:after="120" w:line="264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0"/>
    <w:qFormat/>
    <w:pPr>
      <w:keepNext/>
      <w:numPr>
        <w:ilvl w:val="1"/>
        <w:numId w:val="1"/>
      </w:numPr>
      <w:tabs>
        <w:tab w:val="left" w:pos="737"/>
      </w:tabs>
      <w:spacing w:before="420" w:after="120" w:line="264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0"/>
    <w:qFormat/>
    <w:pPr>
      <w:keepNext/>
      <w:numPr>
        <w:ilvl w:val="2"/>
        <w:numId w:val="1"/>
      </w:numPr>
      <w:tabs>
        <w:tab w:val="left" w:pos="935"/>
      </w:tabs>
      <w:spacing w:before="360" w:after="120" w:line="264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numPr>
        <w:ilvl w:val="3"/>
        <w:numId w:val="1"/>
      </w:numPr>
      <w:tabs>
        <w:tab w:val="left" w:pos="1049"/>
      </w:tabs>
      <w:spacing w:before="360" w:after="120" w:line="264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pPr>
      <w:keepNext/>
      <w:numPr>
        <w:ilvl w:val="4"/>
        <w:numId w:val="1"/>
      </w:numPr>
      <w:spacing w:after="120" w:line="264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semiHidden/>
    <w:pPr>
      <w:keepNext/>
      <w:numPr>
        <w:ilvl w:val="5"/>
        <w:numId w:val="1"/>
      </w:numPr>
      <w:spacing w:after="120" w:line="264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pPr>
      <w:keepNext/>
      <w:numPr>
        <w:ilvl w:val="6"/>
        <w:numId w:val="1"/>
      </w:numPr>
      <w:spacing w:after="120" w:line="264" w:lineRule="auto"/>
      <w:jc w:val="both"/>
      <w:outlineLvl w:val="6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pPr>
      <w:keepNext/>
      <w:numPr>
        <w:ilvl w:val="7"/>
        <w:numId w:val="1"/>
      </w:numPr>
      <w:spacing w:after="120" w:line="264" w:lineRule="auto"/>
      <w:jc w:val="both"/>
      <w:outlineLvl w:val="7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9">
    <w:name w:val="heading 9"/>
    <w:basedOn w:val="Normal"/>
    <w:next w:val="Normal"/>
    <w:link w:val="Heading9Char"/>
    <w:semiHidden/>
    <w:pPr>
      <w:keepNext/>
      <w:numPr>
        <w:ilvl w:val="8"/>
        <w:numId w:val="1"/>
      </w:numPr>
      <w:spacing w:after="120" w:line="264" w:lineRule="auto"/>
      <w:jc w:val="both"/>
      <w:outlineLvl w:val="8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C8F6C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0"/>
    <w:rPr>
      <w:rFonts w:ascii="Times New Roman" w:eastAsia="Times New Roman" w:hAnsi="Times New Roman" w:cs="Times New Roman"/>
      <w:b/>
      <w:smallCaps/>
      <w:sz w:val="24"/>
      <w:szCs w:val="24"/>
      <w:lang w:val="hu-HU" w:eastAsia="en-GB"/>
    </w:rPr>
  </w:style>
  <w:style w:type="character" w:customStyle="1" w:styleId="Heading2Char">
    <w:name w:val="Heading 2 Char"/>
    <w:basedOn w:val="DefaultParagraphFont"/>
    <w:link w:val="Heading2"/>
    <w:uiPriority w:val="90"/>
    <w:rPr>
      <w:rFonts w:ascii="Times New Roman" w:eastAsia="Times New Roman" w:hAnsi="Times New Roman" w:cs="Times New Roman"/>
      <w:b/>
      <w:sz w:val="26"/>
      <w:szCs w:val="20"/>
      <w:lang w:val="hu-HU" w:eastAsia="en-GB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b/>
      <w:sz w:val="26"/>
      <w:szCs w:val="20"/>
      <w:lang w:val="hu-HU" w:eastAsia="en-GB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b/>
      <w:szCs w:val="20"/>
      <w:lang w:val="hu-HU" w:eastAsia="en-GB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Cs w:val="20"/>
      <w:lang w:val="hu-HU" w:eastAsia="en-GB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Cs w:val="20"/>
      <w:lang w:val="hu-HU" w:eastAsia="en-GB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Cs w:val="20"/>
      <w:lang w:val="hu-HU" w:eastAsia="en-GB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Cs w:val="20"/>
      <w:lang w:val="hu-HU" w:eastAsia="en-GB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Cs w:val="20"/>
      <w:lang w:val="hu-HU" w:eastAsia="en-GB"/>
    </w:rPr>
  </w:style>
  <w:style w:type="paragraph" w:styleId="FootnoteText">
    <w:name w:val="footnote text"/>
    <w:basedOn w:val="Normal"/>
    <w:link w:val="FootnoteTextChar"/>
    <w:semiHidden/>
    <w:pPr>
      <w:tabs>
        <w:tab w:val="left" w:pos="454"/>
      </w:tabs>
      <w:spacing w:after="120" w:line="264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val="hu-HU" w:eastAsia="en-GB"/>
    </w:rPr>
  </w:style>
  <w:style w:type="paragraph" w:customStyle="1" w:styleId="NumPar1">
    <w:name w:val="NumPar 1"/>
    <w:basedOn w:val="Heading1"/>
    <w:uiPriority w:val="90"/>
    <w:qFormat/>
    <w:pPr>
      <w:keepNext w:val="0"/>
      <w:tabs>
        <w:tab w:val="clear" w:pos="397"/>
        <w:tab w:val="clear" w:pos="510"/>
        <w:tab w:val="left" w:pos="227"/>
      </w:tabs>
      <w:spacing w:before="0"/>
      <w:ind w:left="0" w:firstLine="0"/>
      <w:outlineLvl w:val="9"/>
    </w:pPr>
    <w:rPr>
      <w:b w:val="0"/>
      <w:smallCaps w:val="0"/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Numpa">
    <w:name w:val="Num pa"/>
    <w:basedOn w:val="Normal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expanded">
    <w:name w:val="expanded"/>
    <w:basedOn w:val="DefaultParagraphFont"/>
  </w:style>
  <w:style w:type="paragraph" w:customStyle="1" w:styleId="Normal2">
    <w:name w:val="Normal 2"/>
    <w:basedOn w:val="Numpa"/>
    <w:qFormat/>
    <w:pPr>
      <w:tabs>
        <w:tab w:val="left" w:pos="340"/>
        <w:tab w:val="left" w:pos="510"/>
        <w:tab w:val="left" w:pos="102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2">
    <w:name w:val="List paragraph 2"/>
    <w:basedOn w:val="ListParagraph"/>
    <w:qFormat/>
    <w:pPr>
      <w:numPr>
        <w:numId w:val="19"/>
      </w:numPr>
      <w:tabs>
        <w:tab w:val="left" w:pos="340"/>
        <w:tab w:val="left" w:pos="510"/>
        <w:tab w:val="left" w:pos="1021"/>
      </w:tabs>
      <w:spacing w:after="120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Footnote1">
    <w:name w:val="Footnote 1"/>
    <w:basedOn w:val="NormalWeb"/>
    <w:qFormat/>
    <w:pPr>
      <w:spacing w:before="0" w:beforeAutospacing="0" w:after="75" w:afterAutospacing="0"/>
      <w:ind w:left="454" w:hanging="454"/>
      <w:jc w:val="both"/>
    </w:pPr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numPr>
        <w:numId w:val="0"/>
      </w:numPr>
      <w:tabs>
        <w:tab w:val="clear" w:pos="51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0" w:unhideWhenUsed="0" w:qFormat="1"/>
    <w:lsdException w:name="heading 2" w:uiPriority="9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0"/>
    <w:qFormat/>
    <w:pPr>
      <w:keepNext/>
      <w:numPr>
        <w:numId w:val="1"/>
      </w:numPr>
      <w:tabs>
        <w:tab w:val="left" w:pos="510"/>
      </w:tabs>
      <w:spacing w:before="480" w:after="120" w:line="264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0"/>
    <w:qFormat/>
    <w:pPr>
      <w:keepNext/>
      <w:numPr>
        <w:ilvl w:val="1"/>
        <w:numId w:val="1"/>
      </w:numPr>
      <w:tabs>
        <w:tab w:val="left" w:pos="737"/>
      </w:tabs>
      <w:spacing w:before="420" w:after="120" w:line="264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0"/>
    <w:qFormat/>
    <w:pPr>
      <w:keepNext/>
      <w:numPr>
        <w:ilvl w:val="2"/>
        <w:numId w:val="1"/>
      </w:numPr>
      <w:tabs>
        <w:tab w:val="left" w:pos="935"/>
      </w:tabs>
      <w:spacing w:before="360" w:after="120" w:line="264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numPr>
        <w:ilvl w:val="3"/>
        <w:numId w:val="1"/>
      </w:numPr>
      <w:tabs>
        <w:tab w:val="left" w:pos="1049"/>
      </w:tabs>
      <w:spacing w:before="360" w:after="120" w:line="264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pPr>
      <w:keepNext/>
      <w:numPr>
        <w:ilvl w:val="4"/>
        <w:numId w:val="1"/>
      </w:numPr>
      <w:spacing w:after="120" w:line="264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semiHidden/>
    <w:pPr>
      <w:keepNext/>
      <w:numPr>
        <w:ilvl w:val="5"/>
        <w:numId w:val="1"/>
      </w:numPr>
      <w:spacing w:after="120" w:line="264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pPr>
      <w:keepNext/>
      <w:numPr>
        <w:ilvl w:val="6"/>
        <w:numId w:val="1"/>
      </w:numPr>
      <w:spacing w:after="120" w:line="264" w:lineRule="auto"/>
      <w:jc w:val="both"/>
      <w:outlineLvl w:val="6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pPr>
      <w:keepNext/>
      <w:numPr>
        <w:ilvl w:val="7"/>
        <w:numId w:val="1"/>
      </w:numPr>
      <w:spacing w:after="120" w:line="264" w:lineRule="auto"/>
      <w:jc w:val="both"/>
      <w:outlineLvl w:val="7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9">
    <w:name w:val="heading 9"/>
    <w:basedOn w:val="Normal"/>
    <w:next w:val="Normal"/>
    <w:link w:val="Heading9Char"/>
    <w:semiHidden/>
    <w:pPr>
      <w:keepNext/>
      <w:numPr>
        <w:ilvl w:val="8"/>
        <w:numId w:val="1"/>
      </w:numPr>
      <w:spacing w:after="120" w:line="264" w:lineRule="auto"/>
      <w:jc w:val="both"/>
      <w:outlineLvl w:val="8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C8F6C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0"/>
    <w:rPr>
      <w:rFonts w:ascii="Times New Roman" w:eastAsia="Times New Roman" w:hAnsi="Times New Roman" w:cs="Times New Roman"/>
      <w:b/>
      <w:smallCaps/>
      <w:sz w:val="24"/>
      <w:szCs w:val="24"/>
      <w:lang w:val="hu-HU" w:eastAsia="en-GB"/>
    </w:rPr>
  </w:style>
  <w:style w:type="character" w:customStyle="1" w:styleId="Heading2Char">
    <w:name w:val="Heading 2 Char"/>
    <w:basedOn w:val="DefaultParagraphFont"/>
    <w:link w:val="Heading2"/>
    <w:uiPriority w:val="90"/>
    <w:rPr>
      <w:rFonts w:ascii="Times New Roman" w:eastAsia="Times New Roman" w:hAnsi="Times New Roman" w:cs="Times New Roman"/>
      <w:b/>
      <w:sz w:val="26"/>
      <w:szCs w:val="20"/>
      <w:lang w:val="hu-HU" w:eastAsia="en-GB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b/>
      <w:sz w:val="26"/>
      <w:szCs w:val="20"/>
      <w:lang w:val="hu-HU" w:eastAsia="en-GB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b/>
      <w:szCs w:val="20"/>
      <w:lang w:val="hu-HU" w:eastAsia="en-GB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Cs w:val="20"/>
      <w:lang w:val="hu-HU" w:eastAsia="en-GB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Cs w:val="20"/>
      <w:lang w:val="hu-HU" w:eastAsia="en-GB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Cs w:val="20"/>
      <w:lang w:val="hu-HU" w:eastAsia="en-GB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Cs w:val="20"/>
      <w:lang w:val="hu-HU" w:eastAsia="en-GB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Cs w:val="20"/>
      <w:lang w:val="hu-HU" w:eastAsia="en-GB"/>
    </w:rPr>
  </w:style>
  <w:style w:type="paragraph" w:styleId="FootnoteText">
    <w:name w:val="footnote text"/>
    <w:basedOn w:val="Normal"/>
    <w:link w:val="FootnoteTextChar"/>
    <w:semiHidden/>
    <w:pPr>
      <w:tabs>
        <w:tab w:val="left" w:pos="454"/>
      </w:tabs>
      <w:spacing w:after="120" w:line="264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val="hu-HU" w:eastAsia="en-GB"/>
    </w:rPr>
  </w:style>
  <w:style w:type="paragraph" w:customStyle="1" w:styleId="NumPar1">
    <w:name w:val="NumPar 1"/>
    <w:basedOn w:val="Heading1"/>
    <w:uiPriority w:val="90"/>
    <w:qFormat/>
    <w:pPr>
      <w:keepNext w:val="0"/>
      <w:tabs>
        <w:tab w:val="clear" w:pos="397"/>
        <w:tab w:val="clear" w:pos="510"/>
        <w:tab w:val="left" w:pos="227"/>
      </w:tabs>
      <w:spacing w:before="0"/>
      <w:ind w:left="0" w:firstLine="0"/>
      <w:outlineLvl w:val="9"/>
    </w:pPr>
    <w:rPr>
      <w:b w:val="0"/>
      <w:smallCaps w:val="0"/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Numpa">
    <w:name w:val="Num pa"/>
    <w:basedOn w:val="Normal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expanded">
    <w:name w:val="expanded"/>
    <w:basedOn w:val="DefaultParagraphFont"/>
  </w:style>
  <w:style w:type="paragraph" w:customStyle="1" w:styleId="Normal2">
    <w:name w:val="Normal 2"/>
    <w:basedOn w:val="Numpa"/>
    <w:qFormat/>
    <w:pPr>
      <w:tabs>
        <w:tab w:val="left" w:pos="340"/>
        <w:tab w:val="left" w:pos="510"/>
        <w:tab w:val="left" w:pos="102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2">
    <w:name w:val="List paragraph 2"/>
    <w:basedOn w:val="ListParagraph"/>
    <w:qFormat/>
    <w:pPr>
      <w:numPr>
        <w:numId w:val="19"/>
      </w:numPr>
      <w:tabs>
        <w:tab w:val="left" w:pos="340"/>
        <w:tab w:val="left" w:pos="510"/>
        <w:tab w:val="left" w:pos="1021"/>
      </w:tabs>
      <w:spacing w:after="120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Footnote1">
    <w:name w:val="Footnote 1"/>
    <w:basedOn w:val="NormalWeb"/>
    <w:qFormat/>
    <w:pPr>
      <w:spacing w:before="0" w:beforeAutospacing="0" w:after="75" w:afterAutospacing="0"/>
      <w:ind w:left="454" w:hanging="454"/>
      <w:jc w:val="both"/>
    </w:pPr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numPr>
        <w:numId w:val="0"/>
      </w:numPr>
      <w:tabs>
        <w:tab w:val="clear" w:pos="51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B98F9D7-A451-4E76-B50E-4258424F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846</Words>
  <Characters>5851</Characters>
  <Application>Microsoft Office Word</Application>
  <DocSecurity>0</DocSecurity>
  <Lines>92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19</cp:revision>
  <cp:lastPrinted>2019-07-15T13:26:00Z</cp:lastPrinted>
  <dcterms:created xsi:type="dcterms:W3CDTF">2019-08-23T09:46:00Z</dcterms:created>
  <dcterms:modified xsi:type="dcterms:W3CDTF">2019-09-26T06:51:00Z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7.0, Build 20190717</vt:lpwstr>
  </property>
  <property fmtid="{D5CDD505-2E9C-101B-9397-08002B2CF9AE}" pid="4" name="Level of sensitivity">
    <vt:lpwstr>Standard treatment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DocStatus">
    <vt:lpwstr>Green</vt:lpwstr>
  </property>
  <property fmtid="{D5CDD505-2E9C-101B-9397-08002B2CF9AE}" pid="8" name="CPTemplateID">
    <vt:lpwstr>CP-006</vt:lpwstr>
  </property>
</Properties>
</file>