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8CE0231-DABF-4E91-BD2A-A2CA3C56076B"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0"/>
        </w:numPr>
        <w:ind w:left="397" w:hanging="397"/>
        <w:rPr>
          <w:noProof/>
        </w:rPr>
      </w:pPr>
      <w:bookmarkStart w:id="1" w:name="_Toc15661291"/>
      <w:bookmarkStart w:id="2" w:name="_GoBack"/>
      <w:bookmarkEnd w:id="2"/>
      <w:r>
        <w:rPr>
          <w:noProof/>
        </w:rPr>
        <w:t>Maustetuista viinituotteista annettu Euroopan parlamentin ja neuvoston asetus (EU) N:o 251/2014</w:t>
      </w:r>
      <w:bookmarkEnd w:id="1"/>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3" w:name="_Toc15661292"/>
      <w:r>
        <w:rPr>
          <w:rFonts w:ascii="Times New Roman" w:hAnsi="Times New Roman"/>
          <w:b/>
          <w:noProof/>
          <w:sz w:val="24"/>
          <w:szCs w:val="24"/>
        </w:rPr>
        <w:t>Johdanto</w:t>
      </w:r>
      <w:bookmarkEnd w:id="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Euroopan parlamentin ja neuvoston asetuksessa (EU) N:o 251/2014</w:t>
      </w:r>
      <w:r>
        <w:rPr>
          <w:rFonts w:ascii="Times New Roman" w:hAnsi="Times New Roman" w:cs="Times New Roman"/>
          <w:noProof/>
          <w:sz w:val="24"/>
          <w:szCs w:val="24"/>
          <w:vertAlign w:val="superscript"/>
          <w:lang w:eastAsia="en-GB"/>
        </w:rPr>
        <w:footnoteReference w:id="1"/>
      </w:r>
      <w:r>
        <w:rPr>
          <w:rFonts w:ascii="Times New Roman" w:hAnsi="Times New Roman"/>
          <w:noProof/>
          <w:sz w:val="24"/>
          <w:szCs w:val="24"/>
        </w:rPr>
        <w:t xml:space="preserve"> vahvistetaan maustettujen viinituotteiden määritelmää, kuvausta, esittelyä, merkintöjä ja maantieteellisten merkintöjen suojaa koskevat säännöt.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 artiklan 2 kohdassa komissiolle siirretään valta antaa delegoituja säädöksiä, joissa vahvistetaan maustettujen viinituotteiden sallitut valmistusmenetelmät, ottaen huomioon kuluttajien odotukset sekä Kansainvälisen viinijärjestön suosittelemat ja julkaisemat valmistusmenetelmät.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28 artiklan 1 kohdassa komissiolle siirretään valta antaa delegoituja säädöksiä, jotka koskevat</w:t>
      </w:r>
    </w:p>
    <w:p>
      <w:pPr>
        <w:numPr>
          <w:ilvl w:val="0"/>
          <w:numId w:val="3"/>
        </w:numPr>
        <w:tabs>
          <w:tab w:val="left" w:pos="510"/>
          <w:tab w:val="left" w:pos="1021"/>
        </w:tabs>
        <w:spacing w:before="120"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szCs w:val="24"/>
        </w:rPr>
        <w:t>maantieteellisen alueen rajaamista koskevia perusteita; ja</w:t>
      </w:r>
    </w:p>
    <w:p>
      <w:pPr>
        <w:numPr>
          <w:ilvl w:val="0"/>
          <w:numId w:val="3"/>
        </w:numPr>
        <w:tabs>
          <w:tab w:val="left" w:pos="510"/>
          <w:tab w:val="left" w:pos="1021"/>
        </w:tabs>
        <w:spacing w:before="120"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szCs w:val="24"/>
        </w:rPr>
        <w:t>rajatulla maantieteellisellä alueella tapahtuvaan tuotantoon liittyviä sääntöjä, rajoituksia ja poikkeuksia.</w:t>
      </w:r>
    </w:p>
    <w:p>
      <w:pPr>
        <w:tabs>
          <w:tab w:val="left" w:pos="510"/>
          <w:tab w:val="left" w:pos="1021"/>
        </w:tabs>
        <w:spacing w:before="120" w:after="120" w:line="240" w:lineRule="auto"/>
        <w:ind w:left="510"/>
        <w:contextualSpacing/>
        <w:jc w:val="both"/>
        <w:rPr>
          <w:rFonts w:ascii="Times New Roman" w:hAnsi="Times New Roman" w:cs="Times New Roman"/>
          <w:noProof/>
          <w:sz w:val="24"/>
          <w:szCs w:val="24"/>
          <w:lang w:eastAsia="en-GB"/>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28 artiklan 2 kohdassa komissiolle siirretään tuotteiden laadun ja jäljitettävyyden varmistamiseksi valta antaa delegoituja säädöksiä, joissa vahvistetaan edellytykset, joiden mukaisesti tuote-eritelmiin voi sisältyä 10 artiklan 2 kohdan f alakohdassa</w:t>
      </w:r>
      <w:r>
        <w:rPr>
          <w:noProof/>
        </w:rPr>
        <w:t xml:space="preserve"> </w:t>
      </w:r>
      <w:r>
        <w:rPr>
          <w:rFonts w:ascii="Times New Roman" w:hAnsi="Times New Roman"/>
          <w:noProof/>
          <w:sz w:val="24"/>
          <w:szCs w:val="24"/>
        </w:rPr>
        <w:t>tarkoitettujen vaatimusten lisäksi muita vaatimuksia.</w:t>
      </w:r>
    </w:p>
    <w:p>
      <w:pPr>
        <w:spacing w:before="120" w:after="0" w:line="312" w:lineRule="atLeast"/>
        <w:jc w:val="both"/>
        <w:rPr>
          <w:rFonts w:ascii="Times New Roman" w:eastAsia="Times New Roman" w:hAnsi="Times New Roman" w:cs="Times New Roman"/>
          <w:noProof/>
          <w:color w:val="444444"/>
          <w:sz w:val="24"/>
          <w:szCs w:val="24"/>
        </w:rPr>
      </w:pPr>
      <w:r>
        <w:rPr>
          <w:rFonts w:ascii="Times New Roman" w:hAnsi="Times New Roman"/>
          <w:noProof/>
          <w:sz w:val="24"/>
          <w:szCs w:val="24"/>
        </w:rPr>
        <w:t xml:space="preserve">Asetuksen 28 artiklan 3 kohdassa </w:t>
      </w:r>
      <w:r>
        <w:rPr>
          <w:rFonts w:ascii="Times New Roman" w:hAnsi="Times New Roman"/>
          <w:noProof/>
          <w:color w:val="444444"/>
          <w:sz w:val="24"/>
          <w:szCs w:val="24"/>
        </w:rPr>
        <w:t>komissiolle siirretään valta antaa delegoituja säädöksiä, jotta</w:t>
      </w:r>
    </w:p>
    <w:p>
      <w:pPr>
        <w:spacing w:before="120" w:after="0" w:line="312" w:lineRule="atLeast"/>
        <w:jc w:val="both"/>
        <w:rPr>
          <w:rFonts w:ascii="Times New Roman" w:eastAsia="Times New Roman" w:hAnsi="Times New Roman" w:cs="Times New Roman"/>
          <w:noProof/>
          <w:color w:val="444444"/>
          <w:sz w:val="24"/>
          <w:szCs w:val="24"/>
          <w:lang w:eastAsia="fr-BE"/>
        </w:rPr>
      </w:pPr>
    </w:p>
    <w:p>
      <w:pPr>
        <w:numPr>
          <w:ilvl w:val="0"/>
          <w:numId w:val="2"/>
        </w:numPr>
        <w:tabs>
          <w:tab w:val="left" w:pos="510"/>
          <w:tab w:val="left" w:pos="1021"/>
        </w:tabs>
        <w:spacing w:before="120"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szCs w:val="24"/>
        </w:rPr>
        <w:t>määritetään tapaukset, joissa yksittäinen tuottaja voi hakea suojaa maantieteelliselle merkinnälle;</w:t>
      </w:r>
    </w:p>
    <w:p>
      <w:pPr>
        <w:numPr>
          <w:ilvl w:val="0"/>
          <w:numId w:val="3"/>
        </w:numPr>
        <w:tabs>
          <w:tab w:val="left" w:pos="510"/>
          <w:tab w:val="left" w:pos="1021"/>
        </w:tabs>
        <w:spacing w:before="120"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szCs w:val="24"/>
        </w:rPr>
        <w:t>määritetään rajoitukset, jotka koskevat hakijatyyppejä, jotka voivat hakea suojaa maantieteelliselle merkinnälle;</w:t>
      </w:r>
    </w:p>
    <w:p>
      <w:pPr>
        <w:numPr>
          <w:ilvl w:val="0"/>
          <w:numId w:val="3"/>
        </w:numPr>
        <w:tabs>
          <w:tab w:val="left" w:pos="510"/>
          <w:tab w:val="left" w:pos="1021"/>
        </w:tabs>
        <w:spacing w:before="120"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szCs w:val="24"/>
        </w:rPr>
        <w:t>vahvistetaan edellytykset, joita on noudatettava maantieteellisen merkinnän suojahakemuksen, komission tutkimisen, vastaväitemenettelyn sekä maantieteellisen merkinnän muuttamista ja peruuttamista koskevien menettelyjen osalta;</w:t>
      </w:r>
    </w:p>
    <w:p>
      <w:pPr>
        <w:numPr>
          <w:ilvl w:val="0"/>
          <w:numId w:val="3"/>
        </w:numPr>
        <w:tabs>
          <w:tab w:val="left" w:pos="510"/>
          <w:tab w:val="left" w:pos="1021"/>
        </w:tabs>
        <w:spacing w:before="120"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szCs w:val="24"/>
        </w:rPr>
        <w:t>vahvistetaan rajat ylittävää suojaa koskeviin hakemuksiin sovellettavat edellytykset;</w:t>
      </w:r>
    </w:p>
    <w:p>
      <w:pPr>
        <w:numPr>
          <w:ilvl w:val="0"/>
          <w:numId w:val="3"/>
        </w:numPr>
        <w:tabs>
          <w:tab w:val="left" w:pos="510"/>
          <w:tab w:val="left" w:pos="1021"/>
        </w:tabs>
        <w:spacing w:before="120"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szCs w:val="24"/>
        </w:rPr>
        <w:t>asetetaan päivämäärä, johon mennessä hakemus tai pyyntö on jätettävä;</w:t>
      </w:r>
    </w:p>
    <w:p>
      <w:pPr>
        <w:numPr>
          <w:ilvl w:val="0"/>
          <w:numId w:val="3"/>
        </w:numPr>
        <w:tabs>
          <w:tab w:val="left" w:pos="510"/>
          <w:tab w:val="left" w:pos="1021"/>
        </w:tabs>
        <w:spacing w:before="120"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szCs w:val="24"/>
        </w:rPr>
        <w:t>asetetaan päivämäärä, josta alkaen suoja on voimassa;</w:t>
      </w:r>
    </w:p>
    <w:p>
      <w:pPr>
        <w:numPr>
          <w:ilvl w:val="0"/>
          <w:numId w:val="3"/>
        </w:numPr>
        <w:tabs>
          <w:tab w:val="left" w:pos="510"/>
          <w:tab w:val="left" w:pos="1021"/>
        </w:tabs>
        <w:spacing w:before="120"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szCs w:val="24"/>
        </w:rPr>
        <w:t>vahvistetaan edellytykset, joiden mukaisesti muutosta on pidettävä 24 artiklan 2 kohdan mukaisesti vähäisenä;</w:t>
      </w:r>
    </w:p>
    <w:p>
      <w:pPr>
        <w:numPr>
          <w:ilvl w:val="0"/>
          <w:numId w:val="3"/>
        </w:numPr>
        <w:tabs>
          <w:tab w:val="left" w:pos="510"/>
          <w:tab w:val="left" w:pos="1021"/>
        </w:tabs>
        <w:spacing w:before="120"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szCs w:val="24"/>
        </w:rPr>
        <w:t>asetetaan päivämäärä, jona muutos tulee voimaan;</w:t>
      </w:r>
    </w:p>
    <w:p>
      <w:pPr>
        <w:numPr>
          <w:ilvl w:val="0"/>
          <w:numId w:val="3"/>
        </w:numPr>
        <w:tabs>
          <w:tab w:val="left" w:pos="510"/>
          <w:tab w:val="left" w:pos="1021"/>
        </w:tabs>
        <w:spacing w:before="120"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szCs w:val="24"/>
        </w:rPr>
        <w:t>vahvistetaan edellytykset, jotka liittyvät tämän asetuksen mukaisesti suojatun maantieteellisen merkinnän tuote-eritelmän muutoshakemukseen ja sen hyväksymiseen, kun tällaisista muutoksista ei seuraa mitään muutosta 10 artiklan 1 kohdan d alakohdassa tarkoitettuun yhtenäiseen asiakirjaan.</w:t>
      </w:r>
    </w:p>
    <w:p>
      <w:pPr>
        <w:tabs>
          <w:tab w:val="left" w:pos="510"/>
          <w:tab w:val="left" w:pos="1021"/>
        </w:tabs>
        <w:spacing w:before="120" w:after="120" w:line="240" w:lineRule="auto"/>
        <w:ind w:left="510"/>
        <w:contextualSpacing/>
        <w:jc w:val="both"/>
        <w:rPr>
          <w:rFonts w:ascii="Times New Roman" w:hAnsi="Times New Roman" w:cs="Times New Roman"/>
          <w:noProof/>
          <w:sz w:val="24"/>
          <w:szCs w:val="24"/>
          <w:lang w:eastAsia="en-GB"/>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28 artiklan 4 kohdassa komissiolle siirretään valta antaa delegoituja säädöksiä, jotka koskevat suojattua nimitystä koskevia rajoituksia.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32 artiklan 2 kohdassa komissiolle siirretään valta antaa delegoituja säädöksiä, joissa vahvistetaan</w:t>
      </w:r>
    </w:p>
    <w:p>
      <w:pPr>
        <w:pStyle w:val="Listparagraph2"/>
        <w:numPr>
          <w:ilvl w:val="0"/>
          <w:numId w:val="4"/>
        </w:numPr>
        <w:spacing w:before="120"/>
        <w:rPr>
          <w:noProof/>
        </w:rPr>
      </w:pPr>
      <w:r>
        <w:rPr>
          <w:noProof/>
        </w:rPr>
        <w:t>toimitettavien tietojen luonne ja tyyppi;</w:t>
      </w:r>
    </w:p>
    <w:p>
      <w:pPr>
        <w:pStyle w:val="Listparagraph2"/>
        <w:numPr>
          <w:ilvl w:val="0"/>
          <w:numId w:val="4"/>
        </w:numPr>
        <w:spacing w:before="120"/>
        <w:rPr>
          <w:noProof/>
        </w:rPr>
      </w:pPr>
      <w:r>
        <w:rPr>
          <w:noProof/>
        </w:rPr>
        <w:t>toimitusmenetelmät;</w:t>
      </w:r>
    </w:p>
    <w:p>
      <w:pPr>
        <w:pStyle w:val="Listparagraph2"/>
        <w:numPr>
          <w:ilvl w:val="0"/>
          <w:numId w:val="4"/>
        </w:numPr>
        <w:spacing w:before="120"/>
        <w:rPr>
          <w:noProof/>
        </w:rPr>
      </w:pPr>
      <w:r>
        <w:rPr>
          <w:noProof/>
        </w:rPr>
        <w:t>säännöt, jotka koskevat oikeutta päästä tietoihin tai saataville asetettavia tietojärjestelmiä;</w:t>
      </w:r>
    </w:p>
    <w:p>
      <w:pPr>
        <w:pStyle w:val="Listparagraph2"/>
        <w:numPr>
          <w:ilvl w:val="0"/>
          <w:numId w:val="4"/>
        </w:numPr>
        <w:spacing w:before="120"/>
        <w:rPr>
          <w:noProof/>
        </w:rPr>
      </w:pPr>
      <w:r>
        <w:rPr>
          <w:noProof/>
        </w:rPr>
        <w:t xml:space="preserve">tietojen julkaisemisedellytykset ja </w:t>
      </w:r>
      <w:r>
        <w:rPr>
          <w:noProof/>
        </w:rPr>
        <w:noBreakHyphen/>
        <w:t>tavat.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Jotta helpotettaisiin siirtymistä asetuksessa (ETY) N:o 1601/91</w:t>
      </w:r>
      <w:r>
        <w:rPr>
          <w:rStyle w:val="FootnoteReference"/>
          <w:rFonts w:ascii="Times New Roman" w:hAnsi="Times New Roman" w:cs="Times New Roman"/>
          <w:noProof/>
          <w:sz w:val="24"/>
          <w:szCs w:val="24"/>
          <w:lang w:eastAsia="en-GB"/>
        </w:rPr>
        <w:footnoteReference w:id="2"/>
      </w:r>
      <w:r>
        <w:rPr>
          <w:rFonts w:ascii="Times New Roman" w:hAnsi="Times New Roman"/>
          <w:noProof/>
          <w:sz w:val="24"/>
          <w:szCs w:val="24"/>
        </w:rPr>
        <w:t xml:space="preserve"> säädetyistä säännöistä asetuksessa (EU) N:o 251/2014 säädettyihin sääntöihin, asetuksen 36 artiklan 1 kohdassa komissiolle siirretään valta antaa tarvittaessa delegoituja säädöksiä, joissa vahvistetaan toimenpiteet asetuksen (EU) N:o 251/2014 muuttamiseksi tai siitä poikkeamiseksi ja jotka ovat voimassa 28. päivään maaliskuuta 2018 asti.</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4" w:name="_Toc15661293"/>
      <w:r>
        <w:rPr>
          <w:rFonts w:ascii="Times New Roman" w:hAnsi="Times New Roman"/>
          <w:b/>
          <w:noProof/>
          <w:sz w:val="24"/>
          <w:szCs w:val="24"/>
        </w:rPr>
        <w:t>Oikeusperusta</w:t>
      </w:r>
      <w:bookmarkEnd w:id="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Tämän kertomuksen laatimisesta säädetään asetuksen 33 artiklan 2 kohdassa. Tämän säännöksen nojalla komissiolle siirretään 27. päivästä maaliskuuta 2014 viiden vuoden ajaksi 4 artiklan 2 kohdassa, 28 artiklassa, 32 artiklan 2 kohdassa ja 36 artiklan 1 kohdassa tarkoitettu valta antaa delegoituja säädöksiä. Komissio laatii siirrettyä säädösvaltaa koskevan kertomuksen viimeistään yhdeksän kuukautta ennen tämän viiden vuoden kauden päättymistä. Säädösten antamisvaltaa jatketaan ilman eri toimenpiteitä samanpituisiksi kausiksi, jollei Euroopan parlamentti tai neuvosto vastusta tällaista jatkamista viimeistään kolme kuukautta ennen kunkin kauden päättymistä.</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5" w:name="_Toc15661294"/>
      <w:r>
        <w:rPr>
          <w:rFonts w:ascii="Times New Roman" w:hAnsi="Times New Roman"/>
          <w:b/>
          <w:noProof/>
          <w:sz w:val="24"/>
          <w:szCs w:val="24"/>
        </w:rPr>
        <w:t>Siirretyn säädösvallan käyttäminen</w:t>
      </w:r>
      <w:bookmarkEnd w:id="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Komissio on antanut yhden delegoidun säädöksen 4 artiklan 2 kohdan nojalla: </w:t>
      </w:r>
      <w:r>
        <w:rPr>
          <w:rFonts w:ascii="Times New Roman" w:hAnsi="Times New Roman"/>
          <w:b/>
          <w:noProof/>
          <w:sz w:val="24"/>
          <w:szCs w:val="24"/>
        </w:rPr>
        <w:t>komission delegoitu asetus (EU) 2017/670</w:t>
      </w:r>
      <w:r>
        <w:rPr>
          <w:rFonts w:ascii="Times New Roman" w:hAnsi="Times New Roman" w:cs="Times New Roman"/>
          <w:noProof/>
          <w:color w:val="444444"/>
          <w:sz w:val="24"/>
          <w:szCs w:val="24"/>
          <w:vertAlign w:val="superscript"/>
        </w:rPr>
        <w:footnoteReference w:id="3"/>
      </w:r>
      <w:r>
        <w:rPr>
          <w:rFonts w:ascii="Times New Roman" w:hAnsi="Times New Roman"/>
          <w:noProof/>
          <w:sz w:val="24"/>
          <w:szCs w:val="24"/>
        </w:rPr>
        <w:t>. Tässä delegoidussa säädöksessä vahvistetaan maustettujen viinituotteiden sallitut valmistusmenetelmät ottaen huomioon kuluttajien odotukset sekä Kansainvälisen viinijärjestön suosittelemat ja julkaisemat valmistusmenetelmät.</w:t>
      </w:r>
    </w:p>
    <w:p>
      <w:pPr>
        <w:tabs>
          <w:tab w:val="left" w:pos="340"/>
          <w:tab w:val="left" w:pos="510"/>
          <w:tab w:val="left" w:pos="1021"/>
        </w:tabs>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Delegoituja säädöksiä koskevan yhteisymmärrysasiakirjan mukaisesti maatalousmarkkinoita käsittelevä asiantuntijaryhmä kuuli jäsenvaltioiden asiantuntijoita. Komissio antoi delegoidun asetuksen (EU) 2017/670 31. tammikuuta 2017, ja se annettiin tiedoksi Euroopan parlamentille ja neuvostolle. Euroopan parlamentti ja neuvosto eivät ilmaisseet vastustavansa delegoitua asetusta. Kahden kuukauden ajanjakson kuluttua komission delegoitu asetus (EU) 2017/670 julkaistiin 8. maaliskuuta 2017 Euroopan unionin virallisessa lehdessä L 97, ja se tuli voimaan 28. huhtikuuta 2017.</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28 artiklassa, 32 artiklan 2 kohdassa ja 36 artiklan 1 kohdassa siirrettyä säädösvaltaa ei ole käytetty.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28 artiklassa siirrettyä säädösvaltaa ei ole käytetty, koska komissio piti ensisijaisena saattaa ensin päätökseen nykyisten maantieteellisten merkintöjen validointimenettelyt. Tämän jälkeen komissio ehdotti</w:t>
      </w:r>
      <w:r>
        <w:rPr>
          <w:rFonts w:ascii="Times New Roman" w:hAnsi="Times New Roman" w:cs="Times New Roman"/>
          <w:noProof/>
          <w:sz w:val="24"/>
          <w:szCs w:val="24"/>
          <w:vertAlign w:val="superscript"/>
          <w:lang w:eastAsia="en-GB"/>
        </w:rPr>
        <w:footnoteReference w:id="4"/>
      </w:r>
      <w:r>
        <w:rPr>
          <w:rFonts w:ascii="Times New Roman" w:hAnsi="Times New Roman"/>
          <w:noProof/>
          <w:sz w:val="24"/>
          <w:szCs w:val="24"/>
        </w:rPr>
        <w:t xml:space="preserve"> asetuksen (EU) N:o 251/2014 mukaisten maustettujen viinien maantieteellisten merkintöjen rekisteröintien vähäisen määrän vuoksi, että maustettujen viinien maantieteellisiin merkintöihin sovelletaan samaa oikeuskehystä kuin muihin maataloustuotteisiin ja elintarvikkeisiin.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32 artiklan 2 kohdassa ja 36 artiklan 1 kohdassa siirrettyä säädösvaltaa ei ole käytetty, koska komissio ei ole havainnut siihen olevan tarvetta.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 ei aio käyttää tätä säädösvaltaa lähiaikoina, mutta ei ole poissuljettua, että se on tarpeen tulevaisuudessa.</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6" w:name="_Toc15661295"/>
      <w:r>
        <w:rPr>
          <w:rFonts w:ascii="Times New Roman" w:hAnsi="Times New Roman"/>
          <w:b/>
          <w:noProof/>
          <w:sz w:val="24"/>
          <w:szCs w:val="24"/>
        </w:rPr>
        <w:t>Päätelmät</w:t>
      </w:r>
      <w:bookmarkEnd w:id="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 on käyttänyt sille siirrettyä säädösvaltaa asianmukaisesti.</w:t>
      </w:r>
      <w:r>
        <w:rPr>
          <w:noProof/>
        </w:rPr>
        <w:t xml:space="preserve"> </w:t>
      </w:r>
      <w:r>
        <w:rPr>
          <w:rFonts w:ascii="Times New Roman" w:hAnsi="Times New Roman"/>
          <w:noProof/>
          <w:sz w:val="24"/>
          <w:szCs w:val="24"/>
        </w:rPr>
        <w:t>Ei ole poissuljettua, että siirrettyä säädösvaltaa tarvitaan tulevaisuudessa.</w:t>
      </w:r>
    </w:p>
    <w:p>
      <w:pPr>
        <w:tabs>
          <w:tab w:val="left" w:pos="340"/>
          <w:tab w:val="left" w:pos="510"/>
          <w:tab w:val="left" w:pos="1021"/>
        </w:tabs>
        <w:spacing w:after="120" w:line="240" w:lineRule="auto"/>
        <w:jc w:val="both"/>
        <w:rPr>
          <w:rFonts w:ascii="Times New Roman" w:hAnsi="Times New Roman" w:cs="Times New Roman"/>
          <w:noProof/>
          <w:sz w:val="24"/>
          <w:szCs w:val="24"/>
          <w:lang w:eastAsia="en-GB"/>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 pyytää Euroopan parlamenttia ja neuvostoa ottamaan huomioon tämän kertomuksen.</w:t>
      </w:r>
    </w:p>
    <w:p>
      <w:pPr>
        <w:keepNext/>
        <w:tabs>
          <w:tab w:val="left" w:pos="510"/>
        </w:tabs>
        <w:spacing w:before="480" w:after="120" w:line="264" w:lineRule="auto"/>
        <w:ind w:left="397"/>
        <w:jc w:val="both"/>
        <w:outlineLvl w:val="0"/>
        <w:rPr>
          <w:noProof/>
        </w:rPr>
      </w:pPr>
    </w:p>
    <w:sectPr>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440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1"/>
      </w:pPr>
      <w:r>
        <w:rPr>
          <w:rStyle w:val="FootnoteReference"/>
        </w:rPr>
        <w:footnoteRef/>
      </w:r>
      <w:r>
        <w:t xml:space="preserve"> </w:t>
      </w:r>
      <w:r>
        <w:tab/>
      </w:r>
      <w:r>
        <w:rPr>
          <w:color w:val="444444"/>
        </w:rPr>
        <w:t>Euroopan parlamentin ja neuvoston asetus (EU) N:o 251/2014, annettu 26 päivänä helmikuuta 2014, maustettujen viinituotteiden määritelmästä, kuvauksesta, esittelystä, merkinnöistä ja maantieteellisten merkintöjen suojasta sekä neuvoston asetuksen (ETY) N:o 1601/91 kumoamisesta (</w:t>
      </w:r>
      <w:r>
        <w:rPr>
          <w:iCs/>
          <w:color w:val="444444"/>
        </w:rPr>
        <w:t>EUVL L 84, 20.3.2014, s. 14</w:t>
      </w:r>
      <w:r>
        <w:rPr>
          <w:color w:val="444444"/>
        </w:rPr>
        <w:t>).</w:t>
      </w:r>
    </w:p>
  </w:footnote>
  <w:footnote w:id="2">
    <w:p>
      <w:pPr>
        <w:pStyle w:val="FootnoteText"/>
      </w:pPr>
      <w:r>
        <w:rPr>
          <w:rStyle w:val="FootnoteReference"/>
        </w:rPr>
        <w:footnoteRef/>
      </w:r>
      <w:r>
        <w:t xml:space="preserve"> </w:t>
      </w:r>
      <w:r>
        <w:tab/>
        <w:t>Neuvoston asetus (ETY) N:o 1601/91, annettu 10 päivänä kesäkuuta 1991, maustettujen viinien, maustettujen viinipohjaisten juomien ja maustettujen viinistä valmistettujen juomasekoitusten määritelmää, kuvausta ja esittelyä koskevista yleisistä säännöistä (EYVL L 149, 14.6.1991, s. 1).</w:t>
      </w:r>
    </w:p>
  </w:footnote>
  <w:footnote w:id="3">
    <w:p>
      <w:pPr>
        <w:pStyle w:val="Footnote1"/>
      </w:pPr>
      <w:r>
        <w:rPr>
          <w:rStyle w:val="FootnoteReference"/>
        </w:rPr>
        <w:footnoteRef/>
      </w:r>
      <w:r>
        <w:t xml:space="preserve"> </w:t>
      </w:r>
      <w:r>
        <w:tab/>
        <w:t>Komission delegoitu asetus (EU) 2017/670, annettu 31 päivänä tammikuuta 2017, Euroopan parlamentin ja neuvoston asetuksen (EU) N:o 251/2014 täydentämisestä maustettujen viinituotteiden sallittujen valmistusmenetelmien osalta (EUVL L 97, 8.4.2017, s. 5).</w:t>
      </w:r>
    </w:p>
  </w:footnote>
  <w:footnote w:id="4">
    <w:p>
      <w:pPr>
        <w:pStyle w:val="Footnote1"/>
      </w:pPr>
      <w:r>
        <w:rPr>
          <w:rStyle w:val="FootnoteReference"/>
        </w:rPr>
        <w:footnoteRef/>
      </w:r>
      <w:r>
        <w:t xml:space="preserve"> </w:t>
      </w:r>
      <w:r>
        <w:tab/>
        <w:t>Ehdotus EUROOPAN PARLAMENTIN JA NEUVOSTON ASETUKSEKSI maataloustuotteiden yhteisestä markkinajärjestelystä annetun asetuksen (EU) N:o 1308/2013, maataloustuotteiden ja elintarvikkeiden laatujärjestelmistä annetun asetuksen (EU) N:o 1151/2012, maustettujen viinituotteiden määritelmästä, kuvauksesta, esittelystä, merkinnöistä ja maantieteellisten merkintöjen suojasta annetun asetuksen (EU) N:o 251/2014, syrjäisimpien alueiden hyväksi toteutettavista maatalousalan erityistoimenpiteistä annetun asetuksen (EU) N:o 228/2013 sekä Egeanmeren pienten saarten hyväksi toteutettavien erityistoimenpiteiden vahvistamisesta annetun asetuksen (EU) N:o 229/2013 muuttamisesta, COM(2018) 394 final/2.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4574"/>
    <w:multiLevelType w:val="hybridMultilevel"/>
    <w:tmpl w:val="7116CE70"/>
    <w:lvl w:ilvl="0" w:tplc="B73851C2">
      <w:start w:val="1"/>
      <w:numFmt w:val="lowerLetter"/>
      <w:pStyle w:val="Listparagraph2"/>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7C65145E"/>
    <w:multiLevelType w:val="multilevel"/>
    <w:tmpl w:val="D3944FC2"/>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num w:numId="1">
    <w:abstractNumId w:val="1"/>
  </w:num>
  <w:num w:numId="2">
    <w:abstractNumId w:val="0"/>
    <w:lvlOverride w:ilvl="0">
      <w:startOverride w:val="1"/>
    </w:lvlOverride>
  </w:num>
  <w:num w:numId="3">
    <w:abstractNumId w:val="0"/>
  </w:num>
  <w:num w:numId="4">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51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8CE0231-DABF-4E91-BD2A-A2CA3C56076B"/>
    <w:docVar w:name="LW_COVERPAGE_TYPE" w:val="1"/>
    <w:docVar w:name="LW_CROSSREFERENCE" w:val="&lt;UNUSED&gt;"/>
    <w:docVar w:name="LW_DocType" w:val="NORMAL"/>
    <w:docVar w:name="LW_EMISSION" w:val="27.9.2019"/>
    <w:docVar w:name="LW_EMISSION_ISODATE" w:val="2019-09-27"/>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4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maustettujen viinituotteiden määritelmästä, kuvauksesta, esittelystä, merkinnöistä ja maantieteellisten merkintöjen suojasta sekä neuvoston asetuksen (ETY) N:o 1601/91 kumoamisesta 26 päivänä helmikuuta 2014 annetulla Euroopan parlamentin ja neuvoston asetuksella (EU) N:o 251/2014 komissiolle siirretyn delegoitujen säädösten antamisvallan käyttämisestä&lt;/FMT&gt;"/>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fi-FI"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3"/>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fi-FI"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3"/>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022">
      <w:bodyDiv w:val="1"/>
      <w:marLeft w:val="0"/>
      <w:marRight w:val="0"/>
      <w:marTop w:val="0"/>
      <w:marBottom w:val="0"/>
      <w:divBdr>
        <w:top w:val="none" w:sz="0" w:space="0" w:color="auto"/>
        <w:left w:val="none" w:sz="0" w:space="0" w:color="auto"/>
        <w:bottom w:val="none" w:sz="0" w:space="0" w:color="auto"/>
        <w:right w:val="none" w:sz="0" w:space="0" w:color="auto"/>
      </w:divBdr>
    </w:div>
    <w:div w:id="143283206">
      <w:bodyDiv w:val="1"/>
      <w:marLeft w:val="0"/>
      <w:marRight w:val="0"/>
      <w:marTop w:val="0"/>
      <w:marBottom w:val="0"/>
      <w:divBdr>
        <w:top w:val="none" w:sz="0" w:space="0" w:color="auto"/>
        <w:left w:val="none" w:sz="0" w:space="0" w:color="auto"/>
        <w:bottom w:val="none" w:sz="0" w:space="0" w:color="auto"/>
        <w:right w:val="none" w:sz="0" w:space="0" w:color="auto"/>
      </w:divBdr>
    </w:div>
    <w:div w:id="249893342">
      <w:bodyDiv w:val="1"/>
      <w:marLeft w:val="0"/>
      <w:marRight w:val="0"/>
      <w:marTop w:val="0"/>
      <w:marBottom w:val="0"/>
      <w:divBdr>
        <w:top w:val="none" w:sz="0" w:space="0" w:color="auto"/>
        <w:left w:val="none" w:sz="0" w:space="0" w:color="auto"/>
        <w:bottom w:val="none" w:sz="0" w:space="0" w:color="auto"/>
        <w:right w:val="none" w:sz="0" w:space="0" w:color="auto"/>
      </w:divBdr>
    </w:div>
    <w:div w:id="290213325">
      <w:bodyDiv w:val="1"/>
      <w:marLeft w:val="0"/>
      <w:marRight w:val="0"/>
      <w:marTop w:val="0"/>
      <w:marBottom w:val="0"/>
      <w:divBdr>
        <w:top w:val="none" w:sz="0" w:space="0" w:color="auto"/>
        <w:left w:val="none" w:sz="0" w:space="0" w:color="auto"/>
        <w:bottom w:val="none" w:sz="0" w:space="0" w:color="auto"/>
        <w:right w:val="none" w:sz="0" w:space="0" w:color="auto"/>
      </w:divBdr>
    </w:div>
    <w:div w:id="301348404">
      <w:bodyDiv w:val="1"/>
      <w:marLeft w:val="0"/>
      <w:marRight w:val="0"/>
      <w:marTop w:val="0"/>
      <w:marBottom w:val="0"/>
      <w:divBdr>
        <w:top w:val="none" w:sz="0" w:space="0" w:color="auto"/>
        <w:left w:val="none" w:sz="0" w:space="0" w:color="auto"/>
        <w:bottom w:val="none" w:sz="0" w:space="0" w:color="auto"/>
        <w:right w:val="none" w:sz="0" w:space="0" w:color="auto"/>
      </w:divBdr>
    </w:div>
    <w:div w:id="480733929">
      <w:bodyDiv w:val="1"/>
      <w:marLeft w:val="0"/>
      <w:marRight w:val="0"/>
      <w:marTop w:val="0"/>
      <w:marBottom w:val="0"/>
      <w:divBdr>
        <w:top w:val="none" w:sz="0" w:space="0" w:color="auto"/>
        <w:left w:val="none" w:sz="0" w:space="0" w:color="auto"/>
        <w:bottom w:val="none" w:sz="0" w:space="0" w:color="auto"/>
        <w:right w:val="none" w:sz="0" w:space="0" w:color="auto"/>
      </w:divBdr>
    </w:div>
    <w:div w:id="547037916">
      <w:bodyDiv w:val="1"/>
      <w:marLeft w:val="0"/>
      <w:marRight w:val="0"/>
      <w:marTop w:val="0"/>
      <w:marBottom w:val="0"/>
      <w:divBdr>
        <w:top w:val="none" w:sz="0" w:space="0" w:color="auto"/>
        <w:left w:val="none" w:sz="0" w:space="0" w:color="auto"/>
        <w:bottom w:val="none" w:sz="0" w:space="0" w:color="auto"/>
        <w:right w:val="none" w:sz="0" w:space="0" w:color="auto"/>
      </w:divBdr>
    </w:div>
    <w:div w:id="562448767">
      <w:bodyDiv w:val="1"/>
      <w:marLeft w:val="0"/>
      <w:marRight w:val="0"/>
      <w:marTop w:val="0"/>
      <w:marBottom w:val="0"/>
      <w:divBdr>
        <w:top w:val="none" w:sz="0" w:space="0" w:color="auto"/>
        <w:left w:val="none" w:sz="0" w:space="0" w:color="auto"/>
        <w:bottom w:val="none" w:sz="0" w:space="0" w:color="auto"/>
        <w:right w:val="none" w:sz="0" w:space="0" w:color="auto"/>
      </w:divBdr>
    </w:div>
    <w:div w:id="723333485">
      <w:bodyDiv w:val="1"/>
      <w:marLeft w:val="0"/>
      <w:marRight w:val="0"/>
      <w:marTop w:val="0"/>
      <w:marBottom w:val="0"/>
      <w:divBdr>
        <w:top w:val="none" w:sz="0" w:space="0" w:color="auto"/>
        <w:left w:val="none" w:sz="0" w:space="0" w:color="auto"/>
        <w:bottom w:val="none" w:sz="0" w:space="0" w:color="auto"/>
        <w:right w:val="none" w:sz="0" w:space="0" w:color="auto"/>
      </w:divBdr>
    </w:div>
    <w:div w:id="809635024">
      <w:bodyDiv w:val="1"/>
      <w:marLeft w:val="0"/>
      <w:marRight w:val="0"/>
      <w:marTop w:val="0"/>
      <w:marBottom w:val="0"/>
      <w:divBdr>
        <w:top w:val="none" w:sz="0" w:space="0" w:color="auto"/>
        <w:left w:val="none" w:sz="0" w:space="0" w:color="auto"/>
        <w:bottom w:val="none" w:sz="0" w:space="0" w:color="auto"/>
        <w:right w:val="none" w:sz="0" w:space="0" w:color="auto"/>
      </w:divBdr>
    </w:div>
    <w:div w:id="947472201">
      <w:bodyDiv w:val="1"/>
      <w:marLeft w:val="0"/>
      <w:marRight w:val="0"/>
      <w:marTop w:val="0"/>
      <w:marBottom w:val="0"/>
      <w:divBdr>
        <w:top w:val="none" w:sz="0" w:space="0" w:color="auto"/>
        <w:left w:val="none" w:sz="0" w:space="0" w:color="auto"/>
        <w:bottom w:val="none" w:sz="0" w:space="0" w:color="auto"/>
        <w:right w:val="none" w:sz="0" w:space="0" w:color="auto"/>
      </w:divBdr>
    </w:div>
    <w:div w:id="1040663559">
      <w:bodyDiv w:val="1"/>
      <w:marLeft w:val="0"/>
      <w:marRight w:val="0"/>
      <w:marTop w:val="0"/>
      <w:marBottom w:val="0"/>
      <w:divBdr>
        <w:top w:val="none" w:sz="0" w:space="0" w:color="auto"/>
        <w:left w:val="none" w:sz="0" w:space="0" w:color="auto"/>
        <w:bottom w:val="none" w:sz="0" w:space="0" w:color="auto"/>
        <w:right w:val="none" w:sz="0" w:space="0" w:color="auto"/>
      </w:divBdr>
    </w:div>
    <w:div w:id="1076437404">
      <w:bodyDiv w:val="1"/>
      <w:marLeft w:val="0"/>
      <w:marRight w:val="0"/>
      <w:marTop w:val="0"/>
      <w:marBottom w:val="0"/>
      <w:divBdr>
        <w:top w:val="none" w:sz="0" w:space="0" w:color="auto"/>
        <w:left w:val="none" w:sz="0" w:space="0" w:color="auto"/>
        <w:bottom w:val="none" w:sz="0" w:space="0" w:color="auto"/>
        <w:right w:val="none" w:sz="0" w:space="0" w:color="auto"/>
      </w:divBdr>
    </w:div>
    <w:div w:id="1166357672">
      <w:bodyDiv w:val="1"/>
      <w:marLeft w:val="0"/>
      <w:marRight w:val="0"/>
      <w:marTop w:val="0"/>
      <w:marBottom w:val="0"/>
      <w:divBdr>
        <w:top w:val="none" w:sz="0" w:space="0" w:color="auto"/>
        <w:left w:val="none" w:sz="0" w:space="0" w:color="auto"/>
        <w:bottom w:val="none" w:sz="0" w:space="0" w:color="auto"/>
        <w:right w:val="none" w:sz="0" w:space="0" w:color="auto"/>
      </w:divBdr>
    </w:div>
    <w:div w:id="1209993406">
      <w:bodyDiv w:val="1"/>
      <w:marLeft w:val="0"/>
      <w:marRight w:val="0"/>
      <w:marTop w:val="0"/>
      <w:marBottom w:val="0"/>
      <w:divBdr>
        <w:top w:val="none" w:sz="0" w:space="0" w:color="auto"/>
        <w:left w:val="none" w:sz="0" w:space="0" w:color="auto"/>
        <w:bottom w:val="none" w:sz="0" w:space="0" w:color="auto"/>
        <w:right w:val="none" w:sz="0" w:space="0" w:color="auto"/>
      </w:divBdr>
    </w:div>
    <w:div w:id="1253708911">
      <w:bodyDiv w:val="1"/>
      <w:marLeft w:val="0"/>
      <w:marRight w:val="0"/>
      <w:marTop w:val="0"/>
      <w:marBottom w:val="0"/>
      <w:divBdr>
        <w:top w:val="none" w:sz="0" w:space="0" w:color="auto"/>
        <w:left w:val="none" w:sz="0" w:space="0" w:color="auto"/>
        <w:bottom w:val="none" w:sz="0" w:space="0" w:color="auto"/>
        <w:right w:val="none" w:sz="0" w:space="0" w:color="auto"/>
      </w:divBdr>
    </w:div>
    <w:div w:id="1453549185">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 w:id="1562137987">
      <w:bodyDiv w:val="1"/>
      <w:marLeft w:val="0"/>
      <w:marRight w:val="0"/>
      <w:marTop w:val="0"/>
      <w:marBottom w:val="0"/>
      <w:divBdr>
        <w:top w:val="none" w:sz="0" w:space="0" w:color="auto"/>
        <w:left w:val="none" w:sz="0" w:space="0" w:color="auto"/>
        <w:bottom w:val="none" w:sz="0" w:space="0" w:color="auto"/>
        <w:right w:val="none" w:sz="0" w:space="0" w:color="auto"/>
      </w:divBdr>
    </w:div>
    <w:div w:id="1654989388">
      <w:bodyDiv w:val="1"/>
      <w:marLeft w:val="0"/>
      <w:marRight w:val="0"/>
      <w:marTop w:val="0"/>
      <w:marBottom w:val="0"/>
      <w:divBdr>
        <w:top w:val="none" w:sz="0" w:space="0" w:color="auto"/>
        <w:left w:val="none" w:sz="0" w:space="0" w:color="auto"/>
        <w:bottom w:val="none" w:sz="0" w:space="0" w:color="auto"/>
        <w:right w:val="none" w:sz="0" w:space="0" w:color="auto"/>
      </w:divBdr>
    </w:div>
    <w:div w:id="1759206787">
      <w:bodyDiv w:val="1"/>
      <w:marLeft w:val="0"/>
      <w:marRight w:val="0"/>
      <w:marTop w:val="0"/>
      <w:marBottom w:val="0"/>
      <w:divBdr>
        <w:top w:val="none" w:sz="0" w:space="0" w:color="auto"/>
        <w:left w:val="none" w:sz="0" w:space="0" w:color="auto"/>
        <w:bottom w:val="none" w:sz="0" w:space="0" w:color="auto"/>
        <w:right w:val="none" w:sz="0" w:space="0" w:color="auto"/>
      </w:divBdr>
    </w:div>
    <w:div w:id="2129079946">
      <w:bodyDiv w:val="1"/>
      <w:marLeft w:val="0"/>
      <w:marRight w:val="0"/>
      <w:marTop w:val="0"/>
      <w:marBottom w:val="0"/>
      <w:divBdr>
        <w:top w:val="none" w:sz="0" w:space="0" w:color="auto"/>
        <w:left w:val="none" w:sz="0" w:space="0" w:color="auto"/>
        <w:bottom w:val="none" w:sz="0" w:space="0" w:color="auto"/>
        <w:right w:val="none" w:sz="0" w:space="0" w:color="auto"/>
      </w:divBdr>
    </w:div>
    <w:div w:id="21361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5A3BB1-2EC1-43C6-BCAD-1DC115C4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673</Words>
  <Characters>5351</Characters>
  <Application>Microsoft Office Word</Application>
  <DocSecurity>0</DocSecurity>
  <Lines>92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2019-07-15T13:26:00Z</cp:lastPrinted>
  <dcterms:created xsi:type="dcterms:W3CDTF">2019-08-23T09:46:00Z</dcterms:created>
  <dcterms:modified xsi:type="dcterms:W3CDTF">2019-09-26T06:50:00Z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