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C51E23E-54EC-4BC3-B946-FD6A2B989EE7" style="width:450.65pt;height:431.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noProof/>
        </w:rPr>
      </w:pPr>
      <w:bookmarkStart w:id="1" w:name="_GoBack"/>
      <w:bookmarkEnd w:id="1"/>
    </w:p>
    <w:sdt>
      <w:sdtPr>
        <w:rPr>
          <w:rFonts w:asciiTheme="minorHAnsi" w:eastAsiaTheme="minorHAnsi" w:hAnsiTheme="minorHAnsi" w:cstheme="minorBidi"/>
          <w:noProof/>
          <w:color w:val="auto"/>
          <w:sz w:val="22"/>
          <w:szCs w:val="22"/>
        </w:rPr>
        <w:id w:val="-1016466526"/>
        <w:docPartObj>
          <w:docPartGallery w:val="Table of Contents"/>
          <w:docPartUnique/>
        </w:docPartObj>
      </w:sdtPr>
      <w:sdtEndPr>
        <w:rPr>
          <w:b/>
          <w:bCs/>
        </w:rPr>
      </w:sdtEndPr>
      <w:sdtContent>
        <w:p>
          <w:pPr>
            <w:pStyle w:val="TOCHeading"/>
            <w:rPr>
              <w:noProof/>
            </w:rPr>
          </w:pPr>
          <w:r>
            <w:rPr>
              <w:noProof/>
            </w:rPr>
            <w:t>Indice</w:t>
          </w:r>
        </w:p>
        <w:p>
          <w:pPr>
            <w:pStyle w:val="TOC1"/>
            <w:tabs>
              <w:tab w:val="left" w:pos="440"/>
              <w:tab w:val="right" w:leader="dot" w:pos="9396"/>
            </w:tabs>
            <w:rPr>
              <w:rFonts w:eastAsiaTheme="minorEastAsia"/>
              <w:noProof/>
              <w:lang w:val="en-US"/>
            </w:rPr>
          </w:pPr>
          <w:r>
            <w:rPr>
              <w:noProof/>
            </w:rPr>
            <w:fldChar w:fldCharType="begin"/>
          </w:r>
          <w:r>
            <w:rPr>
              <w:noProof/>
            </w:rPr>
            <w:instrText xml:space="preserve"> TOC \o "1-3" \h \z \u </w:instrText>
          </w:r>
          <w:r>
            <w:rPr>
              <w:noProof/>
            </w:rPr>
            <w:fldChar w:fldCharType="separate"/>
          </w:r>
          <w:hyperlink w:anchor="_Toc20127500" w:history="1">
            <w:r>
              <w:rPr>
                <w:rStyle w:val="Hyperlink"/>
                <w:rFonts w:ascii="Times New Roman" w:eastAsia="Times New Roman" w:hAnsi="Times New Roman" w:cs="Times New Roman"/>
                <w:b/>
                <w:smallCaps/>
                <w:noProof/>
              </w:rPr>
              <w:t>1.</w:t>
            </w:r>
            <w:r>
              <w:rPr>
                <w:rFonts w:eastAsiaTheme="minorEastAsia"/>
                <w:noProof/>
                <w:lang w:val="en-US"/>
              </w:rPr>
              <w:tab/>
            </w:r>
            <w:r>
              <w:rPr>
                <w:rStyle w:val="Hyperlink"/>
                <w:rFonts w:ascii="Times New Roman" w:hAnsi="Times New Roman"/>
                <w:b/>
                <w:smallCaps/>
                <w:noProof/>
              </w:rPr>
              <w:t>Direttiva 2000/36/CE del Parlamento europeo e del Consiglio, del 23 giugno 2000, relativa ai prodotti di cacao e di cioccolato destinati all'alimentazione umana</w:t>
            </w:r>
            <w:r>
              <w:rPr>
                <w:noProof/>
                <w:webHidden/>
              </w:rPr>
              <w:tab/>
            </w:r>
            <w:r>
              <w:rPr>
                <w:noProof/>
                <w:webHidden/>
              </w:rPr>
              <w:fldChar w:fldCharType="begin"/>
            </w:r>
            <w:r>
              <w:rPr>
                <w:noProof/>
                <w:webHidden/>
              </w:rPr>
              <w:instrText xml:space="preserve"> PAGEREF _Toc20127500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27501" w:history="1">
            <w:r>
              <w:rPr>
                <w:rStyle w:val="Hyperlink"/>
                <w:rFonts w:ascii="Times New Roman" w:eastAsia="Times New Roman" w:hAnsi="Times New Roman" w:cs="Times New Roman"/>
                <w:b/>
                <w:noProof/>
              </w:rPr>
              <w:t>1.1.</w:t>
            </w:r>
            <w:r>
              <w:rPr>
                <w:rFonts w:eastAsiaTheme="minorEastAsia"/>
                <w:noProof/>
                <w:lang w:val="en-US"/>
              </w:rPr>
              <w:tab/>
            </w:r>
            <w:r>
              <w:rPr>
                <w:rStyle w:val="Hyperlink"/>
                <w:rFonts w:ascii="Times New Roman" w:hAnsi="Times New Roman"/>
                <w:b/>
                <w:noProof/>
              </w:rPr>
              <w:t>Introduzione</w:t>
            </w:r>
            <w:r>
              <w:rPr>
                <w:noProof/>
                <w:webHidden/>
              </w:rPr>
              <w:tab/>
            </w:r>
            <w:r>
              <w:rPr>
                <w:noProof/>
                <w:webHidden/>
              </w:rPr>
              <w:fldChar w:fldCharType="begin"/>
            </w:r>
            <w:r>
              <w:rPr>
                <w:noProof/>
                <w:webHidden/>
              </w:rPr>
              <w:instrText xml:space="preserve"> PAGEREF _Toc20127501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27502" w:history="1">
            <w:r>
              <w:rPr>
                <w:rStyle w:val="Hyperlink"/>
                <w:rFonts w:ascii="Times New Roman" w:eastAsia="Times New Roman" w:hAnsi="Times New Roman" w:cs="Times New Roman"/>
                <w:b/>
                <w:noProof/>
              </w:rPr>
              <w:t>1.2.</w:t>
            </w:r>
            <w:r>
              <w:rPr>
                <w:rFonts w:eastAsiaTheme="minorEastAsia"/>
                <w:noProof/>
                <w:lang w:val="en-US"/>
              </w:rPr>
              <w:tab/>
            </w:r>
            <w:r>
              <w:rPr>
                <w:rStyle w:val="Hyperlink"/>
                <w:rFonts w:ascii="Times New Roman" w:hAnsi="Times New Roman"/>
                <w:b/>
                <w:noProof/>
              </w:rPr>
              <w:t>Base giuridica</w:t>
            </w:r>
            <w:r>
              <w:rPr>
                <w:noProof/>
                <w:webHidden/>
              </w:rPr>
              <w:tab/>
            </w:r>
            <w:r>
              <w:rPr>
                <w:noProof/>
                <w:webHidden/>
              </w:rPr>
              <w:fldChar w:fldCharType="begin"/>
            </w:r>
            <w:r>
              <w:rPr>
                <w:noProof/>
                <w:webHidden/>
              </w:rPr>
              <w:instrText xml:space="preserve"> PAGEREF _Toc20127502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27503" w:history="1">
            <w:r>
              <w:rPr>
                <w:rStyle w:val="Hyperlink"/>
                <w:rFonts w:ascii="Times New Roman" w:eastAsia="Times New Roman" w:hAnsi="Times New Roman" w:cs="Times New Roman"/>
                <w:b/>
                <w:noProof/>
              </w:rPr>
              <w:t>1.3.</w:t>
            </w:r>
            <w:r>
              <w:rPr>
                <w:rFonts w:eastAsiaTheme="minorEastAsia"/>
                <w:noProof/>
                <w:lang w:val="en-US"/>
              </w:rPr>
              <w:tab/>
            </w:r>
            <w:r>
              <w:rPr>
                <w:rStyle w:val="Hyperlink"/>
                <w:rFonts w:ascii="Times New Roman" w:hAnsi="Times New Roman"/>
                <w:b/>
                <w:noProof/>
              </w:rPr>
              <w:t>Esercizio della delega</w:t>
            </w:r>
            <w:r>
              <w:rPr>
                <w:noProof/>
                <w:webHidden/>
              </w:rPr>
              <w:tab/>
            </w:r>
            <w:r>
              <w:rPr>
                <w:noProof/>
                <w:webHidden/>
              </w:rPr>
              <w:fldChar w:fldCharType="begin"/>
            </w:r>
            <w:r>
              <w:rPr>
                <w:noProof/>
                <w:webHidden/>
              </w:rPr>
              <w:instrText xml:space="preserve"> PAGEREF _Toc20127503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27504" w:history="1">
            <w:r>
              <w:rPr>
                <w:rStyle w:val="Hyperlink"/>
                <w:rFonts w:ascii="Times New Roman" w:eastAsia="Times New Roman" w:hAnsi="Times New Roman" w:cs="Times New Roman"/>
                <w:b/>
                <w:noProof/>
              </w:rPr>
              <w:t>1.4.</w:t>
            </w:r>
            <w:r>
              <w:rPr>
                <w:rFonts w:eastAsiaTheme="minorEastAsia"/>
                <w:noProof/>
                <w:lang w:val="en-US"/>
              </w:rPr>
              <w:tab/>
            </w:r>
            <w:r>
              <w:rPr>
                <w:rStyle w:val="Hyperlink"/>
                <w:rFonts w:ascii="Times New Roman" w:hAnsi="Times New Roman"/>
                <w:b/>
                <w:noProof/>
              </w:rPr>
              <w:t>Conclusioni</w:t>
            </w:r>
            <w:r>
              <w:rPr>
                <w:noProof/>
                <w:webHidden/>
              </w:rPr>
              <w:tab/>
            </w:r>
            <w:r>
              <w:rPr>
                <w:noProof/>
                <w:webHidden/>
              </w:rPr>
              <w:fldChar w:fldCharType="begin"/>
            </w:r>
            <w:r>
              <w:rPr>
                <w:noProof/>
                <w:webHidden/>
              </w:rPr>
              <w:instrText xml:space="preserve"> PAGEREF _Toc20127504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396"/>
            </w:tabs>
            <w:rPr>
              <w:rFonts w:eastAsiaTheme="minorEastAsia"/>
              <w:noProof/>
              <w:lang w:val="en-US"/>
            </w:rPr>
          </w:pPr>
          <w:hyperlink w:anchor="_Toc20127505" w:history="1">
            <w:r>
              <w:rPr>
                <w:rStyle w:val="Hyperlink"/>
                <w:rFonts w:ascii="Times New Roman" w:eastAsia="Times New Roman" w:hAnsi="Times New Roman" w:cs="Times New Roman"/>
                <w:b/>
                <w:smallCaps/>
                <w:noProof/>
              </w:rPr>
              <w:t>2.</w:t>
            </w:r>
            <w:r>
              <w:rPr>
                <w:rFonts w:eastAsiaTheme="minorEastAsia"/>
                <w:noProof/>
                <w:lang w:val="en-US"/>
              </w:rPr>
              <w:tab/>
            </w:r>
            <w:r>
              <w:rPr>
                <w:rStyle w:val="Hyperlink"/>
                <w:rFonts w:ascii="Times New Roman" w:hAnsi="Times New Roman"/>
                <w:b/>
                <w:smallCaps/>
                <w:noProof/>
              </w:rPr>
              <w:t>Direttiva 2001/110/CE del Consiglio, del 20 dicembre 2001, concernente il miele</w:t>
            </w:r>
            <w:r>
              <w:rPr>
                <w:noProof/>
                <w:webHidden/>
              </w:rPr>
              <w:tab/>
            </w:r>
            <w:r>
              <w:rPr>
                <w:noProof/>
                <w:webHidden/>
              </w:rPr>
              <w:fldChar w:fldCharType="begin"/>
            </w:r>
            <w:r>
              <w:rPr>
                <w:noProof/>
                <w:webHidden/>
              </w:rPr>
              <w:instrText xml:space="preserve"> PAGEREF _Toc20127505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27506" w:history="1">
            <w:r>
              <w:rPr>
                <w:rStyle w:val="Hyperlink"/>
                <w:rFonts w:ascii="Times New Roman" w:eastAsia="Times New Roman" w:hAnsi="Times New Roman" w:cs="Times New Roman"/>
                <w:b/>
                <w:noProof/>
              </w:rPr>
              <w:t>2.1.</w:t>
            </w:r>
            <w:r>
              <w:rPr>
                <w:rFonts w:eastAsiaTheme="minorEastAsia"/>
                <w:noProof/>
                <w:lang w:val="en-US"/>
              </w:rPr>
              <w:tab/>
            </w:r>
            <w:r>
              <w:rPr>
                <w:rStyle w:val="Hyperlink"/>
                <w:rFonts w:ascii="Times New Roman" w:hAnsi="Times New Roman"/>
                <w:b/>
                <w:noProof/>
              </w:rPr>
              <w:t>Introduzione</w:t>
            </w:r>
            <w:r>
              <w:rPr>
                <w:noProof/>
                <w:webHidden/>
              </w:rPr>
              <w:tab/>
            </w:r>
            <w:r>
              <w:rPr>
                <w:noProof/>
                <w:webHidden/>
              </w:rPr>
              <w:fldChar w:fldCharType="begin"/>
            </w:r>
            <w:r>
              <w:rPr>
                <w:noProof/>
                <w:webHidden/>
              </w:rPr>
              <w:instrText xml:space="preserve"> PAGEREF _Toc20127506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20127507" w:history="1">
            <w:r>
              <w:rPr>
                <w:rStyle w:val="Hyperlink"/>
                <w:rFonts w:ascii="Times New Roman" w:hAnsi="Times New Roman"/>
                <w:b/>
                <w:noProof/>
              </w:rPr>
              <w:t>2.2.</w:t>
            </w:r>
            <w:r>
              <w:rPr>
                <w:rFonts w:eastAsiaTheme="minorEastAsia"/>
                <w:noProof/>
                <w:lang w:val="en-US"/>
              </w:rPr>
              <w:tab/>
            </w:r>
            <w:r>
              <w:rPr>
                <w:rStyle w:val="Hyperlink"/>
                <w:rFonts w:ascii="Times New Roman" w:hAnsi="Times New Roman"/>
                <w:b/>
                <w:noProof/>
              </w:rPr>
              <w:t>Base giuridica</w:t>
            </w:r>
            <w:r>
              <w:rPr>
                <w:noProof/>
                <w:webHidden/>
              </w:rPr>
              <w:tab/>
            </w:r>
            <w:r>
              <w:rPr>
                <w:noProof/>
                <w:webHidden/>
              </w:rPr>
              <w:fldChar w:fldCharType="begin"/>
            </w:r>
            <w:r>
              <w:rPr>
                <w:noProof/>
                <w:webHidden/>
              </w:rPr>
              <w:instrText xml:space="preserve"> PAGEREF _Toc20127507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127508" w:history="1">
            <w:r>
              <w:rPr>
                <w:rStyle w:val="Hyperlink"/>
                <w:rFonts w:ascii="Times New Roman" w:eastAsia="Times New Roman" w:hAnsi="Times New Roman" w:cs="Times New Roman"/>
                <w:b/>
                <w:noProof/>
              </w:rPr>
              <w:t>2.3</w:t>
            </w:r>
            <w:r>
              <w:rPr>
                <w:rFonts w:eastAsiaTheme="minorEastAsia"/>
                <w:noProof/>
                <w:lang w:val="en-US"/>
              </w:rPr>
              <w:tab/>
            </w:r>
            <w:r>
              <w:rPr>
                <w:rStyle w:val="Hyperlink"/>
                <w:rFonts w:ascii="Times New Roman" w:hAnsi="Times New Roman"/>
                <w:b/>
                <w:noProof/>
              </w:rPr>
              <w:t>Esercizio della delega</w:t>
            </w:r>
            <w:r>
              <w:rPr>
                <w:noProof/>
                <w:webHidden/>
              </w:rPr>
              <w:tab/>
            </w:r>
            <w:r>
              <w:rPr>
                <w:noProof/>
                <w:webHidden/>
              </w:rPr>
              <w:fldChar w:fldCharType="begin"/>
            </w:r>
            <w:r>
              <w:rPr>
                <w:noProof/>
                <w:webHidden/>
              </w:rPr>
              <w:instrText xml:space="preserve"> PAGEREF _Toc20127508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127509" w:history="1">
            <w:r>
              <w:rPr>
                <w:rStyle w:val="Hyperlink"/>
                <w:rFonts w:ascii="Times New Roman" w:eastAsia="Times New Roman" w:hAnsi="Times New Roman" w:cs="Times New Roman"/>
                <w:b/>
                <w:noProof/>
              </w:rPr>
              <w:t>2.4.</w:t>
            </w:r>
            <w:r>
              <w:rPr>
                <w:rFonts w:eastAsiaTheme="minorEastAsia"/>
                <w:noProof/>
                <w:lang w:val="en-US"/>
              </w:rPr>
              <w:tab/>
            </w:r>
            <w:r>
              <w:rPr>
                <w:rStyle w:val="Hyperlink"/>
                <w:rFonts w:ascii="Times New Roman" w:hAnsi="Times New Roman"/>
                <w:b/>
                <w:noProof/>
              </w:rPr>
              <w:t>Conclusioni</w:t>
            </w:r>
            <w:r>
              <w:rPr>
                <w:noProof/>
                <w:webHidden/>
              </w:rPr>
              <w:tab/>
            </w:r>
            <w:r>
              <w:rPr>
                <w:noProof/>
                <w:webHidden/>
              </w:rPr>
              <w:fldChar w:fldCharType="begin"/>
            </w:r>
            <w:r>
              <w:rPr>
                <w:noProof/>
                <w:webHidden/>
              </w:rPr>
              <w:instrText xml:space="preserve"> PAGEREF _Toc20127509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40"/>
              <w:tab w:val="right" w:leader="dot" w:pos="9396"/>
            </w:tabs>
            <w:rPr>
              <w:rFonts w:eastAsiaTheme="minorEastAsia"/>
              <w:noProof/>
              <w:lang w:val="en-US"/>
            </w:rPr>
          </w:pPr>
          <w:hyperlink w:anchor="_Toc20127510" w:history="1">
            <w:r>
              <w:rPr>
                <w:rStyle w:val="Hyperlink"/>
                <w:rFonts w:ascii="Times New Roman" w:eastAsia="Times New Roman" w:hAnsi="Times New Roman" w:cs="Times New Roman"/>
                <w:b/>
                <w:smallCaps/>
                <w:noProof/>
              </w:rPr>
              <w:t>3.</w:t>
            </w:r>
            <w:r>
              <w:rPr>
                <w:rFonts w:eastAsiaTheme="minorEastAsia"/>
                <w:noProof/>
                <w:lang w:val="en-US"/>
              </w:rPr>
              <w:tab/>
            </w:r>
            <w:r>
              <w:rPr>
                <w:rStyle w:val="Hyperlink"/>
                <w:rFonts w:ascii="Times New Roman" w:hAnsi="Times New Roman"/>
                <w:b/>
                <w:smallCaps/>
                <w:noProof/>
              </w:rPr>
              <w:t>Direttiva 2001/111/CE del Consiglio, del 20 dicembre 2001, relativa a determinati tipi di zucchero destinati all'alimentazione umana</w:t>
            </w:r>
            <w:r>
              <w:rPr>
                <w:noProof/>
                <w:webHidden/>
              </w:rPr>
              <w:tab/>
            </w:r>
            <w:r>
              <w:rPr>
                <w:noProof/>
                <w:webHidden/>
              </w:rPr>
              <w:fldChar w:fldCharType="begin"/>
            </w:r>
            <w:r>
              <w:rPr>
                <w:noProof/>
                <w:webHidden/>
              </w:rPr>
              <w:instrText xml:space="preserve"> PAGEREF _Toc20127510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127511" w:history="1">
            <w:r>
              <w:rPr>
                <w:rStyle w:val="Hyperlink"/>
                <w:rFonts w:ascii="Times New Roman" w:eastAsia="Times New Roman" w:hAnsi="Times New Roman" w:cs="Times New Roman"/>
                <w:b/>
                <w:noProof/>
              </w:rPr>
              <w:t>3.1.</w:t>
            </w:r>
            <w:r>
              <w:rPr>
                <w:rFonts w:eastAsiaTheme="minorEastAsia"/>
                <w:noProof/>
                <w:lang w:val="en-US"/>
              </w:rPr>
              <w:tab/>
            </w:r>
            <w:r>
              <w:rPr>
                <w:rStyle w:val="Hyperlink"/>
                <w:rFonts w:ascii="Times New Roman" w:hAnsi="Times New Roman"/>
                <w:b/>
                <w:noProof/>
              </w:rPr>
              <w:t>Introduzione</w:t>
            </w:r>
            <w:r>
              <w:rPr>
                <w:noProof/>
                <w:webHidden/>
              </w:rPr>
              <w:tab/>
            </w:r>
            <w:r>
              <w:rPr>
                <w:noProof/>
                <w:webHidden/>
              </w:rPr>
              <w:fldChar w:fldCharType="begin"/>
            </w:r>
            <w:r>
              <w:rPr>
                <w:noProof/>
                <w:webHidden/>
              </w:rPr>
              <w:instrText xml:space="preserve"> PAGEREF _Toc20127511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396"/>
            </w:tabs>
            <w:rPr>
              <w:rFonts w:eastAsiaTheme="minorEastAsia"/>
              <w:noProof/>
              <w:lang w:val="en-US"/>
            </w:rPr>
          </w:pPr>
          <w:hyperlink w:anchor="_Toc20127512" w:history="1">
            <w:r>
              <w:rPr>
                <w:rStyle w:val="Hyperlink"/>
                <w:rFonts w:ascii="Times New Roman" w:eastAsia="Times New Roman" w:hAnsi="Times New Roman" w:cs="Times New Roman"/>
                <w:b/>
                <w:noProof/>
              </w:rPr>
              <w:t>3.2.</w:t>
            </w:r>
            <w:r>
              <w:rPr>
                <w:rFonts w:eastAsiaTheme="minorEastAsia"/>
                <w:noProof/>
                <w:lang w:val="en-US"/>
              </w:rPr>
              <w:tab/>
            </w:r>
            <w:r>
              <w:rPr>
                <w:rStyle w:val="Hyperlink"/>
                <w:rFonts w:ascii="Times New Roman" w:hAnsi="Times New Roman"/>
                <w:b/>
                <w:noProof/>
              </w:rPr>
              <w:t>Base giuridica</w:t>
            </w:r>
            <w:r>
              <w:rPr>
                <w:noProof/>
                <w:webHidden/>
              </w:rPr>
              <w:tab/>
            </w:r>
            <w:r>
              <w:rPr>
                <w:noProof/>
                <w:webHidden/>
              </w:rPr>
              <w:fldChar w:fldCharType="begin"/>
            </w:r>
            <w:r>
              <w:rPr>
                <w:noProof/>
                <w:webHidden/>
              </w:rPr>
              <w:instrText xml:space="preserve"> PAGEREF _Toc20127512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20127513" w:history="1">
            <w:r>
              <w:rPr>
                <w:rStyle w:val="Hyperlink"/>
                <w:rFonts w:ascii="Times New Roman" w:eastAsia="Times New Roman" w:hAnsi="Times New Roman" w:cs="Times New Roman"/>
                <w:b/>
                <w:noProof/>
              </w:rPr>
              <w:t>3.3.</w:t>
            </w:r>
            <w:r>
              <w:rPr>
                <w:rFonts w:eastAsiaTheme="minorEastAsia"/>
                <w:noProof/>
                <w:lang w:val="en-US"/>
              </w:rPr>
              <w:tab/>
            </w:r>
            <w:r>
              <w:rPr>
                <w:rStyle w:val="Hyperlink"/>
                <w:rFonts w:ascii="Times New Roman" w:hAnsi="Times New Roman"/>
                <w:b/>
                <w:noProof/>
              </w:rPr>
              <w:t>Esercizio della delega</w:t>
            </w:r>
            <w:r>
              <w:rPr>
                <w:noProof/>
                <w:webHidden/>
              </w:rPr>
              <w:tab/>
            </w:r>
            <w:r>
              <w:rPr>
                <w:noProof/>
                <w:webHidden/>
              </w:rPr>
              <w:fldChar w:fldCharType="begin"/>
            </w:r>
            <w:r>
              <w:rPr>
                <w:noProof/>
                <w:webHidden/>
              </w:rPr>
              <w:instrText xml:space="preserve"> PAGEREF _Toc20127513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20127514" w:history="1">
            <w:r>
              <w:rPr>
                <w:rStyle w:val="Hyperlink"/>
                <w:rFonts w:ascii="Times New Roman" w:eastAsia="Times New Roman" w:hAnsi="Times New Roman" w:cs="Times New Roman"/>
                <w:b/>
                <w:noProof/>
              </w:rPr>
              <w:t>3.4.</w:t>
            </w:r>
            <w:r>
              <w:rPr>
                <w:rFonts w:eastAsiaTheme="minorEastAsia"/>
                <w:noProof/>
                <w:lang w:val="en-US"/>
              </w:rPr>
              <w:tab/>
            </w:r>
            <w:r>
              <w:rPr>
                <w:rStyle w:val="Hyperlink"/>
                <w:rFonts w:ascii="Times New Roman" w:hAnsi="Times New Roman"/>
                <w:b/>
                <w:noProof/>
              </w:rPr>
              <w:t>Conclusioni</w:t>
            </w:r>
            <w:r>
              <w:rPr>
                <w:noProof/>
                <w:webHidden/>
              </w:rPr>
              <w:tab/>
            </w:r>
            <w:r>
              <w:rPr>
                <w:noProof/>
                <w:webHidden/>
              </w:rPr>
              <w:fldChar w:fldCharType="begin"/>
            </w:r>
            <w:r>
              <w:rPr>
                <w:noProof/>
                <w:webHidden/>
              </w:rPr>
              <w:instrText xml:space="preserve"> PAGEREF _Toc20127514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396"/>
            </w:tabs>
            <w:rPr>
              <w:rFonts w:eastAsiaTheme="minorEastAsia"/>
              <w:noProof/>
              <w:lang w:val="en-US"/>
            </w:rPr>
          </w:pPr>
          <w:hyperlink w:anchor="_Toc20127515" w:history="1">
            <w:r>
              <w:rPr>
                <w:rStyle w:val="Hyperlink"/>
                <w:rFonts w:ascii="Times New Roman" w:eastAsia="Times New Roman" w:hAnsi="Times New Roman" w:cs="Times New Roman"/>
                <w:b/>
                <w:smallCaps/>
                <w:noProof/>
              </w:rPr>
              <w:t>4.</w:t>
            </w:r>
            <w:r>
              <w:rPr>
                <w:rFonts w:eastAsiaTheme="minorEastAsia"/>
                <w:noProof/>
                <w:lang w:val="en-US"/>
              </w:rPr>
              <w:tab/>
            </w:r>
            <w:r>
              <w:rPr>
                <w:rStyle w:val="Hyperlink"/>
                <w:rFonts w:ascii="Times New Roman" w:hAnsi="Times New Roman"/>
                <w:b/>
                <w:smallCaps/>
                <w:noProof/>
              </w:rPr>
              <w:t>Direttiva 2001/112/CE del Consiglio, del 20 dicembre 2001, concernente i succhi di frutta e altri prodotti analoghi destinati all'alimentazione umana</w:t>
            </w:r>
            <w:r>
              <w:rPr>
                <w:noProof/>
                <w:webHidden/>
              </w:rPr>
              <w:tab/>
            </w:r>
            <w:r>
              <w:rPr>
                <w:noProof/>
                <w:webHidden/>
              </w:rPr>
              <w:fldChar w:fldCharType="begin"/>
            </w:r>
            <w:r>
              <w:rPr>
                <w:noProof/>
                <w:webHidden/>
              </w:rPr>
              <w:instrText xml:space="preserve"> PAGEREF _Toc20127515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20127516" w:history="1">
            <w:r>
              <w:rPr>
                <w:rStyle w:val="Hyperlink"/>
                <w:rFonts w:ascii="Times New Roman" w:eastAsia="Times New Roman" w:hAnsi="Times New Roman" w:cs="Times New Roman"/>
                <w:b/>
                <w:noProof/>
              </w:rPr>
              <w:t>4.1.</w:t>
            </w:r>
            <w:r>
              <w:rPr>
                <w:rFonts w:eastAsiaTheme="minorEastAsia"/>
                <w:noProof/>
                <w:lang w:val="en-US"/>
              </w:rPr>
              <w:tab/>
            </w:r>
            <w:r>
              <w:rPr>
                <w:rStyle w:val="Hyperlink"/>
                <w:rFonts w:ascii="Times New Roman" w:hAnsi="Times New Roman"/>
                <w:b/>
                <w:noProof/>
              </w:rPr>
              <w:t>Introduzione</w:t>
            </w:r>
            <w:r>
              <w:rPr>
                <w:noProof/>
                <w:webHidden/>
              </w:rPr>
              <w:tab/>
            </w:r>
            <w:r>
              <w:rPr>
                <w:noProof/>
                <w:webHidden/>
              </w:rPr>
              <w:fldChar w:fldCharType="begin"/>
            </w:r>
            <w:r>
              <w:rPr>
                <w:noProof/>
                <w:webHidden/>
              </w:rPr>
              <w:instrText xml:space="preserve"> PAGEREF _Toc20127516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20127517" w:history="1">
            <w:r>
              <w:rPr>
                <w:rStyle w:val="Hyperlink"/>
                <w:rFonts w:ascii="Times New Roman" w:eastAsia="Times New Roman" w:hAnsi="Times New Roman" w:cs="Times New Roman"/>
                <w:b/>
                <w:noProof/>
              </w:rPr>
              <w:t>4.2.</w:t>
            </w:r>
            <w:r>
              <w:rPr>
                <w:rFonts w:eastAsiaTheme="minorEastAsia"/>
                <w:noProof/>
                <w:lang w:val="en-US"/>
              </w:rPr>
              <w:tab/>
            </w:r>
            <w:r>
              <w:rPr>
                <w:rStyle w:val="Hyperlink"/>
                <w:rFonts w:ascii="Times New Roman" w:hAnsi="Times New Roman"/>
                <w:b/>
                <w:noProof/>
              </w:rPr>
              <w:t>Base giuridica</w:t>
            </w:r>
            <w:r>
              <w:rPr>
                <w:noProof/>
                <w:webHidden/>
              </w:rPr>
              <w:tab/>
            </w:r>
            <w:r>
              <w:rPr>
                <w:noProof/>
                <w:webHidden/>
              </w:rPr>
              <w:fldChar w:fldCharType="begin"/>
            </w:r>
            <w:r>
              <w:rPr>
                <w:noProof/>
                <w:webHidden/>
              </w:rPr>
              <w:instrText xml:space="preserve"> PAGEREF _Toc20127517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20127518" w:history="1">
            <w:r>
              <w:rPr>
                <w:rStyle w:val="Hyperlink"/>
                <w:rFonts w:ascii="Times New Roman" w:eastAsia="Times New Roman" w:hAnsi="Times New Roman" w:cs="Times New Roman"/>
                <w:b/>
                <w:noProof/>
              </w:rPr>
              <w:t>4.3.</w:t>
            </w:r>
            <w:r>
              <w:rPr>
                <w:rFonts w:eastAsiaTheme="minorEastAsia"/>
                <w:noProof/>
                <w:lang w:val="en-US"/>
              </w:rPr>
              <w:tab/>
            </w:r>
            <w:r>
              <w:rPr>
                <w:rStyle w:val="Hyperlink"/>
                <w:rFonts w:ascii="Times New Roman" w:hAnsi="Times New Roman"/>
                <w:b/>
                <w:noProof/>
              </w:rPr>
              <w:t>Esercizio della delega</w:t>
            </w:r>
            <w:r>
              <w:rPr>
                <w:noProof/>
                <w:webHidden/>
              </w:rPr>
              <w:tab/>
            </w:r>
            <w:r>
              <w:rPr>
                <w:noProof/>
                <w:webHidden/>
              </w:rPr>
              <w:fldChar w:fldCharType="begin"/>
            </w:r>
            <w:r>
              <w:rPr>
                <w:noProof/>
                <w:webHidden/>
              </w:rPr>
              <w:instrText xml:space="preserve"> PAGEREF _Toc20127518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val="en-US"/>
            </w:rPr>
          </w:pPr>
          <w:hyperlink w:anchor="_Toc20127519" w:history="1">
            <w:r>
              <w:rPr>
                <w:rStyle w:val="Hyperlink"/>
                <w:rFonts w:ascii="Times New Roman" w:eastAsia="Times New Roman" w:hAnsi="Times New Roman" w:cs="Times New Roman"/>
                <w:b/>
                <w:noProof/>
              </w:rPr>
              <w:t>4.4.</w:t>
            </w:r>
            <w:r>
              <w:rPr>
                <w:rFonts w:eastAsiaTheme="minorEastAsia"/>
                <w:noProof/>
                <w:lang w:val="en-US"/>
              </w:rPr>
              <w:tab/>
            </w:r>
            <w:r>
              <w:rPr>
                <w:rStyle w:val="Hyperlink"/>
                <w:rFonts w:ascii="Times New Roman" w:hAnsi="Times New Roman"/>
                <w:b/>
                <w:noProof/>
              </w:rPr>
              <w:t>Conclusioni</w:t>
            </w:r>
            <w:r>
              <w:rPr>
                <w:noProof/>
                <w:webHidden/>
              </w:rPr>
              <w:tab/>
            </w:r>
            <w:r>
              <w:rPr>
                <w:noProof/>
                <w:webHidden/>
              </w:rPr>
              <w:fldChar w:fldCharType="begin"/>
            </w:r>
            <w:r>
              <w:rPr>
                <w:noProof/>
                <w:webHidden/>
              </w:rPr>
              <w:instrText xml:space="preserve"> PAGEREF _Toc20127519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440"/>
              <w:tab w:val="right" w:leader="dot" w:pos="9396"/>
            </w:tabs>
            <w:rPr>
              <w:rFonts w:eastAsiaTheme="minorEastAsia"/>
              <w:noProof/>
              <w:lang w:val="en-US"/>
            </w:rPr>
          </w:pPr>
          <w:hyperlink w:anchor="_Toc20127520" w:history="1">
            <w:r>
              <w:rPr>
                <w:rStyle w:val="Hyperlink"/>
                <w:rFonts w:ascii="Times New Roman" w:eastAsia="Times New Roman" w:hAnsi="Times New Roman" w:cs="Times New Roman"/>
                <w:b/>
                <w:smallCaps/>
                <w:noProof/>
              </w:rPr>
              <w:t>5.</w:t>
            </w:r>
            <w:r>
              <w:rPr>
                <w:rFonts w:eastAsiaTheme="minorEastAsia"/>
                <w:noProof/>
                <w:lang w:val="en-US"/>
              </w:rPr>
              <w:tab/>
            </w:r>
            <w:r>
              <w:rPr>
                <w:rStyle w:val="Hyperlink"/>
                <w:rFonts w:ascii="Times New Roman" w:hAnsi="Times New Roman"/>
                <w:b/>
                <w:smallCaps/>
                <w:noProof/>
              </w:rPr>
              <w:t>Direttiva 2001/113/CE del Consiglio, del 20 dicembre 2001, relativa alle confetture, gelatine e marmellate di frutta e alla crema di marroni destinate all'alimentazione umana</w:t>
            </w:r>
            <w:r>
              <w:rPr>
                <w:noProof/>
                <w:webHidden/>
              </w:rPr>
              <w:tab/>
            </w:r>
            <w:r>
              <w:rPr>
                <w:noProof/>
                <w:webHidden/>
              </w:rPr>
              <w:fldChar w:fldCharType="begin"/>
            </w:r>
            <w:r>
              <w:rPr>
                <w:noProof/>
                <w:webHidden/>
              </w:rPr>
              <w:instrText xml:space="preserve"> PAGEREF _Toc20127520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val="en-US"/>
            </w:rPr>
          </w:pPr>
          <w:hyperlink w:anchor="_Toc20127521" w:history="1">
            <w:r>
              <w:rPr>
                <w:rStyle w:val="Hyperlink"/>
                <w:rFonts w:ascii="Times New Roman" w:eastAsia="Times New Roman" w:hAnsi="Times New Roman" w:cs="Times New Roman"/>
                <w:b/>
                <w:noProof/>
              </w:rPr>
              <w:t>5.1.</w:t>
            </w:r>
            <w:r>
              <w:rPr>
                <w:rFonts w:eastAsiaTheme="minorEastAsia"/>
                <w:noProof/>
                <w:lang w:val="en-US"/>
              </w:rPr>
              <w:tab/>
            </w:r>
            <w:r>
              <w:rPr>
                <w:rStyle w:val="Hyperlink"/>
                <w:rFonts w:ascii="Times New Roman" w:hAnsi="Times New Roman"/>
                <w:b/>
                <w:noProof/>
              </w:rPr>
              <w:t>Introduzione</w:t>
            </w:r>
            <w:r>
              <w:rPr>
                <w:noProof/>
                <w:webHidden/>
              </w:rPr>
              <w:tab/>
            </w:r>
            <w:r>
              <w:rPr>
                <w:noProof/>
                <w:webHidden/>
              </w:rPr>
              <w:fldChar w:fldCharType="begin"/>
            </w:r>
            <w:r>
              <w:rPr>
                <w:noProof/>
                <w:webHidden/>
              </w:rPr>
              <w:instrText xml:space="preserve"> PAGEREF _Toc20127521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396"/>
            </w:tabs>
            <w:rPr>
              <w:rFonts w:eastAsiaTheme="minorEastAsia"/>
              <w:noProof/>
              <w:lang w:val="en-US"/>
            </w:rPr>
          </w:pPr>
          <w:hyperlink w:anchor="_Toc20127522" w:history="1">
            <w:r>
              <w:rPr>
                <w:rStyle w:val="Hyperlink"/>
                <w:rFonts w:ascii="Times New Roman" w:eastAsia="Times New Roman" w:hAnsi="Times New Roman" w:cs="Times New Roman"/>
                <w:b/>
                <w:noProof/>
              </w:rPr>
              <w:t>5.2.</w:t>
            </w:r>
            <w:r>
              <w:rPr>
                <w:rFonts w:eastAsiaTheme="minorEastAsia"/>
                <w:noProof/>
                <w:lang w:val="en-US"/>
              </w:rPr>
              <w:tab/>
            </w:r>
            <w:r>
              <w:rPr>
                <w:rStyle w:val="Hyperlink"/>
                <w:rFonts w:ascii="Times New Roman" w:hAnsi="Times New Roman"/>
                <w:b/>
                <w:noProof/>
              </w:rPr>
              <w:t>Base giuridica</w:t>
            </w:r>
            <w:r>
              <w:rPr>
                <w:noProof/>
                <w:webHidden/>
              </w:rPr>
              <w:tab/>
            </w:r>
            <w:r>
              <w:rPr>
                <w:noProof/>
                <w:webHidden/>
              </w:rPr>
              <w:fldChar w:fldCharType="begin"/>
            </w:r>
            <w:r>
              <w:rPr>
                <w:noProof/>
                <w:webHidden/>
              </w:rPr>
              <w:instrText xml:space="preserve"> PAGEREF _Toc20127522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396"/>
            </w:tabs>
            <w:rPr>
              <w:rFonts w:eastAsiaTheme="minorEastAsia"/>
              <w:noProof/>
              <w:lang w:val="en-US"/>
            </w:rPr>
          </w:pPr>
          <w:hyperlink w:anchor="_Toc20127523" w:history="1">
            <w:r>
              <w:rPr>
                <w:rStyle w:val="Hyperlink"/>
                <w:rFonts w:ascii="Times New Roman" w:eastAsia="Times New Roman" w:hAnsi="Times New Roman" w:cs="Times New Roman"/>
                <w:b/>
                <w:noProof/>
              </w:rPr>
              <w:t>5.3.</w:t>
            </w:r>
            <w:r>
              <w:rPr>
                <w:rFonts w:eastAsiaTheme="minorEastAsia"/>
                <w:noProof/>
                <w:lang w:val="en-US"/>
              </w:rPr>
              <w:tab/>
            </w:r>
            <w:r>
              <w:rPr>
                <w:rStyle w:val="Hyperlink"/>
                <w:rFonts w:ascii="Times New Roman" w:hAnsi="Times New Roman"/>
                <w:b/>
                <w:noProof/>
              </w:rPr>
              <w:t>Esercizio della delega</w:t>
            </w:r>
            <w:r>
              <w:rPr>
                <w:noProof/>
                <w:webHidden/>
              </w:rPr>
              <w:tab/>
            </w:r>
            <w:r>
              <w:rPr>
                <w:noProof/>
                <w:webHidden/>
              </w:rPr>
              <w:fldChar w:fldCharType="begin"/>
            </w:r>
            <w:r>
              <w:rPr>
                <w:noProof/>
                <w:webHidden/>
              </w:rPr>
              <w:instrText xml:space="preserve"> PAGEREF _Toc20127523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396"/>
            </w:tabs>
            <w:rPr>
              <w:rFonts w:eastAsiaTheme="minorEastAsia"/>
              <w:noProof/>
              <w:lang w:val="en-US"/>
            </w:rPr>
          </w:pPr>
          <w:hyperlink w:anchor="_Toc20127524" w:history="1">
            <w:r>
              <w:rPr>
                <w:rStyle w:val="Hyperlink"/>
                <w:rFonts w:ascii="Times New Roman" w:eastAsia="Times New Roman" w:hAnsi="Times New Roman" w:cs="Times New Roman"/>
                <w:b/>
                <w:noProof/>
              </w:rPr>
              <w:t>5.4.</w:t>
            </w:r>
            <w:r>
              <w:rPr>
                <w:rFonts w:eastAsiaTheme="minorEastAsia"/>
                <w:noProof/>
                <w:lang w:val="en-US"/>
              </w:rPr>
              <w:tab/>
            </w:r>
            <w:r>
              <w:rPr>
                <w:rStyle w:val="Hyperlink"/>
                <w:rFonts w:ascii="Times New Roman" w:hAnsi="Times New Roman"/>
                <w:b/>
                <w:noProof/>
              </w:rPr>
              <w:t>Conclusioni</w:t>
            </w:r>
            <w:r>
              <w:rPr>
                <w:noProof/>
                <w:webHidden/>
              </w:rPr>
              <w:tab/>
            </w:r>
            <w:r>
              <w:rPr>
                <w:noProof/>
                <w:webHidden/>
              </w:rPr>
              <w:fldChar w:fldCharType="begin"/>
            </w:r>
            <w:r>
              <w:rPr>
                <w:noProof/>
                <w:webHidden/>
              </w:rPr>
              <w:instrText xml:space="preserve"> PAGEREF _Toc20127524 \h </w:instrText>
            </w:r>
            <w:r>
              <w:rPr>
                <w:noProof/>
                <w:webHidden/>
              </w:rPr>
            </w:r>
            <w:r>
              <w:rPr>
                <w:noProof/>
                <w:webHidden/>
              </w:rPr>
              <w:fldChar w:fldCharType="separate"/>
            </w:r>
            <w:r>
              <w:rPr>
                <w:noProof/>
                <w:webHidden/>
              </w:rPr>
              <w:t>6</w:t>
            </w:r>
            <w:r>
              <w:rPr>
                <w:noProof/>
                <w:webHidden/>
              </w:rPr>
              <w:fldChar w:fldCharType="end"/>
            </w:r>
          </w:hyperlink>
        </w:p>
        <w:p>
          <w:pPr>
            <w:rPr>
              <w:noProof/>
            </w:rPr>
          </w:pPr>
          <w:r>
            <w:rPr>
              <w:b/>
              <w:bCs/>
              <w:noProof/>
            </w:rPr>
            <w:fldChar w:fldCharType="end"/>
          </w:r>
        </w:p>
      </w:sdtContent>
    </w:sdt>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 w:name="_Toc20127500"/>
      <w:r>
        <w:rPr>
          <w:rFonts w:ascii="Times New Roman" w:hAnsi="Times New Roman"/>
          <w:b/>
          <w:smallCaps/>
          <w:noProof/>
          <w:sz w:val="24"/>
          <w:szCs w:val="24"/>
        </w:rPr>
        <w:t>Direttiva 2000/36/CE del Parlamento europeo e del Consiglio, del 23 giugno 2000, relativa ai prodotti di cacao e di cioccolato destinati all'alimentazione umana</w:t>
      </w:r>
      <w:bookmarkEnd w:id="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3" w:name="_Toc20127501"/>
      <w:r>
        <w:rPr>
          <w:rFonts w:ascii="Times New Roman" w:hAnsi="Times New Roman"/>
          <w:b/>
          <w:noProof/>
          <w:sz w:val="24"/>
          <w:szCs w:val="24"/>
        </w:rPr>
        <w:t>Introduzione</w:t>
      </w:r>
      <w:bookmarkEnd w:id="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direttiva 2000/36/CE del Parlamento europeo e del Consiglio</w:t>
      </w:r>
      <w:r>
        <w:rPr>
          <w:rFonts w:ascii="Times New Roman" w:hAnsi="Times New Roman" w:cs="Times New Roman"/>
          <w:noProof/>
          <w:sz w:val="24"/>
          <w:szCs w:val="24"/>
          <w:vertAlign w:val="superscript"/>
        </w:rPr>
        <w:footnoteReference w:id="1"/>
      </w:r>
      <w:r>
        <w:rPr>
          <w:rFonts w:ascii="Times New Roman" w:hAnsi="Times New Roman"/>
          <w:noProof/>
          <w:sz w:val="24"/>
          <w:szCs w:val="24"/>
        </w:rPr>
        <w:t xml:space="preserve"> stabilisce definizioni e norme comuni per la composizione, le caratteristiche di fabbricazione, il confezionamento e l'etichettatura dei prodotti di cacao e di cioccolato.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L'articolo 5 della direttiva conferisce alla Commissione il potere di adottare atti delegati riguardo alla modifica dei punti C e D dell'allegato I per tenere conto del progresso tecnico e dell'evoluzione delle norme internazionali pertinenti.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4" w:name="_Toc20127502"/>
      <w:r>
        <w:rPr>
          <w:rFonts w:ascii="Times New Roman" w:hAnsi="Times New Roman"/>
          <w:b/>
          <w:noProof/>
          <w:sz w:val="24"/>
          <w:szCs w:val="24"/>
        </w:rPr>
        <w:t>Base giuridica</w:t>
      </w:r>
      <w:bookmarkEnd w:id="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relazione è richiesta in applicazione dell'articolo 6, paragrafo 2. Conformemente a tale disposizione, il potere di adottare atti delegati di cui all'articolo 5 è conferito alla Commissione per un periodo di cinque anni a decorrere dal 18 novembre 2013. La Commissione elabora una relazione sulla delega di potere al più tardi nove mesi prima della scadenza del periodo di cinque anni. La delega di potere è tacitamente prorogata per periodi di identica durata, a meno che il Parlamento europeo o il Consiglio non si oppongano a tale proroga al più tardi tre mesi prima della scadenza di ciascun periodo.</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5" w:name="_Toc20127503"/>
      <w:r>
        <w:rPr>
          <w:rFonts w:ascii="Times New Roman" w:hAnsi="Times New Roman"/>
          <w:b/>
          <w:noProof/>
          <w:sz w:val="24"/>
          <w:szCs w:val="24"/>
        </w:rPr>
        <w:t>Esercizio della delega</w:t>
      </w:r>
      <w:bookmarkEnd w:id="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Commissione non ha adottato atti delegati a norma dell'articolo 5, in quanto non ha ravvisato la necessità di modificare i punti C e D dell'allegato I. La Commissione non intende esercitare il potere conferito nel prossimo futuro, ma non si può escludere che risulti necessario farlo.</w:t>
      </w:r>
      <w:r>
        <w:rPr>
          <w:noProof/>
          <w:sz w:val="24"/>
          <w:szCs w:val="24"/>
        </w:rPr>
        <w:t xml:space="preserve">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6" w:name="_Toc20127504"/>
      <w:r>
        <w:rPr>
          <w:rFonts w:ascii="Times New Roman" w:hAnsi="Times New Roman"/>
          <w:b/>
          <w:noProof/>
          <w:sz w:val="24"/>
          <w:szCs w:val="24"/>
        </w:rPr>
        <w:t>Conclusioni</w:t>
      </w:r>
      <w:bookmarkEnd w:id="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Il potere conferito non è stato esercitato, poiché non vi era alcun obbligo giuridico, né la necessità di farlo.</w:t>
      </w:r>
      <w:r>
        <w:rPr>
          <w:noProof/>
          <w:sz w:val="24"/>
          <w:szCs w:val="24"/>
        </w:rPr>
        <w:t xml:space="preserve"> </w:t>
      </w:r>
      <w:r>
        <w:rPr>
          <w:rFonts w:ascii="Times New Roman" w:hAnsi="Times New Roman"/>
          <w:noProof/>
          <w:sz w:val="24"/>
          <w:szCs w:val="24"/>
        </w:rPr>
        <w:t>Non si può escludere tuttavia che tali deleghe saranno necessarie in futuro.</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7" w:name="_Toc20127505"/>
      <w:r>
        <w:rPr>
          <w:rFonts w:ascii="Times New Roman" w:hAnsi="Times New Roman"/>
          <w:b/>
          <w:smallCaps/>
          <w:noProof/>
          <w:sz w:val="24"/>
          <w:szCs w:val="24"/>
        </w:rPr>
        <w:lastRenderedPageBreak/>
        <w:t>Direttiva 2001/110/CE del Consiglio, del 20 dicembre 2001, concernente il miele</w:t>
      </w:r>
      <w:bookmarkEnd w:id="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8" w:name="_Toc20127506"/>
      <w:r>
        <w:rPr>
          <w:rFonts w:ascii="Times New Roman" w:hAnsi="Times New Roman"/>
          <w:b/>
          <w:noProof/>
          <w:sz w:val="24"/>
          <w:szCs w:val="24"/>
        </w:rPr>
        <w:t>Introduzione</w:t>
      </w:r>
      <w:bookmarkEnd w:id="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direttiva 2001/110/CE del Consiglio</w:t>
      </w:r>
      <w:r>
        <w:rPr>
          <w:rFonts w:ascii="Times New Roman" w:hAnsi="Times New Roman" w:cs="Times New Roman"/>
          <w:noProof/>
          <w:sz w:val="24"/>
          <w:szCs w:val="24"/>
          <w:vertAlign w:val="superscript"/>
        </w:rPr>
        <w:footnoteReference w:id="2"/>
      </w:r>
      <w:r>
        <w:rPr>
          <w:rFonts w:ascii="Times New Roman" w:hAnsi="Times New Roman"/>
          <w:noProof/>
          <w:sz w:val="24"/>
          <w:szCs w:val="24"/>
        </w:rPr>
        <w:t xml:space="preserve"> stabilisce definizioni e norme comuni per la composizione e le principali diciture che devono figurare sull'etichettatura del miele.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L'articolo 4, paragrafo 2, allo scopo di garantire prassi commerciali leali, tutelare gli interessi dei consumatori e consentire l'impostazione di metodi di analisi pertinenti, conferisce alla Commissione il potere di adottare atti delegati, conformemente all'articolo 6, riguardo al completamento della direttiva stabilendo i parametri quantitativi relativi agli elementi seguenti:</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noProof/>
          <w:sz w:val="24"/>
          <w:szCs w:val="24"/>
        </w:rPr>
        <w:tab/>
        <w:t>il criterio secondo cui un miele è "principalmente" di origine floreale o vegetale, come previsto dall'articolo 2, paragrafo 2, lettera b), primo trattino; e</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szCs w:val="24"/>
        </w:rPr>
        <w:t xml:space="preserve">b) </w:t>
      </w:r>
      <w:r>
        <w:rPr>
          <w:rFonts w:ascii="Times New Roman" w:hAnsi="Times New Roman"/>
          <w:noProof/>
          <w:sz w:val="24"/>
          <w:szCs w:val="24"/>
        </w:rPr>
        <w:tab/>
        <w:t>il contenuto minimo di polline nel miele filtrato a seguito dell'estrazione di sostanze estranee inorganiche o organiche di cui all'allegato I, punto 2, lettera b), punto viii).</w:t>
      </w:r>
    </w:p>
    <w:p>
      <w:pPr>
        <w:keepNext/>
        <w:tabs>
          <w:tab w:val="left" w:pos="737"/>
        </w:tabs>
        <w:spacing w:before="420" w:after="120" w:line="264" w:lineRule="auto"/>
        <w:ind w:left="595" w:hanging="595"/>
        <w:jc w:val="both"/>
        <w:outlineLvl w:val="1"/>
        <w:rPr>
          <w:rFonts w:ascii="Times New Roman" w:eastAsia="Times New Roman" w:hAnsi="Times New Roman" w:cs="Times New Roman"/>
          <w:b/>
          <w:noProof/>
          <w:sz w:val="24"/>
          <w:szCs w:val="24"/>
        </w:rPr>
      </w:pPr>
      <w:bookmarkStart w:id="9" w:name="_Toc20127507"/>
      <w:r>
        <w:rPr>
          <w:rFonts w:ascii="Times New Roman" w:hAnsi="Times New Roman"/>
          <w:b/>
          <w:noProof/>
          <w:sz w:val="24"/>
          <w:szCs w:val="24"/>
        </w:rPr>
        <w:t>2.2.</w:t>
      </w:r>
      <w:r>
        <w:rPr>
          <w:rFonts w:ascii="Times New Roman" w:hAnsi="Times New Roman"/>
          <w:b/>
          <w:noProof/>
          <w:sz w:val="24"/>
          <w:szCs w:val="24"/>
        </w:rPr>
        <w:tab/>
        <w:t>Base giuridica</w:t>
      </w:r>
      <w:bookmarkEnd w:id="9"/>
      <w:r>
        <w:rPr>
          <w:rFonts w:ascii="Times New Roman" w:hAnsi="Times New Roman"/>
          <w:b/>
          <w:noProof/>
          <w:sz w:val="24"/>
          <w:szCs w:val="24"/>
        </w:rPr>
        <w:t xml:space="preserve">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relazione è richiesta in applicazione dell'articolo 6, paragrafo 2. Conformemente a tale disposizione, il potere di adottare atti delegati di cui all'articolo 4, paragrafo 2, è conferito alla Commissione per un periodo di cinque anni a decorrere dal 23 giugno 2014. La Commissione elabora una relazione sulla delega di potere al più tardi nove mesi prima della scadenza del periodo di cinque anni. La delega di potere è tacitamente prorogata per periodi di identica durata, a meno che il Parlamento europeo o il Consiglio non si oppongano a tale proroga al più tardi tre mesi prima della scadenza di ciascun periodo.</w:t>
      </w:r>
    </w:p>
    <w:p>
      <w:pPr>
        <w:keepNext/>
        <w:numPr>
          <w:ilvl w:val="1"/>
          <w:numId w:val="46"/>
        </w:numPr>
        <w:tabs>
          <w:tab w:val="left" w:pos="737"/>
        </w:tabs>
        <w:spacing w:before="420" w:after="120" w:line="264" w:lineRule="auto"/>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ab/>
      </w:r>
      <w:bookmarkStart w:id="10" w:name="_Toc20127508"/>
      <w:r>
        <w:rPr>
          <w:rFonts w:ascii="Times New Roman" w:hAnsi="Times New Roman"/>
          <w:b/>
          <w:noProof/>
          <w:sz w:val="24"/>
          <w:szCs w:val="24"/>
        </w:rPr>
        <w:t>Esercizio della delega</w:t>
      </w:r>
      <w:bookmarkEnd w:id="10"/>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Commissione non ha adottato atti delegati a norma dell'articolo 4, paragrafo 2, poiché non ne ha ravvisato la necessità. La Commissione non intende esercitare il potere conferito nel prossimo futuro, ma non si può escludere che risulti necessario farlo.</w:t>
      </w:r>
      <w:r>
        <w:rPr>
          <w:noProof/>
          <w:sz w:val="24"/>
          <w:szCs w:val="24"/>
        </w:rPr>
        <w:t xml:space="preserve"> </w:t>
      </w:r>
    </w:p>
    <w:p>
      <w:pPr>
        <w:keepNext/>
        <w:numPr>
          <w:ilvl w:val="1"/>
          <w:numId w:val="4"/>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1" w:name="_Toc20127509"/>
      <w:r>
        <w:rPr>
          <w:rFonts w:ascii="Times New Roman" w:hAnsi="Times New Roman"/>
          <w:b/>
          <w:noProof/>
          <w:sz w:val="24"/>
          <w:szCs w:val="24"/>
        </w:rPr>
        <w:t>Conclusioni</w:t>
      </w:r>
      <w:bookmarkEnd w:id="1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Il potere conferito non è stato esercitato, poiché non vi era alcun obbligo giuridico, né la necessità di farlo.</w:t>
      </w:r>
      <w:r>
        <w:rPr>
          <w:noProof/>
          <w:sz w:val="24"/>
          <w:szCs w:val="24"/>
        </w:rPr>
        <w:t xml:space="preserve"> </w:t>
      </w:r>
      <w:r>
        <w:rPr>
          <w:rFonts w:ascii="Times New Roman" w:hAnsi="Times New Roman"/>
          <w:noProof/>
          <w:sz w:val="24"/>
          <w:szCs w:val="24"/>
        </w:rPr>
        <w:t>Non si può escludere tuttavia che tali deleghe saranno necessarie in futuro.</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2" w:name="_Toc20127510"/>
      <w:r>
        <w:rPr>
          <w:rFonts w:ascii="Times New Roman" w:hAnsi="Times New Roman"/>
          <w:b/>
          <w:smallCaps/>
          <w:noProof/>
          <w:sz w:val="24"/>
          <w:szCs w:val="24"/>
        </w:rPr>
        <w:lastRenderedPageBreak/>
        <w:t>Direttiva 2001/111/CE del Consiglio, del 20 dicembre 2001, relativa a determinati tipi di zucchero destinati all'alimentazione umana</w:t>
      </w:r>
      <w:bookmarkEnd w:id="12"/>
    </w:p>
    <w:p>
      <w:pPr>
        <w:keepNext/>
        <w:numPr>
          <w:ilvl w:val="1"/>
          <w:numId w:val="2"/>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3" w:name="_Toc20127511"/>
      <w:r>
        <w:rPr>
          <w:rFonts w:ascii="Times New Roman" w:hAnsi="Times New Roman"/>
          <w:b/>
          <w:noProof/>
          <w:sz w:val="24"/>
          <w:szCs w:val="24"/>
        </w:rPr>
        <w:t>Introduzione</w:t>
      </w:r>
      <w:bookmarkEnd w:id="1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direttiva 2001/111/CE del Consiglio</w:t>
      </w:r>
      <w:r>
        <w:rPr>
          <w:rFonts w:ascii="Times New Roman" w:hAnsi="Times New Roman" w:cs="Times New Roman"/>
          <w:noProof/>
          <w:sz w:val="24"/>
          <w:szCs w:val="24"/>
          <w:vertAlign w:val="superscript"/>
        </w:rPr>
        <w:footnoteReference w:id="3"/>
      </w:r>
      <w:r>
        <w:rPr>
          <w:rFonts w:ascii="Times New Roman" w:hAnsi="Times New Roman"/>
          <w:noProof/>
          <w:sz w:val="24"/>
          <w:szCs w:val="24"/>
        </w:rPr>
        <w:t xml:space="preserve"> stabilisce norme relative alle condizioni di fabbricazione e commercializzazione di determinati tipi di zucchero destinati all'alimentazione umana.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L'articolo 4 conferisce alla Commissione il potere di adottare atti delegati riguardo alla modifica della parte B dell'allegato al fine di tenere conto del progresso tecnico e dell'evoluzione delle norme internazionali pertinenti.</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4" w:name="_Toc20127512"/>
      <w:r>
        <w:rPr>
          <w:rFonts w:ascii="Times New Roman" w:hAnsi="Times New Roman"/>
          <w:b/>
          <w:noProof/>
          <w:sz w:val="24"/>
          <w:szCs w:val="24"/>
        </w:rPr>
        <w:t>Base giuridica</w:t>
      </w:r>
      <w:bookmarkEnd w:id="1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relazione è richiesta in applicazione dell'articolo 5, paragrafo 2. Conformemente a tale disposizione, il potere di adottare atti delegati di cui all'articolo 5 è conferito alla Commissione per un periodo di cinque anni a decorrere dal 18 novembre 2013. La Commissione elabora una relazione sulla delega di potere al più tardi nove mesi prima della scadenza del periodo di cinque anni. La delega di potere è tacitamente prorogata per periodi di identica durata, a meno che il Parlamento europeo o il Consiglio non si oppongano a tale proroga al più tardi tre mesi prima della scadenza di ciascun periodo.</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5" w:name="_Toc20127513"/>
      <w:r>
        <w:rPr>
          <w:rFonts w:ascii="Times New Roman" w:hAnsi="Times New Roman"/>
          <w:b/>
          <w:noProof/>
          <w:sz w:val="24"/>
          <w:szCs w:val="24"/>
        </w:rPr>
        <w:t>Esercizio della delega</w:t>
      </w:r>
      <w:bookmarkEnd w:id="1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Commissione non ha adottato atti delegati conformemente all'articolo 5, in quanto non ha ravvisato la necessità di modificare la parte B dell'allegato. La Commissione non intende esercitare il potere conferito nel prossimo futuro, ma non si può escludere che risulti necessario farlo.</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6" w:name="_Toc20127514"/>
      <w:r>
        <w:rPr>
          <w:rFonts w:ascii="Times New Roman" w:hAnsi="Times New Roman"/>
          <w:b/>
          <w:noProof/>
          <w:sz w:val="24"/>
          <w:szCs w:val="24"/>
        </w:rPr>
        <w:t>Conclusioni</w:t>
      </w:r>
      <w:bookmarkEnd w:id="1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Il potere conferito non è stato esercitato, poiché non vi era alcun obbligo giuridico, né la necessità di farlo.</w:t>
      </w:r>
      <w:r>
        <w:rPr>
          <w:noProof/>
          <w:sz w:val="24"/>
          <w:szCs w:val="24"/>
        </w:rPr>
        <w:t xml:space="preserve"> </w:t>
      </w:r>
      <w:r>
        <w:rPr>
          <w:rFonts w:ascii="Times New Roman" w:hAnsi="Times New Roman"/>
          <w:noProof/>
          <w:sz w:val="24"/>
          <w:szCs w:val="24"/>
        </w:rPr>
        <w:t>Non si può escludere tuttavia che tali deleghe saranno necessarie in futuro.</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7" w:name="_Toc20127515"/>
      <w:r>
        <w:rPr>
          <w:rFonts w:ascii="Times New Roman" w:hAnsi="Times New Roman"/>
          <w:b/>
          <w:smallCaps/>
          <w:noProof/>
          <w:sz w:val="24"/>
          <w:szCs w:val="24"/>
        </w:rPr>
        <w:t>Direttiva 2001/112/CE del Consiglio, del 20 dicembre 2001, concernente i succhi di frutta e altri prodotti analoghi destinati all'alimentazione umana</w:t>
      </w:r>
      <w:bookmarkEnd w:id="1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8" w:name="_Toc20127516"/>
      <w:r>
        <w:rPr>
          <w:rFonts w:ascii="Times New Roman" w:hAnsi="Times New Roman"/>
          <w:b/>
          <w:noProof/>
          <w:sz w:val="24"/>
          <w:szCs w:val="24"/>
        </w:rPr>
        <w:t>Introduzione</w:t>
      </w:r>
      <w:bookmarkEnd w:id="1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direttiva 2001/112/CE del Consiglio</w:t>
      </w:r>
      <w:r>
        <w:rPr>
          <w:rFonts w:ascii="Times New Roman" w:hAnsi="Times New Roman" w:cs="Times New Roman"/>
          <w:noProof/>
          <w:sz w:val="24"/>
          <w:szCs w:val="24"/>
          <w:vertAlign w:val="superscript"/>
        </w:rPr>
        <w:footnoteReference w:id="4"/>
      </w:r>
      <w:r>
        <w:rPr>
          <w:rFonts w:ascii="Times New Roman" w:hAnsi="Times New Roman"/>
          <w:noProof/>
          <w:sz w:val="24"/>
          <w:szCs w:val="24"/>
        </w:rPr>
        <w:t xml:space="preserve"> stabilisce norme comuni che disciplinano la composizione, l'impiego di denominazioni riservate, le caratteristiche di fabbricazione e l'etichettatura di succhi di frutta e altri prodotti analoghi.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L'articolo 7 conferisce alla Commissione il potere di adottare atti delegati per modificare gli allegati della direttiva, tranne la parte I dell'allegato I e l'allegato II, al fine di adeguare gli allegati agli sviluppi delle norme internazionali pertinenti e di tenere conto del progresso tecnico.</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9" w:name="_Toc20127517"/>
      <w:r>
        <w:rPr>
          <w:rFonts w:ascii="Times New Roman" w:hAnsi="Times New Roman"/>
          <w:b/>
          <w:noProof/>
          <w:sz w:val="24"/>
          <w:szCs w:val="24"/>
        </w:rPr>
        <w:t>Base giuridica</w:t>
      </w:r>
      <w:bookmarkEnd w:id="19"/>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relazione è richiesta in applicazione dell'articolo 7 bis, paragrafo 2. Conformemente a tale disposizione, il potere di adottare atti delegati di cui all'articolo 7 è conferito alla Commissione per un periodo di cinque anni a decorrere dal 28 ottobre 2013. La Commissione elabora una relazione sulla delega di potere al più tardi nove mesi prima della scadenza del periodo di cinque anni. La delega di potere è tacitamente prorogata per periodi di identica durata, a meno che il Parlamento europeo o il Consiglio non si oppongano a tale proroga al più tardi tre mesi prima della scadenza di ciascun periodo.</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0" w:name="_Toc20127518"/>
      <w:r>
        <w:rPr>
          <w:rFonts w:ascii="Times New Roman" w:hAnsi="Times New Roman"/>
          <w:b/>
          <w:noProof/>
          <w:sz w:val="24"/>
          <w:szCs w:val="24"/>
        </w:rPr>
        <w:t>Esercizio della delega</w:t>
      </w:r>
      <w:bookmarkEnd w:id="20"/>
    </w:p>
    <w:p>
      <w:pPr>
        <w:tabs>
          <w:tab w:val="left" w:pos="340"/>
          <w:tab w:val="left" w:pos="510"/>
          <w:tab w:val="left" w:pos="1021"/>
        </w:tabs>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La Commissione ha adottato un atto delegato sulla base dell'articolo 7 per tenere conto del progresso tecnico: il </w:t>
      </w:r>
      <w:r>
        <w:rPr>
          <w:rFonts w:ascii="Times New Roman" w:hAnsi="Times New Roman"/>
          <w:b/>
          <w:noProof/>
          <w:sz w:val="24"/>
          <w:szCs w:val="24"/>
        </w:rPr>
        <w:t>regolamento delegato (UE) n. 1040/2014 della Commissione</w:t>
      </w:r>
      <w:r>
        <w:rPr>
          <w:rFonts w:ascii="Times New Roman" w:hAnsi="Times New Roman" w:cs="Times New Roman"/>
          <w:noProof/>
          <w:sz w:val="24"/>
          <w:szCs w:val="24"/>
          <w:vertAlign w:val="superscript"/>
        </w:rPr>
        <w:footnoteReference w:id="5"/>
      </w:r>
      <w:r>
        <w:rPr>
          <w:rFonts w:ascii="Times New Roman" w:hAnsi="Times New Roman"/>
          <w:noProof/>
          <w:sz w:val="24"/>
          <w:szCs w:val="24"/>
        </w:rPr>
        <w:t>. Tale atto delegato ha modificato</w:t>
      </w:r>
      <w:r>
        <w:rPr>
          <w:rFonts w:ascii="Times New Roman" w:hAnsi="Times New Roman"/>
          <w:noProof/>
          <w:color w:val="444444"/>
          <w:sz w:val="24"/>
          <w:szCs w:val="24"/>
        </w:rPr>
        <w:t xml:space="preserve"> </w:t>
      </w:r>
      <w:r>
        <w:rPr>
          <w:rFonts w:ascii="Times New Roman" w:hAnsi="Times New Roman"/>
          <w:noProof/>
          <w:sz w:val="24"/>
          <w:szCs w:val="24"/>
        </w:rPr>
        <w:t>l'allegato I, parte II, punto 3, che disciplina i trattamenti e le sostanze autorizzati, al fine di autorizzare le proteine vegetali derivate da frumento, piselli o patate per la chiarificazione dei succhi.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In linea con la convenzione d'intesa sugli atti delegati</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gli esperti degli Stati membri sono stati consultati in seno al gruppo di esperti per i mercati agricoli, in particolare per quanto concerne gli aspetti disciplinati dal regolamento unico OCM. Il 25 luglio 2014 la Commissione ha adottato il regolamento delegato (UE) n. 1040/2014 e ne ha dato notifica al Parlamento europeo e al Consiglio. Né il Parlamento europeo né il Consiglio hanno sollevato obiezioni in relazione al regolamento delegato. Alla scadenza del periodo di due mesi, il regolamento delegato (UE) n. 1040/2014 della Commissione è stato pubblicato nella Gazzetta ufficiale dell'Unione europea L 288 del 2 ottobre 2014 ed è entrato in vigore il 5 ottobre 2014.</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Al momento la Commissione non intende esercitare il potere conferito, a meno che il progresso tecnico non lo renda necessario in futuro.</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1" w:name="_Toc20127519"/>
      <w:r>
        <w:rPr>
          <w:rFonts w:ascii="Times New Roman" w:hAnsi="Times New Roman"/>
          <w:b/>
          <w:noProof/>
          <w:sz w:val="24"/>
          <w:szCs w:val="24"/>
        </w:rPr>
        <w:t>Conclusioni</w:t>
      </w:r>
      <w:bookmarkEnd w:id="2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Commissione ha esercitato correttamente i poteri delegati ad essa conferiti.</w:t>
      </w:r>
      <w:r>
        <w:rPr>
          <w:noProof/>
          <w:sz w:val="24"/>
          <w:szCs w:val="24"/>
        </w:rPr>
        <w:t xml:space="preserve"> </w:t>
      </w:r>
      <w:r>
        <w:rPr>
          <w:rFonts w:ascii="Times New Roman" w:hAnsi="Times New Roman"/>
          <w:noProof/>
          <w:sz w:val="24"/>
          <w:szCs w:val="24"/>
        </w:rPr>
        <w:t>Non si può escludere che tali deleghe saranno necessarie in futuro.</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2" w:name="_Toc20127520"/>
      <w:r>
        <w:rPr>
          <w:rFonts w:ascii="Times New Roman" w:hAnsi="Times New Roman"/>
          <w:b/>
          <w:smallCaps/>
          <w:noProof/>
          <w:sz w:val="24"/>
          <w:szCs w:val="24"/>
        </w:rPr>
        <w:t>Direttiva 2001/113/CE del Consiglio, del 20 dicembre 2001, relativa alle confetture, gelatine e marmellate di frutta e alla crema di marroni destinate all'alimentazione umana</w:t>
      </w:r>
      <w:bookmarkEnd w:id="2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3" w:name="_Toc20127521"/>
      <w:r>
        <w:rPr>
          <w:rFonts w:ascii="Times New Roman" w:hAnsi="Times New Roman"/>
          <w:b/>
          <w:noProof/>
          <w:sz w:val="24"/>
          <w:szCs w:val="24"/>
        </w:rPr>
        <w:t>Introduzione</w:t>
      </w:r>
      <w:bookmarkEnd w:id="2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direttiva 2001/113/CE del Consiglio</w:t>
      </w:r>
      <w:r>
        <w:rPr>
          <w:rFonts w:ascii="Times New Roman" w:hAnsi="Times New Roman" w:cs="Times New Roman"/>
          <w:noProof/>
          <w:sz w:val="24"/>
          <w:szCs w:val="24"/>
          <w:vertAlign w:val="superscript"/>
        </w:rPr>
        <w:footnoteReference w:id="7"/>
      </w:r>
      <w:r>
        <w:rPr>
          <w:rFonts w:ascii="Times New Roman" w:hAnsi="Times New Roman"/>
          <w:noProof/>
          <w:sz w:val="24"/>
          <w:szCs w:val="24"/>
        </w:rPr>
        <w:t xml:space="preserve"> stabilisce definizioni e norme comuni che disciplinano la composizione, le caratteristiche di fabbricazione e l'etichettatura di confetture, gelatine e marmellate di frutta e crema di marroni.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L'articolo 5 conferisce alla Commissione il potere di adottare atti delegati riguardo alla modifica dell'allegato II e della parte B dell'allegato III al fine di tenere conto del progresso tecnico e dell'evoluzione delle norme internazionali pertinenti.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4" w:name="_Toc20127522"/>
      <w:r>
        <w:rPr>
          <w:rFonts w:ascii="Times New Roman" w:hAnsi="Times New Roman"/>
          <w:b/>
          <w:noProof/>
          <w:sz w:val="24"/>
          <w:szCs w:val="24"/>
        </w:rPr>
        <w:t>Base giuridica</w:t>
      </w:r>
      <w:bookmarkEnd w:id="2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relazione è richiesta in applicazione dell'articolo 6, paragrafo 2. Conformemente a tale disposizione, il potere di adottare atti delegati di cui all'articolo 5 è conferito alla Commissione per un periodo di cinque anni a decorrere dal 18 novembre 2013. La Commissione elabora una relazione sulla delega di potere al più tardi nove mesi prima della scadenza del periodo di cinque anni. La delega di potere è tacitamente prorogata per periodi di identica durata, a meno che il Parlamento europeo o il Consiglio non si oppongano a tale proroga al più tardi tre mesi prima della scadenza di ciascun periodo.</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5" w:name="_Toc20127523"/>
      <w:r>
        <w:rPr>
          <w:rFonts w:ascii="Times New Roman" w:hAnsi="Times New Roman"/>
          <w:b/>
          <w:noProof/>
          <w:sz w:val="24"/>
          <w:szCs w:val="24"/>
        </w:rPr>
        <w:t>Esercizio della delega</w:t>
      </w:r>
      <w:bookmarkEnd w:id="2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Commissione non ha adottato atti delegati conformemente all'articolo 5, in quanto non ha ravvisato la necessità di modificare l'allegato II o la parte B dell'allegato III. La Commissione non intende esercitare il potere conferito nel prossimo futuro, ma non si può escludere che risulti necessario farlo.</w:t>
      </w:r>
      <w:r>
        <w:rPr>
          <w:noProof/>
          <w:sz w:val="24"/>
          <w:szCs w:val="24"/>
        </w:rPr>
        <w:t xml:space="preserve">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6" w:name="_Toc20127524"/>
      <w:r>
        <w:rPr>
          <w:rFonts w:ascii="Times New Roman" w:hAnsi="Times New Roman"/>
          <w:b/>
          <w:noProof/>
          <w:sz w:val="24"/>
          <w:szCs w:val="24"/>
        </w:rPr>
        <w:t>Conclusioni</w:t>
      </w:r>
      <w:bookmarkEnd w:id="2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Il potere conferito non è stato esercitato, poiché non vi era alcun obbligo giuridico, né la necessità di farlo.</w:t>
      </w:r>
      <w:r>
        <w:rPr>
          <w:noProof/>
          <w:sz w:val="24"/>
          <w:szCs w:val="24"/>
        </w:rPr>
        <w:t xml:space="preserve"> </w:t>
      </w:r>
      <w:r>
        <w:rPr>
          <w:rFonts w:ascii="Times New Roman" w:hAnsi="Times New Roman"/>
          <w:noProof/>
          <w:sz w:val="24"/>
          <w:szCs w:val="24"/>
        </w:rPr>
        <w:t>Non si può escludere tuttavia che tali deleghe saranno necessarie in futuro.</w:t>
      </w:r>
    </w:p>
    <w:p>
      <w:pPr>
        <w:tabs>
          <w:tab w:val="left" w:pos="340"/>
          <w:tab w:val="left" w:pos="510"/>
          <w:tab w:val="left" w:pos="1021"/>
        </w:tabs>
        <w:spacing w:after="120" w:line="240" w:lineRule="auto"/>
        <w:jc w:val="both"/>
        <w:rPr>
          <w:rFonts w:ascii="Times New Roman" w:hAnsi="Times New Roman" w:cs="Times New Roman"/>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Commissione invita il Parlamento europeo e il Consiglio a prendere atto della presente relazione.</w:t>
      </w:r>
    </w:p>
    <w:sectPr>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40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1"/>
      </w:pPr>
      <w:r>
        <w:rPr>
          <w:rStyle w:val="FootnoteReference"/>
        </w:rPr>
        <w:footnoteRef/>
      </w:r>
      <w:r>
        <w:tab/>
        <w:t>Direttiva 2000/36/CE del Parlamento europeo e del Consiglio, del 23 giugno 2000, relativa ai prodotti di cacao e di cioccolato destinati all'alimentazione umana, GU L 197 del 3.8.2000, pag. 19.</w:t>
      </w:r>
    </w:p>
  </w:footnote>
  <w:footnote w:id="2">
    <w:p>
      <w:pPr>
        <w:pStyle w:val="Footnote1"/>
      </w:pPr>
      <w:r>
        <w:rPr>
          <w:rStyle w:val="FootnoteReference"/>
        </w:rPr>
        <w:footnoteRef/>
      </w:r>
      <w:r>
        <w:tab/>
        <w:t>Direttiva 2001/110/CE del Consiglio, del 20 dicembre 2001, concernente il miele, GU L 10 del 12.1.2002, pag. 47.</w:t>
      </w:r>
    </w:p>
  </w:footnote>
  <w:footnote w:id="3">
    <w:p>
      <w:pPr>
        <w:pStyle w:val="Footnote1"/>
        <w:spacing w:after="0"/>
      </w:pPr>
      <w:r>
        <w:rPr>
          <w:rStyle w:val="FootnoteReference"/>
        </w:rPr>
        <w:footnoteRef/>
      </w:r>
      <w:r>
        <w:tab/>
        <w:t>Direttiva 2001/111/CE del Consiglio, del 20 dicembre 2001, relativa a determinati tipi di zucchero destinati all'alimentazione umana, GU L 10 del 12.1.2002, pag. 53.</w:t>
      </w:r>
    </w:p>
  </w:footnote>
  <w:footnote w:id="4">
    <w:p>
      <w:pPr>
        <w:pStyle w:val="Footnote1"/>
      </w:pPr>
      <w:r>
        <w:rPr>
          <w:rStyle w:val="FootnoteReference"/>
        </w:rPr>
        <w:footnoteRef/>
      </w:r>
      <w:r>
        <w:tab/>
        <w:t>Direttiva 2001/112/CE del Consiglio, del 20 dicembre 2001, concernente i succhi di frutta e altri prodotti analoghi destinati all'alimentazione umana, GU L 10 del 12.1.2002, pag. 58.</w:t>
      </w:r>
    </w:p>
  </w:footnote>
  <w:footnote w:id="5">
    <w:p>
      <w:pPr>
        <w:pStyle w:val="Footnote1"/>
      </w:pPr>
      <w:r>
        <w:rPr>
          <w:rStyle w:val="FootnoteReference"/>
        </w:rPr>
        <w:footnoteRef/>
      </w:r>
      <w:r>
        <w:tab/>
        <w:t>Regolamento delegato (UE) n. 1040/2014 della Commissione, del 25 luglio 2014, che modifica la direttiva 2001/112/CE concernente i succhi di frutta e altri prodotti analoghi destinati all'alimentazione umana per adeguarne l'allegato I al progresso tecnico, GU L 288 del 2.10.2014, pag. 1.</w:t>
      </w:r>
    </w:p>
  </w:footnote>
  <w:footnote w:id="6">
    <w:p>
      <w:pPr>
        <w:pStyle w:val="FootnoteText"/>
      </w:pPr>
      <w:r>
        <w:rPr>
          <w:rStyle w:val="FootnoteReference"/>
        </w:rPr>
        <w:footnoteRef/>
      </w:r>
      <w:r>
        <w:tab/>
        <w:t>Intesa comune sugli atti delegati a partire dal 2011 (non pubblicata).</w:t>
      </w:r>
    </w:p>
  </w:footnote>
  <w:footnote w:id="7">
    <w:p>
      <w:pPr>
        <w:pStyle w:val="FootnoteText"/>
      </w:pPr>
      <w:r>
        <w:rPr>
          <w:rStyle w:val="FootnoteReference"/>
        </w:rPr>
        <w:footnoteRef/>
      </w:r>
      <w:r>
        <w:tab/>
        <w:t>Direttiva 2001/113/CE del Consiglio, del 20 dicembre 2001, relativa alle confetture, gelatine e marmellate di frutta e alla crema di marroni destinate all'alimentazione umana, GU L 10 del 12.1.2002, pag.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AC6"/>
    <w:multiLevelType w:val="multilevel"/>
    <w:tmpl w:val="FF2AA9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7225C5"/>
    <w:multiLevelType w:val="multilevel"/>
    <w:tmpl w:val="707CD0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0B41A3"/>
    <w:multiLevelType w:val="hybridMultilevel"/>
    <w:tmpl w:val="FE46510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C653E58"/>
    <w:multiLevelType w:val="hybridMultilevel"/>
    <w:tmpl w:val="0DDE5CA6"/>
    <w:lvl w:ilvl="0" w:tplc="06321D7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6707DA8"/>
    <w:multiLevelType w:val="hybridMultilevel"/>
    <w:tmpl w:val="39304FF4"/>
    <w:lvl w:ilvl="0" w:tplc="895E5EE0">
      <w:start w:val="1"/>
      <w:numFmt w:val="lowerRoman"/>
      <w:lvlText w:val="(%1)"/>
      <w:lvlJc w:val="left"/>
      <w:pPr>
        <w:ind w:left="1060" w:hanging="72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nsid w:val="270350CD"/>
    <w:multiLevelType w:val="hybridMultilevel"/>
    <w:tmpl w:val="69208A2C"/>
    <w:lvl w:ilvl="0" w:tplc="15F0DA12">
      <w:start w:val="1"/>
      <w:numFmt w:val="decimal"/>
      <w:lvlText w:val="%1."/>
      <w:lvlJc w:val="left"/>
      <w:pPr>
        <w:ind w:left="735" w:hanging="37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8CB1D1E"/>
    <w:multiLevelType w:val="hybridMultilevel"/>
    <w:tmpl w:val="97EE051E"/>
    <w:lvl w:ilvl="0" w:tplc="5C18841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E4B1C5C"/>
    <w:multiLevelType w:val="hybridMultilevel"/>
    <w:tmpl w:val="B78041F0"/>
    <w:lvl w:ilvl="0" w:tplc="EFEE19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5DD1A6C"/>
    <w:multiLevelType w:val="hybridMultilevel"/>
    <w:tmpl w:val="4D10B944"/>
    <w:lvl w:ilvl="0" w:tplc="D178949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B184E11"/>
    <w:multiLevelType w:val="hybridMultilevel"/>
    <w:tmpl w:val="04D25B18"/>
    <w:lvl w:ilvl="0" w:tplc="0D8621C2">
      <w:start w:val="1"/>
      <w:numFmt w:val="decimal"/>
      <w:lvlText w:val="%1)"/>
      <w:lvlJc w:val="left"/>
      <w:pPr>
        <w:ind w:left="2061"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49137BD"/>
    <w:multiLevelType w:val="hybridMultilevel"/>
    <w:tmpl w:val="362CB0A8"/>
    <w:lvl w:ilvl="0" w:tplc="D408F558">
      <w:start w:val="1"/>
      <w:numFmt w:val="upperLetter"/>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A864574"/>
    <w:multiLevelType w:val="hybridMultilevel"/>
    <w:tmpl w:val="7116CE70"/>
    <w:lvl w:ilvl="0" w:tplc="B73851C2">
      <w:start w:val="1"/>
      <w:numFmt w:val="lowerLetter"/>
      <w:pStyle w:val="Listparagraph2"/>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512A6E81"/>
    <w:multiLevelType w:val="hybridMultilevel"/>
    <w:tmpl w:val="3160A75A"/>
    <w:lvl w:ilvl="0" w:tplc="080C0011">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55DD3630"/>
    <w:multiLevelType w:val="hybridMultilevel"/>
    <w:tmpl w:val="793674A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09B5D0C"/>
    <w:multiLevelType w:val="hybridMultilevel"/>
    <w:tmpl w:val="C960FC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76E7A42"/>
    <w:multiLevelType w:val="hybridMultilevel"/>
    <w:tmpl w:val="20A603A0"/>
    <w:lvl w:ilvl="0" w:tplc="4DEE244E">
      <w:start w:val="1"/>
      <w:numFmt w:val="upperLetter"/>
      <w:lvlText w:val="%1)"/>
      <w:lvlJc w:val="left"/>
      <w:pPr>
        <w:ind w:left="720" w:hanging="360"/>
      </w:pPr>
      <w:rPr>
        <w:rFonts w:ascii="Times New Roman" w:eastAsiaTheme="minorHAnsi"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C0762BB"/>
    <w:multiLevelType w:val="hybridMultilevel"/>
    <w:tmpl w:val="1D42E50C"/>
    <w:lvl w:ilvl="0" w:tplc="056C4778">
      <w:start w:val="1"/>
      <w:numFmt w:val="upperLetter"/>
      <w:lvlText w:val="(%1)"/>
      <w:lvlJc w:val="left"/>
      <w:pPr>
        <w:ind w:left="2080" w:hanging="360"/>
      </w:pPr>
      <w:rPr>
        <w:rFonts w:hint="default"/>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17">
    <w:nsid w:val="7C65145E"/>
    <w:multiLevelType w:val="multilevel"/>
    <w:tmpl w:val="D3944FC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18">
    <w:nsid w:val="7DAC792C"/>
    <w:multiLevelType w:val="multilevel"/>
    <w:tmpl w:val="707CD0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7"/>
    <w:lvlOverride w:ilvl="0">
      <w:startOverride w:val="3"/>
    </w:lvlOverride>
    <w:lvlOverride w:ilvl="1">
      <w:startOverride w:val="1"/>
    </w:lvlOverride>
  </w:num>
  <w:num w:numId="3">
    <w:abstractNumId w:val="9"/>
  </w:num>
  <w:num w:numId="4">
    <w:abstractNumId w:val="17"/>
    <w:lvlOverride w:ilvl="0">
      <w:startOverride w:val="2"/>
    </w:lvlOverride>
    <w:lvlOverride w:ilvl="1">
      <w:startOverride w:val="4"/>
    </w:lvlOverride>
  </w:num>
  <w:num w:numId="5">
    <w:abstractNumId w:val="12"/>
  </w:num>
  <w:num w:numId="6">
    <w:abstractNumId w:val="1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6"/>
  </w:num>
  <w:num w:numId="32">
    <w:abstractNumId w:val="16"/>
    <w:lvlOverride w:ilvl="0">
      <w:lvl w:ilvl="0" w:tplc="056C4778">
        <w:start w:val="1"/>
        <w:numFmt w:val="upperLetter"/>
        <w:lvlText w:val="(%1)"/>
        <w:lvlJc w:val="left"/>
        <w:pPr>
          <w:ind w:left="1021" w:hanging="681"/>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4"/>
  </w:num>
  <w:num w:numId="34">
    <w:abstractNumId w:val="14"/>
  </w:num>
  <w:num w:numId="35">
    <w:abstractNumId w:val="2"/>
  </w:num>
  <w:num w:numId="36">
    <w:abstractNumId w:val="5"/>
  </w:num>
  <w:num w:numId="37">
    <w:abstractNumId w:val="15"/>
  </w:num>
  <w:num w:numId="38">
    <w:abstractNumId w:val="8"/>
  </w:num>
  <w:num w:numId="39">
    <w:abstractNumId w:val="3"/>
  </w:num>
  <w:num w:numId="40">
    <w:abstractNumId w:val="7"/>
  </w:num>
  <w:num w:numId="41">
    <w:abstractNumId w:val="13"/>
  </w:num>
  <w:num w:numId="42">
    <w:abstractNumId w:val="6"/>
  </w:num>
  <w:num w:numId="43">
    <w:abstractNumId w:val="0"/>
  </w:num>
  <w:num w:numId="44">
    <w:abstractNumId w:val="1"/>
  </w:num>
  <w:num w:numId="45">
    <w:abstractNumId w:val="17"/>
  </w:num>
  <w:num w:numId="4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revisionView w:markup="0"/>
  <w:defaultTabStop w:val="51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C51E23E-54EC-4BC3-B946-FD6A2B989EE7"/>
    <w:docVar w:name="LW_COVERPAGE_TYPE" w:val="1"/>
    <w:docVar w:name="LW_CROSSREFERENCE" w:val="&lt;UNUSED&gt;"/>
    <w:docVar w:name="LW_DocType" w:val="NORMAL"/>
    <w:docVar w:name="LW_EMISSION" w:val="27.9.2019"/>
    <w:docVar w:name="LW_EMISSION_ISODATE" w:val="2019-09-27"/>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4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ull&lt;/FMT&gt;&lt;FMT:Font=Calibri,Bold&gt;'&lt;/FMT&gt;&lt;FMT:Bold&gt;esercizio del potere di adottare atti delegati conferito alla Commissione a norma della direttiva 2000/36/CE del Parlamento europeo e del Consiglio, del 23 giugno 2000, relativa ai prodotti di cacao e di cioccolato destinati all'alimentazione umana, della direttiva 2001/110/CE del Consiglio, del 20 dicembre 2001, concernente il miele, della direttiva 2001/111/CE del Consiglio, del 20 dicembre 2001, relativa a determinati tipi di zucchero destinati all'alimentazione umana, della direttiva 2001/112/CE del Consiglio, del 20 dicembre 2001, concernente i succhi di frutta e altri prodotti analoghi destinati all'alimentazione umana e della direttiva 2001/113/CE del Consiglio, del 20 dicembre 2001, relativa alle confetture, gelatine e marmellate di frutta e alla crema di marroni destinate all'alimentazione umana&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it-IT"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it-IT"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it-IT"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it-IT"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it-IT"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it-IT"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it-IT"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it-IT"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it-IT"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it-IT"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19"/>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it-IT"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it-IT"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it-IT"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it-IT"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it-IT"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it-IT"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it-IT"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it-IT"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it-IT"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it-IT"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19"/>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022">
      <w:bodyDiv w:val="1"/>
      <w:marLeft w:val="0"/>
      <w:marRight w:val="0"/>
      <w:marTop w:val="0"/>
      <w:marBottom w:val="0"/>
      <w:divBdr>
        <w:top w:val="none" w:sz="0" w:space="0" w:color="auto"/>
        <w:left w:val="none" w:sz="0" w:space="0" w:color="auto"/>
        <w:bottom w:val="none" w:sz="0" w:space="0" w:color="auto"/>
        <w:right w:val="none" w:sz="0" w:space="0" w:color="auto"/>
      </w:divBdr>
    </w:div>
    <w:div w:id="143283206">
      <w:bodyDiv w:val="1"/>
      <w:marLeft w:val="0"/>
      <w:marRight w:val="0"/>
      <w:marTop w:val="0"/>
      <w:marBottom w:val="0"/>
      <w:divBdr>
        <w:top w:val="none" w:sz="0" w:space="0" w:color="auto"/>
        <w:left w:val="none" w:sz="0" w:space="0" w:color="auto"/>
        <w:bottom w:val="none" w:sz="0" w:space="0" w:color="auto"/>
        <w:right w:val="none" w:sz="0" w:space="0" w:color="auto"/>
      </w:divBdr>
    </w:div>
    <w:div w:id="249893342">
      <w:bodyDiv w:val="1"/>
      <w:marLeft w:val="0"/>
      <w:marRight w:val="0"/>
      <w:marTop w:val="0"/>
      <w:marBottom w:val="0"/>
      <w:divBdr>
        <w:top w:val="none" w:sz="0" w:space="0" w:color="auto"/>
        <w:left w:val="none" w:sz="0" w:space="0" w:color="auto"/>
        <w:bottom w:val="none" w:sz="0" w:space="0" w:color="auto"/>
        <w:right w:val="none" w:sz="0" w:space="0" w:color="auto"/>
      </w:divBdr>
    </w:div>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301348404">
      <w:bodyDiv w:val="1"/>
      <w:marLeft w:val="0"/>
      <w:marRight w:val="0"/>
      <w:marTop w:val="0"/>
      <w:marBottom w:val="0"/>
      <w:divBdr>
        <w:top w:val="none" w:sz="0" w:space="0" w:color="auto"/>
        <w:left w:val="none" w:sz="0" w:space="0" w:color="auto"/>
        <w:bottom w:val="none" w:sz="0" w:space="0" w:color="auto"/>
        <w:right w:val="none" w:sz="0" w:space="0" w:color="auto"/>
      </w:divBdr>
    </w:div>
    <w:div w:id="480733929">
      <w:bodyDiv w:val="1"/>
      <w:marLeft w:val="0"/>
      <w:marRight w:val="0"/>
      <w:marTop w:val="0"/>
      <w:marBottom w:val="0"/>
      <w:divBdr>
        <w:top w:val="none" w:sz="0" w:space="0" w:color="auto"/>
        <w:left w:val="none" w:sz="0" w:space="0" w:color="auto"/>
        <w:bottom w:val="none" w:sz="0" w:space="0" w:color="auto"/>
        <w:right w:val="none" w:sz="0" w:space="0" w:color="auto"/>
      </w:divBdr>
    </w:div>
    <w:div w:id="547037916">
      <w:bodyDiv w:val="1"/>
      <w:marLeft w:val="0"/>
      <w:marRight w:val="0"/>
      <w:marTop w:val="0"/>
      <w:marBottom w:val="0"/>
      <w:divBdr>
        <w:top w:val="none" w:sz="0" w:space="0" w:color="auto"/>
        <w:left w:val="none" w:sz="0" w:space="0" w:color="auto"/>
        <w:bottom w:val="none" w:sz="0" w:space="0" w:color="auto"/>
        <w:right w:val="none" w:sz="0" w:space="0" w:color="auto"/>
      </w:divBdr>
    </w:div>
    <w:div w:id="562448767">
      <w:bodyDiv w:val="1"/>
      <w:marLeft w:val="0"/>
      <w:marRight w:val="0"/>
      <w:marTop w:val="0"/>
      <w:marBottom w:val="0"/>
      <w:divBdr>
        <w:top w:val="none" w:sz="0" w:space="0" w:color="auto"/>
        <w:left w:val="none" w:sz="0" w:space="0" w:color="auto"/>
        <w:bottom w:val="none" w:sz="0" w:space="0" w:color="auto"/>
        <w:right w:val="none" w:sz="0" w:space="0" w:color="auto"/>
      </w:divBdr>
    </w:div>
    <w:div w:id="723333485">
      <w:bodyDiv w:val="1"/>
      <w:marLeft w:val="0"/>
      <w:marRight w:val="0"/>
      <w:marTop w:val="0"/>
      <w:marBottom w:val="0"/>
      <w:divBdr>
        <w:top w:val="none" w:sz="0" w:space="0" w:color="auto"/>
        <w:left w:val="none" w:sz="0" w:space="0" w:color="auto"/>
        <w:bottom w:val="none" w:sz="0" w:space="0" w:color="auto"/>
        <w:right w:val="none" w:sz="0" w:space="0" w:color="auto"/>
      </w:divBdr>
    </w:div>
    <w:div w:id="809635024">
      <w:bodyDiv w:val="1"/>
      <w:marLeft w:val="0"/>
      <w:marRight w:val="0"/>
      <w:marTop w:val="0"/>
      <w:marBottom w:val="0"/>
      <w:divBdr>
        <w:top w:val="none" w:sz="0" w:space="0" w:color="auto"/>
        <w:left w:val="none" w:sz="0" w:space="0" w:color="auto"/>
        <w:bottom w:val="none" w:sz="0" w:space="0" w:color="auto"/>
        <w:right w:val="none" w:sz="0" w:space="0" w:color="auto"/>
      </w:divBdr>
    </w:div>
    <w:div w:id="947472201">
      <w:bodyDiv w:val="1"/>
      <w:marLeft w:val="0"/>
      <w:marRight w:val="0"/>
      <w:marTop w:val="0"/>
      <w:marBottom w:val="0"/>
      <w:divBdr>
        <w:top w:val="none" w:sz="0" w:space="0" w:color="auto"/>
        <w:left w:val="none" w:sz="0" w:space="0" w:color="auto"/>
        <w:bottom w:val="none" w:sz="0" w:space="0" w:color="auto"/>
        <w:right w:val="none" w:sz="0" w:space="0" w:color="auto"/>
      </w:divBdr>
    </w:div>
    <w:div w:id="1040663559">
      <w:bodyDiv w:val="1"/>
      <w:marLeft w:val="0"/>
      <w:marRight w:val="0"/>
      <w:marTop w:val="0"/>
      <w:marBottom w:val="0"/>
      <w:divBdr>
        <w:top w:val="none" w:sz="0" w:space="0" w:color="auto"/>
        <w:left w:val="none" w:sz="0" w:space="0" w:color="auto"/>
        <w:bottom w:val="none" w:sz="0" w:space="0" w:color="auto"/>
        <w:right w:val="none" w:sz="0" w:space="0" w:color="auto"/>
      </w:divBdr>
    </w:div>
    <w:div w:id="1076437404">
      <w:bodyDiv w:val="1"/>
      <w:marLeft w:val="0"/>
      <w:marRight w:val="0"/>
      <w:marTop w:val="0"/>
      <w:marBottom w:val="0"/>
      <w:divBdr>
        <w:top w:val="none" w:sz="0" w:space="0" w:color="auto"/>
        <w:left w:val="none" w:sz="0" w:space="0" w:color="auto"/>
        <w:bottom w:val="none" w:sz="0" w:space="0" w:color="auto"/>
        <w:right w:val="none" w:sz="0" w:space="0" w:color="auto"/>
      </w:divBdr>
    </w:div>
    <w:div w:id="1166357672">
      <w:bodyDiv w:val="1"/>
      <w:marLeft w:val="0"/>
      <w:marRight w:val="0"/>
      <w:marTop w:val="0"/>
      <w:marBottom w:val="0"/>
      <w:divBdr>
        <w:top w:val="none" w:sz="0" w:space="0" w:color="auto"/>
        <w:left w:val="none" w:sz="0" w:space="0" w:color="auto"/>
        <w:bottom w:val="none" w:sz="0" w:space="0" w:color="auto"/>
        <w:right w:val="none" w:sz="0" w:space="0" w:color="auto"/>
      </w:divBdr>
    </w:div>
    <w:div w:id="1209993406">
      <w:bodyDiv w:val="1"/>
      <w:marLeft w:val="0"/>
      <w:marRight w:val="0"/>
      <w:marTop w:val="0"/>
      <w:marBottom w:val="0"/>
      <w:divBdr>
        <w:top w:val="none" w:sz="0" w:space="0" w:color="auto"/>
        <w:left w:val="none" w:sz="0" w:space="0" w:color="auto"/>
        <w:bottom w:val="none" w:sz="0" w:space="0" w:color="auto"/>
        <w:right w:val="none" w:sz="0" w:space="0" w:color="auto"/>
      </w:divBdr>
    </w:div>
    <w:div w:id="1253708911">
      <w:bodyDiv w:val="1"/>
      <w:marLeft w:val="0"/>
      <w:marRight w:val="0"/>
      <w:marTop w:val="0"/>
      <w:marBottom w:val="0"/>
      <w:divBdr>
        <w:top w:val="none" w:sz="0" w:space="0" w:color="auto"/>
        <w:left w:val="none" w:sz="0" w:space="0" w:color="auto"/>
        <w:bottom w:val="none" w:sz="0" w:space="0" w:color="auto"/>
        <w:right w:val="none" w:sz="0" w:space="0" w:color="auto"/>
      </w:divBdr>
    </w:div>
    <w:div w:id="1453549185">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562137987">
      <w:bodyDiv w:val="1"/>
      <w:marLeft w:val="0"/>
      <w:marRight w:val="0"/>
      <w:marTop w:val="0"/>
      <w:marBottom w:val="0"/>
      <w:divBdr>
        <w:top w:val="none" w:sz="0" w:space="0" w:color="auto"/>
        <w:left w:val="none" w:sz="0" w:space="0" w:color="auto"/>
        <w:bottom w:val="none" w:sz="0" w:space="0" w:color="auto"/>
        <w:right w:val="none" w:sz="0" w:space="0" w:color="auto"/>
      </w:divBdr>
    </w:div>
    <w:div w:id="1654989388">
      <w:bodyDiv w:val="1"/>
      <w:marLeft w:val="0"/>
      <w:marRight w:val="0"/>
      <w:marTop w:val="0"/>
      <w:marBottom w:val="0"/>
      <w:divBdr>
        <w:top w:val="none" w:sz="0" w:space="0" w:color="auto"/>
        <w:left w:val="none" w:sz="0" w:space="0" w:color="auto"/>
        <w:bottom w:val="none" w:sz="0" w:space="0" w:color="auto"/>
        <w:right w:val="none" w:sz="0" w:space="0" w:color="auto"/>
      </w:divBdr>
    </w:div>
    <w:div w:id="1759206787">
      <w:bodyDiv w:val="1"/>
      <w:marLeft w:val="0"/>
      <w:marRight w:val="0"/>
      <w:marTop w:val="0"/>
      <w:marBottom w:val="0"/>
      <w:divBdr>
        <w:top w:val="none" w:sz="0" w:space="0" w:color="auto"/>
        <w:left w:val="none" w:sz="0" w:space="0" w:color="auto"/>
        <w:bottom w:val="none" w:sz="0" w:space="0" w:color="auto"/>
        <w:right w:val="none" w:sz="0" w:space="0" w:color="auto"/>
      </w:divBdr>
    </w:div>
    <w:div w:id="2129079946">
      <w:bodyDiv w:val="1"/>
      <w:marLeft w:val="0"/>
      <w:marRight w:val="0"/>
      <w:marTop w:val="0"/>
      <w:marBottom w:val="0"/>
      <w:divBdr>
        <w:top w:val="none" w:sz="0" w:space="0" w:color="auto"/>
        <w:left w:val="none" w:sz="0" w:space="0" w:color="auto"/>
        <w:bottom w:val="none" w:sz="0" w:space="0" w:color="auto"/>
        <w:right w:val="none" w:sz="0" w:space="0" w:color="auto"/>
      </w:divBdr>
    </w:div>
    <w:div w:id="213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16691D-734B-4824-B1F7-9953CB65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1991</Words>
  <Characters>11092</Characters>
  <Application>Microsoft Office Word</Application>
  <DocSecurity>0</DocSecurity>
  <Lines>198</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26</cp:revision>
  <cp:lastPrinted>2019-08-05T15:24:00Z</cp:lastPrinted>
  <dcterms:created xsi:type="dcterms:W3CDTF">2019-08-22T11:39:00Z</dcterms:created>
  <dcterms:modified xsi:type="dcterms:W3CDTF">2019-09-26T06:51:00Z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