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11B89D1D-FF49-497F-BE3F-1900F5105C28" style="width:450.25pt;height:348.1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p>
      <w:pPr>
        <w:keepNext/>
        <w:tabs>
          <w:tab w:val="left" w:pos="510"/>
        </w:tabs>
        <w:spacing w:before="48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2" w:name="_Toc15661684"/>
      <w:r>
        <w:rPr>
          <w:rFonts w:ascii="Times New Roman" w:hAnsi="Times New Roman"/>
          <w:b/>
          <w:smallCaps/>
          <w:noProof/>
          <w:sz w:val="24"/>
          <w:szCs w:val="24"/>
        </w:rPr>
        <w:t>Reglamento (UE) n.º 1144/2014 del Parlamento Europeo y del Consejo, sobre acciones de información y de promoción relativas a productos agrícolas en el mercado interior y en terceros países, y por el que se deroga el Reglamento (CE) n.º 3/2008 del Consejo</w:t>
      </w:r>
      <w:bookmarkEnd w:id="2"/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3" w:name="_Toc15661685"/>
      <w:r>
        <w:rPr>
          <w:rFonts w:ascii="Times New Roman" w:hAnsi="Times New Roman"/>
          <w:b/>
          <w:noProof/>
          <w:sz w:val="24"/>
          <w:szCs w:val="24"/>
        </w:rPr>
        <w:t>Introducción</w:t>
      </w:r>
      <w:bookmarkEnd w:id="3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 Reglamento (UE) n.º 1144/2014 del Parlamento Europeo y del Consejo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 xml:space="preserve"> establece las condiciones en que las acciones de información y de promoción relativas a los productos agrícolas y de determinados productos alimenticios a base de productos agrícolas, llevadas a cabo en el mercado interior o en terceros países, pueden ser financiadas, total o parcialmente, con cargo al presupuesto de la Unión.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 artículo 5, apartado 2, faculta a la Comisión para adoptar actos delegados, a fin de tener en cuenta la evolución del mercado, con los que se complemente la lista de productos que figura en el anexo I mediante la adición a la misma de productos alimenticios.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 artículo 7, apartado 2, otorga a la Comisión poderes para adoptar actos delegados en los que se establezcan las condiciones específicas en las que cada una de las entidades, organizaciones y organismos proponentes pueda presentar un programa. Dichas condiciones garantizarán, en particular, que las entidades, las organizaciones y los organismos mencionados sean representativos y que el programa sea de una envergadura significativa.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 El artículo 11, apartado 1, faculta a la Comisión para adoptar actos delegados en los que se establezcan las condiciones específicas de elegibilidad en relación con los programas simples.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 artículo 13, apartado 1, faculta a la Comisión para adoptar actos delegados en los que se determinen las condiciones por las que se rige el procedimiento competitivo para la selección de los organismos de ejecución.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 artículo 15, apartado 8, faculta a la Comisión para adoptar actos delegados en los que se determinen las condiciones específicas en las que los costes de las acciones de información y de promoción y, en caso necesario, los costes administrativos y de personal, son subvencionables con fondos de la Unión.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 artículo 29, apartado 2, faculta a la Comisión para adoptar actos delegados para garantizar una transición fluida entre la aplicación del Reglamento (CE) n.º 3/2008 y el Reglamento (UE) n.º 1144/2014.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4" w:name="_Toc15661686"/>
      <w:r>
        <w:rPr>
          <w:rFonts w:ascii="Times New Roman" w:hAnsi="Times New Roman"/>
          <w:b/>
          <w:noProof/>
          <w:sz w:val="24"/>
          <w:szCs w:val="24"/>
        </w:rPr>
        <w:t>Base jurídica</w:t>
      </w:r>
      <w:bookmarkEnd w:id="4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El informe responde a la obligación establecida en el artículo 22, apartado 2. Los poderes para adoptar actos delegados mencionados en el artículo 5, apartado 2, el artículo 7, apartado 2, el </w:t>
      </w:r>
      <w:r>
        <w:rPr>
          <w:rFonts w:ascii="Times New Roman" w:hAnsi="Times New Roman"/>
          <w:noProof/>
          <w:sz w:val="24"/>
          <w:szCs w:val="24"/>
        </w:rPr>
        <w:lastRenderedPageBreak/>
        <w:t>artículo 11, apartado 1, el artículo 13, apartado 1, el artículo 15, apartado 8, y el artículo 29, apartado 2, se otorgan a la Comisión por un período de cinco años a partir del 24 de noviembre de 2014. La Comisión elaborará un informe sobre la delegación de poderes a más tardar nueve meses antes de que finalice el período de cinco años. La delegación de poderes se prorroga tácitamente por períodos de idéntica duración, excepto si el Parlamento Europeo o el Consejo se oponen a dicha prórroga a más tardar tres meses antes del final de cada período.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5" w:name="_Toc15661687"/>
      <w:r>
        <w:rPr>
          <w:rFonts w:ascii="Times New Roman" w:hAnsi="Times New Roman"/>
          <w:b/>
          <w:noProof/>
          <w:sz w:val="24"/>
          <w:szCs w:val="24"/>
        </w:rPr>
        <w:t>Ejercicio de la delegación</w:t>
      </w:r>
      <w:bookmarkEnd w:id="5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La Comisión ha adoptado un acto delegado sobre la base del artículo 7, apartado 2, el artículo 11, apartado 1, el artículo 13, apartado 1, y el artículo 15, apartado 8: el </w:t>
      </w:r>
      <w:r>
        <w:rPr>
          <w:rFonts w:ascii="Times New Roman" w:hAnsi="Times New Roman"/>
          <w:b/>
          <w:bCs/>
          <w:noProof/>
          <w:sz w:val="24"/>
          <w:szCs w:val="24"/>
        </w:rPr>
        <w:t>Reglamento Delegado (UE) 2015/1829 de la Comisión</w:t>
      </w:r>
      <w:r>
        <w:rPr>
          <w:rFonts w:ascii="Times New Roman" w:hAnsi="Times New Roman" w:cs="Times New Roman"/>
          <w:noProof/>
          <w:color w:val="444444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Este acto delegado establece las condiciones para la presentación de programas simples y múltiples por las organizaciones proponentes, incluido el requisito de que dichas organizaciones sean representativas del sector o del producto de que se trate. Para ser subvencionables, los programas simples deben ser de cierta importancia y especificarse más detalladamente. También precisa los criterios para la selección de los organismos encargados de la ejecución de los programas simples y define los costes subvencionables.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En consonancia con el Acuerdo común sobre actos delegados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eastAsia="en-GB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 xml:space="preserve">, los expertos de los Estados miembros fueron consultados en el ámbito del Grupo de expertos para los asuntos horizontales relativos a la PAC - subgrupo de simplificación. El 13 de abril de 2015, la Comisión adoptó el Reglamento Delegado (UE) 2015/1829 y lo notificó al Parlamento Europeo y al Consejo. Ni el Parlamento Europeo ni el Consejo formularon objeciones al Reglamento Delegado. Tras la expiración del período de dos meses, el Reglamento Delegado (UE) 2015/1829 de la Comisión se publicó en el </w:t>
      </w:r>
      <w:r>
        <w:rPr>
          <w:rFonts w:ascii="Times New Roman" w:hAnsi="Times New Roman"/>
          <w:i/>
          <w:iCs/>
          <w:noProof/>
          <w:sz w:val="24"/>
          <w:szCs w:val="24"/>
        </w:rPr>
        <w:t>Diario Oficial de la Unión Europea</w:t>
      </w:r>
      <w:r>
        <w:rPr>
          <w:rFonts w:ascii="Times New Roman" w:hAnsi="Times New Roman"/>
          <w:noProof/>
          <w:sz w:val="24"/>
          <w:szCs w:val="24"/>
        </w:rPr>
        <w:t xml:space="preserve"> L 266 de 13 de octubre de 2015 y entró en vigor el 20 de octubre de 2015.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Las delegaciones de poderes del artículo 5, apartado 2, y del artículo 29, apartado 2, no se han utilizado ya que la Comisión no constató la necesidad de añadir alimentos a la lista de productos del anexo I, ni de establecer normas transitorias entre el antiguo y el nuevo Reglamento.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La Comisión no tiene previsto utilizar la delegación de poderes en un futuro próximo, pero no puede excluirse que sea necesario. 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6" w:name="_Toc15661688"/>
      <w:r>
        <w:rPr>
          <w:rFonts w:ascii="Times New Roman" w:hAnsi="Times New Roman"/>
          <w:b/>
          <w:noProof/>
          <w:sz w:val="24"/>
          <w:szCs w:val="24"/>
        </w:rPr>
        <w:t>Conclusiones</w:t>
      </w:r>
      <w:bookmarkEnd w:id="6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La Comisión ha ejercido correctamente sus poderes delegados.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 puede excluirse que la delegación de poderes sea necesaria en el futuro.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La Comisión invita al Parlamento Europeo y al Consejo a tomar nota del presente informe.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4403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1"/>
      </w:pPr>
      <w:r>
        <w:rPr>
          <w:rStyle w:val="FootnoteReference"/>
        </w:rPr>
        <w:footnoteRef/>
      </w:r>
      <w:r>
        <w:tab/>
        <w:t>Reglamento (UE) n.º 1144/2014 del Parlamento Europeo y del Consejo, de 22 de octubre de 2014, sobre acciones de información y de promoción relativas a productos agrícolas en el mercado interior y en terceros países, y por el que se deroga el Reglamento (CE) n.º 3/2008 del Consejo, DO L 317 de 4.11.2014, p. 56.</w:t>
      </w:r>
    </w:p>
  </w:footnote>
  <w:footnote w:id="2">
    <w:p>
      <w:pPr>
        <w:pStyle w:val="Footnote1"/>
      </w:pPr>
      <w:r>
        <w:rPr>
          <w:rStyle w:val="FootnoteReference"/>
        </w:rPr>
        <w:footnoteRef/>
      </w:r>
      <w:r>
        <w:tab/>
        <w:t>Reglamento Delegado (UE) 2015/1829 de la Comisión, de 23 de abril de 2015, que completa el Reglamento (UE) n.º 1144/2014 del Parlamento Europeo y del Consejo, sobre acciones de información y de promoción relativas a productos agrícolas en el mercado interior y en terceros países, DO L 266 de 13.10.2015, p. 3.</w:t>
      </w:r>
    </w:p>
  </w:footnote>
  <w:footnote w:id="3">
    <w:p>
      <w:pPr>
        <w:pStyle w:val="FootnoteText"/>
        <w:ind w:left="454" w:hanging="454"/>
      </w:pPr>
      <w:r>
        <w:rPr>
          <w:rStyle w:val="FootnoteReference"/>
        </w:rPr>
        <w:footnoteRef/>
      </w:r>
      <w:r>
        <w:tab/>
        <w:t>Acuerdo común sobre actos delegados de 2011 (no publicado).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AC6"/>
    <w:multiLevelType w:val="multilevel"/>
    <w:tmpl w:val="FF2AA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7225C5"/>
    <w:multiLevelType w:val="multilevel"/>
    <w:tmpl w:val="707CD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0B41A3"/>
    <w:multiLevelType w:val="hybridMultilevel"/>
    <w:tmpl w:val="FE4651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E58"/>
    <w:multiLevelType w:val="hybridMultilevel"/>
    <w:tmpl w:val="0DDE5CA6"/>
    <w:lvl w:ilvl="0" w:tplc="06321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DA8"/>
    <w:multiLevelType w:val="hybridMultilevel"/>
    <w:tmpl w:val="39304FF4"/>
    <w:lvl w:ilvl="0" w:tplc="895E5EE0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70350CD"/>
    <w:multiLevelType w:val="hybridMultilevel"/>
    <w:tmpl w:val="69208A2C"/>
    <w:lvl w:ilvl="0" w:tplc="15F0D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B1D1E"/>
    <w:multiLevelType w:val="hybridMultilevel"/>
    <w:tmpl w:val="97EE051E"/>
    <w:lvl w:ilvl="0" w:tplc="5C188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1C5C"/>
    <w:multiLevelType w:val="hybridMultilevel"/>
    <w:tmpl w:val="B78041F0"/>
    <w:lvl w:ilvl="0" w:tplc="EFEE1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A6C"/>
    <w:multiLevelType w:val="hybridMultilevel"/>
    <w:tmpl w:val="4D10B944"/>
    <w:lvl w:ilvl="0" w:tplc="D1789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E11"/>
    <w:multiLevelType w:val="hybridMultilevel"/>
    <w:tmpl w:val="04D25B18"/>
    <w:lvl w:ilvl="0" w:tplc="0D8621C2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37BD"/>
    <w:multiLevelType w:val="hybridMultilevel"/>
    <w:tmpl w:val="362CB0A8"/>
    <w:lvl w:ilvl="0" w:tplc="D408F5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4574"/>
    <w:multiLevelType w:val="hybridMultilevel"/>
    <w:tmpl w:val="7116CE70"/>
    <w:lvl w:ilvl="0" w:tplc="B73851C2">
      <w:start w:val="1"/>
      <w:numFmt w:val="lowerLetter"/>
      <w:pStyle w:val="Listparagraph2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A6E81"/>
    <w:multiLevelType w:val="hybridMultilevel"/>
    <w:tmpl w:val="3160A75A"/>
    <w:lvl w:ilvl="0" w:tplc="08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D3630"/>
    <w:multiLevelType w:val="hybridMultilevel"/>
    <w:tmpl w:val="793674A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B5D0C"/>
    <w:multiLevelType w:val="hybridMultilevel"/>
    <w:tmpl w:val="C960FC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E7A42"/>
    <w:multiLevelType w:val="hybridMultilevel"/>
    <w:tmpl w:val="20A603A0"/>
    <w:lvl w:ilvl="0" w:tplc="4DEE244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762BB"/>
    <w:multiLevelType w:val="hybridMultilevel"/>
    <w:tmpl w:val="1D42E50C"/>
    <w:lvl w:ilvl="0" w:tplc="056C4778">
      <w:start w:val="1"/>
      <w:numFmt w:val="upperLetter"/>
      <w:lvlText w:val="(%1)"/>
      <w:lvlJc w:val="left"/>
      <w:pPr>
        <w:ind w:left="2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0" w:hanging="360"/>
      </w:pPr>
    </w:lvl>
    <w:lvl w:ilvl="2" w:tplc="0809001B" w:tentative="1">
      <w:start w:val="1"/>
      <w:numFmt w:val="lowerRoman"/>
      <w:lvlText w:val="%3."/>
      <w:lvlJc w:val="right"/>
      <w:pPr>
        <w:ind w:left="3520" w:hanging="180"/>
      </w:pPr>
    </w:lvl>
    <w:lvl w:ilvl="3" w:tplc="0809000F" w:tentative="1">
      <w:start w:val="1"/>
      <w:numFmt w:val="decimal"/>
      <w:lvlText w:val="%4."/>
      <w:lvlJc w:val="left"/>
      <w:pPr>
        <w:ind w:left="4240" w:hanging="360"/>
      </w:pPr>
    </w:lvl>
    <w:lvl w:ilvl="4" w:tplc="08090019" w:tentative="1">
      <w:start w:val="1"/>
      <w:numFmt w:val="lowerLetter"/>
      <w:lvlText w:val="%5."/>
      <w:lvlJc w:val="left"/>
      <w:pPr>
        <w:ind w:left="4960" w:hanging="360"/>
      </w:pPr>
    </w:lvl>
    <w:lvl w:ilvl="5" w:tplc="0809001B" w:tentative="1">
      <w:start w:val="1"/>
      <w:numFmt w:val="lowerRoman"/>
      <w:lvlText w:val="%6."/>
      <w:lvlJc w:val="right"/>
      <w:pPr>
        <w:ind w:left="5680" w:hanging="180"/>
      </w:pPr>
    </w:lvl>
    <w:lvl w:ilvl="6" w:tplc="0809000F" w:tentative="1">
      <w:start w:val="1"/>
      <w:numFmt w:val="decimal"/>
      <w:lvlText w:val="%7."/>
      <w:lvlJc w:val="left"/>
      <w:pPr>
        <w:ind w:left="6400" w:hanging="360"/>
      </w:pPr>
    </w:lvl>
    <w:lvl w:ilvl="7" w:tplc="08090019" w:tentative="1">
      <w:start w:val="1"/>
      <w:numFmt w:val="lowerLetter"/>
      <w:lvlText w:val="%8."/>
      <w:lvlJc w:val="left"/>
      <w:pPr>
        <w:ind w:left="7120" w:hanging="360"/>
      </w:pPr>
    </w:lvl>
    <w:lvl w:ilvl="8" w:tplc="08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7">
    <w:nsid w:val="7C65145E"/>
    <w:multiLevelType w:val="multilevel"/>
    <w:tmpl w:val="D3944FC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18">
    <w:nsid w:val="7DAC792C"/>
    <w:multiLevelType w:val="multilevel"/>
    <w:tmpl w:val="707CD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3"/>
    </w:lvlOverride>
    <w:lvlOverride w:ilvl="1">
      <w:startOverride w:val="1"/>
    </w:lvlOverride>
  </w:num>
  <w:num w:numId="3">
    <w:abstractNumId w:val="9"/>
  </w:num>
  <w:num w:numId="4">
    <w:abstractNumId w:val="17"/>
    <w:lvlOverride w:ilvl="0">
      <w:startOverride w:val="2"/>
    </w:lvlOverride>
    <w:lvlOverride w:ilvl="1">
      <w:startOverride w:val="4"/>
    </w:lvlOverride>
  </w:num>
  <w:num w:numId="5">
    <w:abstractNumId w:val="12"/>
  </w:num>
  <w:num w:numId="6">
    <w:abstractNumId w:val="10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6"/>
  </w:num>
  <w:num w:numId="32">
    <w:abstractNumId w:val="16"/>
    <w:lvlOverride w:ilvl="0">
      <w:lvl w:ilvl="0" w:tplc="056C4778">
        <w:start w:val="1"/>
        <w:numFmt w:val="upperLetter"/>
        <w:lvlText w:val="(%1)"/>
        <w:lvlJc w:val="left"/>
        <w:pPr>
          <w:ind w:left="1021" w:hanging="681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4"/>
  </w:num>
  <w:num w:numId="34">
    <w:abstractNumId w:val="14"/>
  </w:num>
  <w:num w:numId="35">
    <w:abstractNumId w:val="2"/>
  </w:num>
  <w:num w:numId="36">
    <w:abstractNumId w:val="5"/>
  </w:num>
  <w:num w:numId="37">
    <w:abstractNumId w:val="15"/>
  </w:num>
  <w:num w:numId="38">
    <w:abstractNumId w:val="8"/>
  </w:num>
  <w:num w:numId="39">
    <w:abstractNumId w:val="3"/>
  </w:num>
  <w:num w:numId="40">
    <w:abstractNumId w:val="7"/>
  </w:num>
  <w:num w:numId="41">
    <w:abstractNumId w:val="13"/>
  </w:num>
  <w:num w:numId="42">
    <w:abstractNumId w:val="6"/>
  </w:num>
  <w:num w:numId="43">
    <w:abstractNumId w:val="0"/>
  </w:num>
  <w:num w:numId="44">
    <w:abstractNumId w:val="1"/>
  </w:num>
  <w:num w:numId="45">
    <w:abstractNumId w:val="17"/>
  </w:num>
  <w:num w:numId="4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revisionView w:markup="0"/>
  <w:defaultTabStop w:val="51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11B89D1D-FF49-497F-BE3F-1900F5105C28"/>
    <w:docVar w:name="LW_COVERPAGE_TYPE" w:val="1"/>
    <w:docVar w:name="LW_CROSSREFERENCE" w:val="&lt;UNUSED&gt;"/>
    <w:docVar w:name="LW_DocType" w:val="NORMAL"/>
    <w:docVar w:name="LW_EMISSION" w:val="27.9.2019"/>
    <w:docVar w:name="LW_EMISSION_ISODATE" w:val="2019-09-27"/>
    <w:docVar w:name="LW_EMISSION_LOCATION" w:val="BRX"/>
    <w:docVar w:name="LW_EMISSION_PREFIX" w:val="Bruselas, "/>
    <w:docVar w:name="LW_EMISSION_SUFFIX" w:val=" "/>
    <w:docVar w:name="LW_ID_DOCTYPE_NONLW" w:val="CP-006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Sobre el ejercicio de la facultad para adoptar actos delegados otorgada a la Comisión con arreglo al Reglamento (UE) n.º 1144/2014 del Parlamento Europeo y del Consejo, de 22 de octubre de 2014, sobre acciones de información y de promoción relativas a productos agrícolas en el mercado interior y en terceros países, y por el que se deroga el Reglamento (CE) n.º 3/2008 del Consejo"/>
    <w:docVar w:name="LW_TYPE.DOC.CP" w:val="INFORME DE LA COMISIÓN AL PARLAMENTO EUROPEO Y A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0"/>
    <w:qFormat/>
    <w:pPr>
      <w:keepNext/>
      <w:numPr>
        <w:numId w:val="1"/>
      </w:numPr>
      <w:tabs>
        <w:tab w:val="left" w:pos="510"/>
      </w:tabs>
      <w:spacing w:before="480" w:after="120" w:line="264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0"/>
    <w:qFormat/>
    <w:pPr>
      <w:keepNext/>
      <w:numPr>
        <w:ilvl w:val="1"/>
        <w:numId w:val="1"/>
      </w:numPr>
      <w:tabs>
        <w:tab w:val="left" w:pos="737"/>
      </w:tabs>
      <w:spacing w:before="420" w:after="120" w:line="264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0"/>
    <w:qFormat/>
    <w:pPr>
      <w:keepNext/>
      <w:numPr>
        <w:ilvl w:val="2"/>
        <w:numId w:val="1"/>
      </w:numPr>
      <w:tabs>
        <w:tab w:val="left" w:pos="935"/>
      </w:tabs>
      <w:spacing w:before="360" w:after="120" w:line="264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numPr>
        <w:ilvl w:val="3"/>
        <w:numId w:val="1"/>
      </w:numPr>
      <w:tabs>
        <w:tab w:val="left" w:pos="1049"/>
      </w:tabs>
      <w:spacing w:before="360" w:after="120" w:line="264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pPr>
      <w:keepNext/>
      <w:numPr>
        <w:ilvl w:val="4"/>
        <w:numId w:val="1"/>
      </w:numPr>
      <w:spacing w:after="120" w:line="264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pPr>
      <w:keepNext/>
      <w:numPr>
        <w:ilvl w:val="5"/>
        <w:numId w:val="1"/>
      </w:numPr>
      <w:spacing w:after="120" w:line="264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pPr>
      <w:keepNext/>
      <w:numPr>
        <w:ilvl w:val="6"/>
        <w:numId w:val="1"/>
      </w:numPr>
      <w:spacing w:after="120" w:line="264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pPr>
      <w:keepNext/>
      <w:numPr>
        <w:ilvl w:val="7"/>
        <w:numId w:val="1"/>
      </w:numPr>
      <w:spacing w:after="120" w:line="264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pPr>
      <w:keepNext/>
      <w:numPr>
        <w:ilvl w:val="8"/>
        <w:numId w:val="1"/>
      </w:numPr>
      <w:spacing w:after="120" w:line="264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4"/>
      <w:lang w:val="es-ES" w:eastAsia="en-GB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6"/>
      <w:szCs w:val="20"/>
      <w:lang w:val="es-ES" w:eastAsia="en-GB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b/>
      <w:sz w:val="26"/>
      <w:szCs w:val="20"/>
      <w:lang w:val="es-ES" w:eastAsia="en-GB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b/>
      <w:szCs w:val="20"/>
      <w:lang w:val="es-ES" w:eastAsia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Cs w:val="20"/>
      <w:lang w:val="es-ES" w:eastAsia="en-GB"/>
    </w:rPr>
  </w:style>
  <w:style w:type="paragraph" w:styleId="FootnoteText">
    <w:name w:val="footnote text"/>
    <w:basedOn w:val="Normal"/>
    <w:link w:val="FootnoteTextChar"/>
    <w:semiHidden/>
    <w:pPr>
      <w:tabs>
        <w:tab w:val="left" w:pos="454"/>
      </w:tabs>
      <w:spacing w:after="120" w:line="264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397"/>
        <w:tab w:val="clear" w:pos="510"/>
        <w:tab w:val="left" w:pos="227"/>
      </w:tabs>
      <w:spacing w:before="0"/>
      <w:ind w:left="0" w:firstLine="0"/>
      <w:outlineLvl w:val="9"/>
    </w:pPr>
    <w:rPr>
      <w:b w:val="0"/>
      <w:smallCaps w:val="0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umpa">
    <w:name w:val="Num pa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expanded">
    <w:name w:val="expanded"/>
    <w:basedOn w:val="DefaultParagraphFont"/>
  </w:style>
  <w:style w:type="paragraph" w:customStyle="1" w:styleId="Normal2">
    <w:name w:val="Normal 2"/>
    <w:basedOn w:val="Numpa"/>
    <w:qFormat/>
    <w:pPr>
      <w:tabs>
        <w:tab w:val="left" w:pos="340"/>
        <w:tab w:val="left" w:pos="510"/>
        <w:tab w:val="left" w:pos="102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 2"/>
    <w:basedOn w:val="ListParagraph"/>
    <w:qFormat/>
    <w:pPr>
      <w:numPr>
        <w:numId w:val="19"/>
      </w:numPr>
      <w:tabs>
        <w:tab w:val="left" w:pos="340"/>
        <w:tab w:val="left" w:pos="510"/>
        <w:tab w:val="left" w:pos="1021"/>
      </w:tabs>
      <w:spacing w:after="12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ootnote1">
    <w:name w:val="Footnote 1"/>
    <w:basedOn w:val="NormalWeb"/>
    <w:qFormat/>
    <w:pPr>
      <w:spacing w:before="0" w:beforeAutospacing="0" w:after="75" w:afterAutospacing="0"/>
      <w:ind w:left="454" w:hanging="454"/>
      <w:jc w:val="both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51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0"/>
    <w:qFormat/>
    <w:pPr>
      <w:keepNext/>
      <w:numPr>
        <w:numId w:val="1"/>
      </w:numPr>
      <w:tabs>
        <w:tab w:val="left" w:pos="510"/>
      </w:tabs>
      <w:spacing w:before="480" w:after="120" w:line="264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0"/>
    <w:qFormat/>
    <w:pPr>
      <w:keepNext/>
      <w:numPr>
        <w:ilvl w:val="1"/>
        <w:numId w:val="1"/>
      </w:numPr>
      <w:tabs>
        <w:tab w:val="left" w:pos="737"/>
      </w:tabs>
      <w:spacing w:before="420" w:after="120" w:line="264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0"/>
    <w:qFormat/>
    <w:pPr>
      <w:keepNext/>
      <w:numPr>
        <w:ilvl w:val="2"/>
        <w:numId w:val="1"/>
      </w:numPr>
      <w:tabs>
        <w:tab w:val="left" w:pos="935"/>
      </w:tabs>
      <w:spacing w:before="360" w:after="120" w:line="264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numPr>
        <w:ilvl w:val="3"/>
        <w:numId w:val="1"/>
      </w:numPr>
      <w:tabs>
        <w:tab w:val="left" w:pos="1049"/>
      </w:tabs>
      <w:spacing w:before="360" w:after="120" w:line="264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pPr>
      <w:keepNext/>
      <w:numPr>
        <w:ilvl w:val="4"/>
        <w:numId w:val="1"/>
      </w:numPr>
      <w:spacing w:after="120" w:line="264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pPr>
      <w:keepNext/>
      <w:numPr>
        <w:ilvl w:val="5"/>
        <w:numId w:val="1"/>
      </w:numPr>
      <w:spacing w:after="120" w:line="264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pPr>
      <w:keepNext/>
      <w:numPr>
        <w:ilvl w:val="6"/>
        <w:numId w:val="1"/>
      </w:numPr>
      <w:spacing w:after="120" w:line="264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pPr>
      <w:keepNext/>
      <w:numPr>
        <w:ilvl w:val="7"/>
        <w:numId w:val="1"/>
      </w:numPr>
      <w:spacing w:after="120" w:line="264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pPr>
      <w:keepNext/>
      <w:numPr>
        <w:ilvl w:val="8"/>
        <w:numId w:val="1"/>
      </w:numPr>
      <w:spacing w:after="120" w:line="264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4"/>
      <w:lang w:val="es-ES" w:eastAsia="en-GB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6"/>
      <w:szCs w:val="20"/>
      <w:lang w:val="es-ES" w:eastAsia="en-GB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b/>
      <w:sz w:val="26"/>
      <w:szCs w:val="20"/>
      <w:lang w:val="es-ES" w:eastAsia="en-GB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b/>
      <w:szCs w:val="20"/>
      <w:lang w:val="es-ES" w:eastAsia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Cs w:val="20"/>
      <w:lang w:val="es-ES" w:eastAsia="en-GB"/>
    </w:rPr>
  </w:style>
  <w:style w:type="paragraph" w:styleId="FootnoteText">
    <w:name w:val="footnote text"/>
    <w:basedOn w:val="Normal"/>
    <w:link w:val="FootnoteTextChar"/>
    <w:semiHidden/>
    <w:pPr>
      <w:tabs>
        <w:tab w:val="left" w:pos="454"/>
      </w:tabs>
      <w:spacing w:after="120" w:line="264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397"/>
        <w:tab w:val="clear" w:pos="510"/>
        <w:tab w:val="left" w:pos="227"/>
      </w:tabs>
      <w:spacing w:before="0"/>
      <w:ind w:left="0" w:firstLine="0"/>
      <w:outlineLvl w:val="9"/>
    </w:pPr>
    <w:rPr>
      <w:b w:val="0"/>
      <w:smallCaps w:val="0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umpa">
    <w:name w:val="Num pa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expanded">
    <w:name w:val="expanded"/>
    <w:basedOn w:val="DefaultParagraphFont"/>
  </w:style>
  <w:style w:type="paragraph" w:customStyle="1" w:styleId="Normal2">
    <w:name w:val="Normal 2"/>
    <w:basedOn w:val="Numpa"/>
    <w:qFormat/>
    <w:pPr>
      <w:tabs>
        <w:tab w:val="left" w:pos="340"/>
        <w:tab w:val="left" w:pos="510"/>
        <w:tab w:val="left" w:pos="102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 2"/>
    <w:basedOn w:val="ListParagraph"/>
    <w:qFormat/>
    <w:pPr>
      <w:numPr>
        <w:numId w:val="19"/>
      </w:numPr>
      <w:tabs>
        <w:tab w:val="left" w:pos="340"/>
        <w:tab w:val="left" w:pos="510"/>
        <w:tab w:val="left" w:pos="1021"/>
      </w:tabs>
      <w:spacing w:after="12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ootnote1">
    <w:name w:val="Footnote 1"/>
    <w:basedOn w:val="NormalWeb"/>
    <w:qFormat/>
    <w:pPr>
      <w:spacing w:before="0" w:beforeAutospacing="0" w:after="75" w:afterAutospacing="0"/>
      <w:ind w:left="454" w:hanging="454"/>
      <w:jc w:val="both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51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B60D7F-410D-47F8-9C88-09D0DE7B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839</Words>
  <Characters>4310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20</cp:revision>
  <cp:lastPrinted>2019-07-15T13:26:00Z</cp:lastPrinted>
  <dcterms:created xsi:type="dcterms:W3CDTF">2019-08-23T09:48:00Z</dcterms:created>
  <dcterms:modified xsi:type="dcterms:W3CDTF">2019-09-26T15:36:00Z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7.0, Build 20190717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  <property fmtid="{D5CDD505-2E9C-101B-9397-08002B2CF9AE}" pid="8" name="CPTemplateID">
    <vt:lpwstr>CP-006</vt:lpwstr>
  </property>
</Properties>
</file>