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C7F2D21-126B-48D8-918A-D00A7C39B9D8" style="width:450.45pt;height:347.9pt">
            <v:imagedata r:id="rId9" o:title=""/>
          </v:shape>
        </w:pict>
      </w:r>
    </w:p>
    <w:bookmarkEnd w:id="0"/>
    <w:p>
      <w:pPr>
        <w:rPr>
          <w:noProof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sz w:val="24"/>
          <w:szCs w:val="24"/>
        </w:rPr>
      </w:pPr>
      <w:bookmarkStart w:id="1" w:name="_GoBack"/>
      <w:bookmarkEnd w:id="1"/>
    </w:p>
    <w:p>
      <w:pPr>
        <w:keepNext/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Rozporządzenie Parlamentu Europejskiego i Rady (UE) nr 1144/2014 w sprawie działań informacyjnych i promocyjnych dotyczących produktów rolnych wdrażanych na rynku wewnętrznym i w państwach trzecich oraz uchylające rozporządzenie Rady (WE) nr 3/2008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Wprowadzenie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rozporządzeniu Parlamentu Europejskiego i Rady (UE) nr 1144/2014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ustanowiono warunki, zgodnie z którymi działania informacyjne i promocyjne dotyczące produktów rolnych i niektórych produktów spożywczych wytworzonych w oparciu o produkty rolne, prowadzone na rynku wewnętrznym lub w państwach trzecich, mogą być finansowane w całości lub częściowo z budżetu Unii.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art. 5 ust. 2 uprawniono Komisję do przyjmowania aktów delegowanych uzupełniających wykaz produktów zamieszczony w załączniku I poprzez dodanie do niego produktów spożywczych w celu uwzględnienia zmina rynku.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art. 7 ust. 2 uprawniono Komisję do przyjmowania aktów delegowanych ustanawiających szczególne warunki składania programów przez organizacje inicjujące, grupy i organy. Warunki te powinny, w szczególności, zagwarantować, że te organizacje, grupy i organy są reprezentatywne, a skala programu jest znacząca.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 W art. 11 ust. 1 uprawniono Komisję do przyjmowania aktów delegowanych ustanawiających szczegółowe warunki kwalifikowalności w przypadku programów prostych.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art. 13 ust. 1 uprawniono Komisję do przyjmowania aktów delegowanych określających warunki przeprowadzania procedury konkursowej w celu wyłonienia organów wdrażających.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art. 15 ust. 8 uprawniono Komisję do przyjmowania aktów delegowanych dotyczących szczegółowych warunków kwalifikowalności z funduszy Unii dla kosztów działań informacyjnych i promocyjnych oraz, w razie konieczności, kosztów administracyjnych i kosztów personelu.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art. 29 ust. 2 uprawniono Komisję do przyjmowania aktów delegowanych w celu zapewnienia płynnego przejścia od stosowania przepisów rozporządzenia (WE) nr 3/2008 do stosowania przepisów rozporządzenia (UE) nr 1144/2014.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Podstawa prawna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Sprawozdanie jest wymagane na podstawie art. 22 ust. 2. Uprawnienia do przyjęcia aktów delegowanych, o których mowa w art. 5 ust. 2, art. 7 ust. 2, art. 11 ust. 1, art. 13 ust. 1, art. 15 ust. 8 i art. 29 ust. 2, powierza się Komisji na okres pięciu lat od dnia 24 listopada 2014 r. Komisja sporządza sprawozdanie dotyczące przekazania uprawnień nie później niż dziewięć miesięcy przed końcem okresu 5 lat. Przekazanie uprawnień jest automatycznie przedłużane na takie same okresy, chyba że Parlament Europejski lub Rada sprzeciwią się takiemu przedłużeniu nie później niż trzy miesiące przed końcem każdego okresu.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Wykonywanie przekazanych uprawnień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Komisja przyjęła jeden akt delegowany na podstawie art. 7 ust. 2, art. 11 ust. 1, art. 13 ust. 1 i art. 15 ust. 8: </w:t>
      </w:r>
      <w:r>
        <w:rPr>
          <w:rFonts w:ascii="Times New Roman" w:hAnsi="Times New Roman"/>
          <w:b/>
          <w:noProof/>
          <w:sz w:val="24"/>
          <w:szCs w:val="24"/>
        </w:rPr>
        <w:t>rozporządzenie delegowane Komisji (UE) 2015/1829</w:t>
      </w:r>
      <w:r>
        <w:rPr>
          <w:rFonts w:ascii="Times New Roman" w:hAnsi="Times New Roman" w:cs="Times New Roman"/>
          <w:noProof/>
          <w:color w:val="444444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Ten akt delegowany określa warunki,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 jakich organizacja inicjująca może złożyć wniosek dotyczący programu prostego i programu, w którym uczestniczy wiele państw, w tym wymóg, zgodnie z którym wspomniane organizacje są reprezentatywne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dla danego sektora lub produktu. Stanowi on, że programy proste powinny mieć znaczącą skalę, aby zostać zakwalifikowane, i doprecyzowuje tę kwestię.  W akcie delegowanym określono także kryteria wyboru organów realizujących programy proste oraz zdefiniowano koszty kwalifikowalne.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Zgodnie ze wspólnym porozumieniem w sprawie aktów delegowanych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przeprowadzono konsultacje z ekspertami z państw członkowskich w ramach Grupy Ekspertów ds. Horyzontalnych Zagadnień Dotyczących WPR – Podgrupa ds. Uproszczenia. W dniu 13 kwietnia 2015 r. Komisja przyjęła rozporządzenie delegowane (UE) 2015/1829, które zostało zgłoszone Parlamentowi Europejskiemu i Radzie. Ani Parlament Europejski, ani Rada nie wniosły sprzeciwu wobec przekazanego rozporządzenia delegowanego. Po upływie terminu dwóch miesięcy rozporządzenie delegowane Komisji (UE) 2015/1829 zostało opublikowane w Dzienniku Urzędowym Unii Europejskiej L 266 z dnia 13 października 2015 r. i weszło w życie dnia 20 października 2015 r.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Uprawnienia określone w art. 5 ust. 2 i art. 29 ust. 2 nie zostały wykorzystane, ponieważ Komisja nie stwierdziła potrzeby dodania produktów spożywczych do wykazu produktów zamieszczonego w załączniku I ani potrzeby ustanowienia przepisów przejściowych między starym i nowym rozporządzeniem.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Komisja nie zamierza wykorzystywać uprawnień w najbliższej przyszłości, ale nie można wykluczyć, że stanie się to konieczne.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Wnioski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Komisja prawidłowo wykonała przekazane jej uprawnienia.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Nie można wykluczyć, że uprawnienia staną się w przyszłości konieczne.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Komisja zwraca się do Parlamentu Europejskiego i Rady o zapoznanie się z niniejszym sprawozdaniem.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403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1"/>
      </w:pPr>
      <w:r>
        <w:rPr>
          <w:rStyle w:val="FootnoteReference"/>
        </w:rPr>
        <w:footnoteRef/>
      </w:r>
      <w:r>
        <w:tab/>
        <w:t>Rozporządzenie Parlamentu Europejskiego i Rady (UE) nr 1144/2014 z dnia 22 października 2014 r. w sprawie działań informacyjnych i promocyjnych dotyczących produktów rolnych wdrażanych na rynku wewnętrznym i w państwach trzecich oraz uchylające rozporządzenie Rady (WE) nr 3/2008 (</w:t>
      </w:r>
      <w:r>
        <w:rPr>
          <w:rFonts w:ascii="Segoe UI" w:hAnsi="Segoe UI"/>
          <w:iCs/>
          <w:color w:val="444444"/>
          <w:sz w:val="21"/>
          <w:szCs w:val="21"/>
        </w:rPr>
        <w:t>Dz.U. L 317 z 4.11.2014, s. 56</w:t>
      </w:r>
      <w:r>
        <w:t>).</w:t>
      </w:r>
    </w:p>
    <w:p>
      <w:pPr>
        <w:pStyle w:val="FootnoteText"/>
      </w:pPr>
    </w:p>
  </w:footnote>
  <w:footnote w:id="2">
    <w:p>
      <w:pPr>
        <w:pStyle w:val="Footnote1"/>
      </w:pPr>
      <w:r>
        <w:rPr>
          <w:rStyle w:val="FootnoteReference"/>
        </w:rPr>
        <w:footnoteRef/>
      </w:r>
      <w:r>
        <w:tab/>
        <w:t>Rozporządzenie delegowane Komisji (UE) 2015/1829 z dnia 23 kwietnia 2015 r. uzupełniające rozporządzenie Parlamentu Europejskiego i Rady (UE) nr 1144/2014 w sprawie działań informacyjnych i promocyjnych dotyczących produktów rolnych na rynku wewnętrznym i w państwach trzecich, Dz.U. L 266 z 13.10.2015, s. 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Wspólne porozumienie w sprawie aktów delegowanych z 2011 r. (nieopublikowane).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C6"/>
    <w:multiLevelType w:val="multilevel"/>
    <w:tmpl w:val="FF2AA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225C5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B41A3"/>
    <w:multiLevelType w:val="hybridMultilevel"/>
    <w:tmpl w:val="FE4651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E58"/>
    <w:multiLevelType w:val="hybridMultilevel"/>
    <w:tmpl w:val="0DDE5CA6"/>
    <w:lvl w:ilvl="0" w:tplc="06321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DA8"/>
    <w:multiLevelType w:val="hybridMultilevel"/>
    <w:tmpl w:val="39304FF4"/>
    <w:lvl w:ilvl="0" w:tplc="895E5EE0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70350CD"/>
    <w:multiLevelType w:val="hybridMultilevel"/>
    <w:tmpl w:val="69208A2C"/>
    <w:lvl w:ilvl="0" w:tplc="15F0D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1D1E"/>
    <w:multiLevelType w:val="hybridMultilevel"/>
    <w:tmpl w:val="97EE051E"/>
    <w:lvl w:ilvl="0" w:tplc="5C188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C5C"/>
    <w:multiLevelType w:val="hybridMultilevel"/>
    <w:tmpl w:val="B78041F0"/>
    <w:lvl w:ilvl="0" w:tplc="EFEE1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A6C"/>
    <w:multiLevelType w:val="hybridMultilevel"/>
    <w:tmpl w:val="4D10B944"/>
    <w:lvl w:ilvl="0" w:tplc="D1789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E11"/>
    <w:multiLevelType w:val="hybridMultilevel"/>
    <w:tmpl w:val="04D25B18"/>
    <w:lvl w:ilvl="0" w:tplc="0D8621C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7BD"/>
    <w:multiLevelType w:val="hybridMultilevel"/>
    <w:tmpl w:val="362CB0A8"/>
    <w:lvl w:ilvl="0" w:tplc="D408F5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574"/>
    <w:multiLevelType w:val="hybridMultilevel"/>
    <w:tmpl w:val="7116CE70"/>
    <w:lvl w:ilvl="0" w:tplc="B73851C2">
      <w:start w:val="1"/>
      <w:numFmt w:val="lowerLetter"/>
      <w:pStyle w:val="Listparagraph2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A6E81"/>
    <w:multiLevelType w:val="hybridMultilevel"/>
    <w:tmpl w:val="3160A75A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D3630"/>
    <w:multiLevelType w:val="hybridMultilevel"/>
    <w:tmpl w:val="793674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5D0C"/>
    <w:multiLevelType w:val="hybridMultilevel"/>
    <w:tmpl w:val="C960F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7A42"/>
    <w:multiLevelType w:val="hybridMultilevel"/>
    <w:tmpl w:val="20A603A0"/>
    <w:lvl w:ilvl="0" w:tplc="4DEE244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62BB"/>
    <w:multiLevelType w:val="hybridMultilevel"/>
    <w:tmpl w:val="1D42E50C"/>
    <w:lvl w:ilvl="0" w:tplc="056C4778">
      <w:start w:val="1"/>
      <w:numFmt w:val="upperLetter"/>
      <w:lvlText w:val="(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7">
    <w:nsid w:val="7C65145E"/>
    <w:multiLevelType w:val="multilevel"/>
    <w:tmpl w:val="D3944FC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8">
    <w:nsid w:val="7DAC792C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3"/>
    </w:lvlOverride>
    <w:lvlOverride w:ilvl="1">
      <w:startOverride w:val="1"/>
    </w:lvlOverride>
  </w:num>
  <w:num w:numId="3">
    <w:abstractNumId w:val="9"/>
  </w:num>
  <w:num w:numId="4">
    <w:abstractNumId w:val="17"/>
    <w:lvlOverride w:ilvl="0">
      <w:startOverride w:val="2"/>
    </w:lvlOverride>
    <w:lvlOverride w:ilvl="1">
      <w:startOverride w:val="4"/>
    </w:lvlOverride>
  </w:num>
  <w:num w:numId="5">
    <w:abstractNumId w:val="12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</w:num>
  <w:num w:numId="32">
    <w:abstractNumId w:val="16"/>
    <w:lvlOverride w:ilvl="0">
      <w:lvl w:ilvl="0" w:tplc="056C4778">
        <w:start w:val="1"/>
        <w:numFmt w:val="upperLetter"/>
        <w:lvlText w:val="(%1)"/>
        <w:lvlJc w:val="left"/>
        <w:pPr>
          <w:ind w:left="1021" w:hanging="681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"/>
  </w:num>
  <w:num w:numId="34">
    <w:abstractNumId w:val="14"/>
  </w:num>
  <w:num w:numId="35">
    <w:abstractNumId w:val="2"/>
  </w:num>
  <w:num w:numId="36">
    <w:abstractNumId w:val="5"/>
  </w:num>
  <w:num w:numId="37">
    <w:abstractNumId w:val="15"/>
  </w:num>
  <w:num w:numId="38">
    <w:abstractNumId w:val="8"/>
  </w:num>
  <w:num w:numId="39">
    <w:abstractNumId w:val="3"/>
  </w:num>
  <w:num w:numId="40">
    <w:abstractNumId w:val="7"/>
  </w:num>
  <w:num w:numId="41">
    <w:abstractNumId w:val="13"/>
  </w:num>
  <w:num w:numId="42">
    <w:abstractNumId w:val="6"/>
  </w:num>
  <w:num w:numId="43">
    <w:abstractNumId w:val="0"/>
  </w:num>
  <w:num w:numId="44">
    <w:abstractNumId w:val="1"/>
  </w:num>
  <w:num w:numId="45">
    <w:abstractNumId w:val="17"/>
  </w:num>
  <w:num w:numId="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51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C7F2D21-126B-48D8-918A-D00A7C39B9D8"/>
    <w:docVar w:name="LW_COVERPAGE_TYPE" w:val="1"/>
    <w:docVar w:name="LW_CROSSREFERENCE" w:val="&lt;UNUSED&gt;"/>
    <w:docVar w:name="LW_DocType" w:val="NORMAL"/>
    <w:docVar w:name="LW_EMISSION" w:val="27.9.2019"/>
    <w:docVar w:name="LW_EMISSION_ISODATE" w:val="2019-09-27"/>
    <w:docVar w:name="LW_EMISSION_LOCATION" w:val="BRX"/>
    <w:docVar w:name="LW_EMISSION_PREFIX" w:val="Bruksela, dnia "/>
    <w:docVar w:name="LW_EMISSION_SUFFIX" w:val=" r."/>
    <w:docVar w:name="LW_ID_DOCTYPE_NONLW" w:val="CP-00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w sprawie wykonywania uprawnie\u324? do przyjmowania aktów delegowanych, powierzonych Komisji na podstawie rozporz\u261?dzenia &lt;/FMT&gt;&lt;FMT:Font=Calibri CE,Bold&gt;Parlamentu Europejskiego i Rady (UE) nr 1144/2014 z dnia 22 pa\u378?dziernika 2014 r. w sprawie dzia\u322?a\u324? informacyjnych i promocyjnych dotycz\u261?cych produktów rolnych wdra\u380?anych na rynku wewn\u281?trznym i w pa\u324?stwach trzecich oraz uchylaj\u261?ce &lt;/FMT&gt;&lt;FMT:Bold&gt;rozporz\u261?dzenie Rady&lt;/FMT&gt;&lt;FMT:Font=Calibri,Bold&gt; &lt;/FMT&gt;&lt;FMT:Bold&gt;(WE) nr 3/2008&lt;/FMT&gt;"/>
    <w:docVar w:name="LW_TYPE.DOC.CP" w:val="SPRAWOZDANIE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pl-PL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pl-PL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pl-PL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pl-PL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pl-PL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pl-PL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pl-PL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pl-PL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pl-PL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pl-PL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pl-PL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945A99-68BE-4AFA-BD71-254BFCBC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640</Words>
  <Characters>4035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21</cp:revision>
  <cp:lastPrinted>2019-07-15T13:26:00Z</cp:lastPrinted>
  <dcterms:created xsi:type="dcterms:W3CDTF">2019-08-23T09:48:00Z</dcterms:created>
  <dcterms:modified xsi:type="dcterms:W3CDTF">2019-09-26T15:36:00Z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CP-006</vt:lpwstr>
  </property>
</Properties>
</file>