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309E382-9C89-4F40-A8B2-403757780A2D" style="width:451.35pt;height:389.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Turinys</w:t>
          </w:r>
        </w:p>
        <w:p>
          <w:pPr>
            <w:pStyle w:val="TOC1"/>
            <w:tabs>
              <w:tab w:val="left" w:pos="440"/>
              <w:tab w:val="right" w:leader="dot" w:pos="9396"/>
            </w:tabs>
            <w:rPr>
              <w:rFonts w:eastAsiaTheme="minorEastAsia"/>
              <w:noProof/>
              <w:lang w:val="en-US"/>
            </w:rPr>
          </w:pPr>
          <w:r>
            <w:rPr>
              <w:noProof/>
            </w:rPr>
            <w:fldChar w:fldCharType="begin"/>
          </w:r>
          <w:r>
            <w:rPr>
              <w:noProof/>
            </w:rPr>
            <w:instrText xml:space="preserve"> TOC \o "1-3" \h \z \u </w:instrText>
          </w:r>
          <w:r>
            <w:rPr>
              <w:noProof/>
            </w:rPr>
            <w:fldChar w:fldCharType="separate"/>
          </w:r>
          <w:hyperlink w:anchor="_Toc20293950" w:history="1">
            <w:r>
              <w:rPr>
                <w:rStyle w:val="Hyperlink"/>
                <w:rFonts w:ascii="Times New Roman" w:eastAsia="Times New Roman" w:hAnsi="Times New Roman" w:cs="Times New Roman"/>
                <w:b/>
                <w:smallCaps/>
                <w:noProof/>
              </w:rPr>
              <w:t>1.</w:t>
            </w:r>
            <w:r>
              <w:rPr>
                <w:rFonts w:eastAsiaTheme="minorEastAsia"/>
                <w:noProof/>
                <w:lang w:val="en-US"/>
              </w:rPr>
              <w:tab/>
            </w:r>
            <w:r>
              <w:rPr>
                <w:rStyle w:val="Hyperlink"/>
                <w:rFonts w:ascii="Times New Roman" w:hAnsi="Times New Roman"/>
                <w:b/>
                <w:smallCaps/>
                <w:noProof/>
              </w:rPr>
              <w:t>2013 m. kovo 13 d. EUROPOS PARLAMENTO IR TARYBOS reglamentas (ES) Nr. 228/2013, kuriuo nustatomos specialios žemės ūkio priemonės atokiausiems Sąjungos regionams ir panaikinamas Tarybos reglamentas (EB) Nr. 247/2006</w:t>
            </w:r>
            <w:r>
              <w:rPr>
                <w:noProof/>
                <w:webHidden/>
              </w:rPr>
              <w:tab/>
            </w:r>
            <w:r>
              <w:rPr>
                <w:noProof/>
                <w:webHidden/>
              </w:rPr>
              <w:fldChar w:fldCharType="begin"/>
            </w:r>
            <w:r>
              <w:rPr>
                <w:noProof/>
                <w:webHidden/>
              </w:rPr>
              <w:instrText xml:space="preserve"> PAGEREF _Toc20293950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96"/>
            </w:tabs>
            <w:rPr>
              <w:rFonts w:eastAsiaTheme="minorEastAsia"/>
              <w:noProof/>
              <w:lang w:val="en-US"/>
            </w:rPr>
          </w:pPr>
          <w:hyperlink w:anchor="_Toc20293951" w:history="1">
            <w:r>
              <w:rPr>
                <w:rStyle w:val="Hyperlink"/>
                <w:rFonts w:ascii="Times New Roman" w:eastAsia="Times New Roman" w:hAnsi="Times New Roman" w:cs="Times New Roman"/>
                <w:b/>
                <w:noProof/>
              </w:rPr>
              <w:t>1.1.</w:t>
            </w:r>
            <w:r>
              <w:rPr>
                <w:rFonts w:eastAsiaTheme="minorEastAsia"/>
                <w:noProof/>
                <w:lang w:val="en-US"/>
              </w:rPr>
              <w:tab/>
            </w:r>
            <w:r>
              <w:rPr>
                <w:rStyle w:val="Hyperlink"/>
                <w:rFonts w:ascii="Times New Roman" w:hAnsi="Times New Roman"/>
                <w:b/>
                <w:noProof/>
              </w:rPr>
              <w:t>Įvadas</w:t>
            </w:r>
            <w:r>
              <w:rPr>
                <w:noProof/>
                <w:webHidden/>
              </w:rPr>
              <w:tab/>
            </w:r>
            <w:r>
              <w:rPr>
                <w:noProof/>
                <w:webHidden/>
              </w:rPr>
              <w:fldChar w:fldCharType="begin"/>
            </w:r>
            <w:r>
              <w:rPr>
                <w:noProof/>
                <w:webHidden/>
              </w:rPr>
              <w:instrText xml:space="preserve"> PAGEREF _Toc20293951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96"/>
            </w:tabs>
            <w:rPr>
              <w:rFonts w:eastAsiaTheme="minorEastAsia"/>
              <w:noProof/>
              <w:lang w:val="en-US"/>
            </w:rPr>
          </w:pPr>
          <w:hyperlink w:anchor="_Toc20293952" w:history="1">
            <w:r>
              <w:rPr>
                <w:rStyle w:val="Hyperlink"/>
                <w:rFonts w:ascii="Times New Roman" w:eastAsia="Times New Roman" w:hAnsi="Times New Roman" w:cs="Times New Roman"/>
                <w:b/>
                <w:noProof/>
              </w:rPr>
              <w:t>1.2.</w:t>
            </w:r>
            <w:r>
              <w:rPr>
                <w:rFonts w:eastAsiaTheme="minorEastAsia"/>
                <w:noProof/>
                <w:lang w:val="en-US"/>
              </w:rPr>
              <w:tab/>
            </w:r>
            <w:r>
              <w:rPr>
                <w:rStyle w:val="Hyperlink"/>
                <w:rFonts w:ascii="Times New Roman" w:hAnsi="Times New Roman"/>
                <w:b/>
                <w:noProof/>
              </w:rPr>
              <w:t>Teisinis pagrindas</w:t>
            </w:r>
            <w:r>
              <w:rPr>
                <w:noProof/>
                <w:webHidden/>
              </w:rPr>
              <w:tab/>
            </w:r>
            <w:r>
              <w:rPr>
                <w:noProof/>
                <w:webHidden/>
              </w:rPr>
              <w:fldChar w:fldCharType="begin"/>
            </w:r>
            <w:r>
              <w:rPr>
                <w:noProof/>
                <w:webHidden/>
              </w:rPr>
              <w:instrText xml:space="preserve"> PAGEREF _Toc20293952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293953" w:history="1">
            <w:r>
              <w:rPr>
                <w:rStyle w:val="Hyperlink"/>
                <w:rFonts w:ascii="Times New Roman" w:eastAsia="Times New Roman" w:hAnsi="Times New Roman" w:cs="Times New Roman"/>
                <w:b/>
                <w:noProof/>
              </w:rPr>
              <w:t>1.3.</w:t>
            </w:r>
            <w:r>
              <w:rPr>
                <w:rFonts w:eastAsiaTheme="minorEastAsia"/>
                <w:noProof/>
                <w:lang w:val="en-US"/>
              </w:rPr>
              <w:tab/>
            </w:r>
            <w:r>
              <w:rPr>
                <w:rStyle w:val="Hyperlink"/>
                <w:rFonts w:ascii="Times New Roman" w:hAnsi="Times New Roman"/>
                <w:b/>
                <w:noProof/>
              </w:rPr>
              <w:t>Naudojimasis įgaliojimais</w:t>
            </w:r>
            <w:r>
              <w:rPr>
                <w:noProof/>
                <w:webHidden/>
              </w:rPr>
              <w:tab/>
            </w:r>
            <w:r>
              <w:rPr>
                <w:noProof/>
                <w:webHidden/>
              </w:rPr>
              <w:fldChar w:fldCharType="begin"/>
            </w:r>
            <w:r>
              <w:rPr>
                <w:noProof/>
                <w:webHidden/>
              </w:rPr>
              <w:instrText xml:space="preserve"> PAGEREF _Toc20293953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293954" w:history="1">
            <w:r>
              <w:rPr>
                <w:rStyle w:val="Hyperlink"/>
                <w:rFonts w:ascii="Times New Roman" w:eastAsia="Times New Roman" w:hAnsi="Times New Roman" w:cs="Times New Roman"/>
                <w:b/>
                <w:noProof/>
              </w:rPr>
              <w:t>1.4.</w:t>
            </w:r>
            <w:r>
              <w:rPr>
                <w:rFonts w:eastAsiaTheme="minorEastAsia"/>
                <w:noProof/>
                <w:lang w:val="en-US"/>
              </w:rPr>
              <w:tab/>
            </w:r>
            <w:r>
              <w:rPr>
                <w:rStyle w:val="Hyperlink"/>
                <w:rFonts w:ascii="Times New Roman" w:hAnsi="Times New Roman"/>
                <w:b/>
                <w:noProof/>
              </w:rPr>
              <w:t>Išvados</w:t>
            </w:r>
            <w:r>
              <w:rPr>
                <w:noProof/>
                <w:webHidden/>
              </w:rPr>
              <w:tab/>
            </w:r>
            <w:r>
              <w:rPr>
                <w:noProof/>
                <w:webHidden/>
              </w:rPr>
              <w:fldChar w:fldCharType="begin"/>
            </w:r>
            <w:r>
              <w:rPr>
                <w:noProof/>
                <w:webHidden/>
              </w:rPr>
              <w:instrText xml:space="preserve"> PAGEREF _Toc20293954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396"/>
            </w:tabs>
            <w:rPr>
              <w:rFonts w:eastAsiaTheme="minorEastAsia"/>
              <w:noProof/>
              <w:lang w:val="en-US"/>
            </w:rPr>
          </w:pPr>
          <w:hyperlink w:anchor="_Toc20293955" w:history="1">
            <w:r>
              <w:rPr>
                <w:rStyle w:val="Hyperlink"/>
                <w:rFonts w:ascii="Times New Roman" w:eastAsia="Times New Roman" w:hAnsi="Times New Roman" w:cs="Times New Roman"/>
                <w:b/>
                <w:smallCaps/>
                <w:noProof/>
              </w:rPr>
              <w:t>2.</w:t>
            </w:r>
            <w:r>
              <w:rPr>
                <w:rFonts w:eastAsiaTheme="minorEastAsia"/>
                <w:noProof/>
                <w:lang w:val="en-US"/>
              </w:rPr>
              <w:tab/>
            </w:r>
            <w:r>
              <w:rPr>
                <w:rStyle w:val="Hyperlink"/>
                <w:rFonts w:ascii="Times New Roman" w:hAnsi="Times New Roman"/>
                <w:b/>
                <w:smallCaps/>
                <w:noProof/>
              </w:rPr>
              <w:t>2013 m. kovo 13 d. EUROPOS PARLAMENTO IR TARYBOS reglamentas (ES) Nr. 229/2013, kuriuo nustatomos specialios žemės ūkio priemonės mažosioms Egėjo jūros saloms ir panaikinamas Tarybos reglamentas (EB) Nr. 1405/2006</w:t>
            </w:r>
            <w:r>
              <w:rPr>
                <w:noProof/>
                <w:webHidden/>
              </w:rPr>
              <w:tab/>
            </w:r>
            <w:r>
              <w:rPr>
                <w:noProof/>
                <w:webHidden/>
              </w:rPr>
              <w:fldChar w:fldCharType="begin"/>
            </w:r>
            <w:r>
              <w:rPr>
                <w:noProof/>
                <w:webHidden/>
              </w:rPr>
              <w:instrText xml:space="preserve"> PAGEREF _Toc20293955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293956" w:history="1">
            <w:r>
              <w:rPr>
                <w:rStyle w:val="Hyperlink"/>
                <w:rFonts w:ascii="Times New Roman" w:eastAsia="Times New Roman" w:hAnsi="Times New Roman" w:cs="Times New Roman"/>
                <w:b/>
                <w:noProof/>
              </w:rPr>
              <w:t>2.1.</w:t>
            </w:r>
            <w:r>
              <w:rPr>
                <w:rFonts w:eastAsiaTheme="minorEastAsia"/>
                <w:noProof/>
                <w:lang w:val="en-US"/>
              </w:rPr>
              <w:tab/>
            </w:r>
            <w:r>
              <w:rPr>
                <w:rStyle w:val="Hyperlink"/>
                <w:rFonts w:ascii="Times New Roman" w:hAnsi="Times New Roman"/>
                <w:b/>
                <w:noProof/>
              </w:rPr>
              <w:t>Įvadas</w:t>
            </w:r>
            <w:r>
              <w:rPr>
                <w:noProof/>
                <w:webHidden/>
              </w:rPr>
              <w:tab/>
            </w:r>
            <w:r>
              <w:rPr>
                <w:noProof/>
                <w:webHidden/>
              </w:rPr>
              <w:fldChar w:fldCharType="begin"/>
            </w:r>
            <w:r>
              <w:rPr>
                <w:noProof/>
                <w:webHidden/>
              </w:rPr>
              <w:instrText xml:space="preserve"> PAGEREF _Toc20293956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293957" w:history="1">
            <w:r>
              <w:rPr>
                <w:rStyle w:val="Hyperlink"/>
                <w:rFonts w:ascii="Times New Roman" w:eastAsia="Times New Roman" w:hAnsi="Times New Roman" w:cs="Times New Roman"/>
                <w:b/>
                <w:noProof/>
              </w:rPr>
              <w:t>2.2.</w:t>
            </w:r>
            <w:r>
              <w:rPr>
                <w:rFonts w:eastAsiaTheme="minorEastAsia"/>
                <w:noProof/>
                <w:lang w:val="en-US"/>
              </w:rPr>
              <w:tab/>
            </w:r>
            <w:r>
              <w:rPr>
                <w:rStyle w:val="Hyperlink"/>
                <w:rFonts w:ascii="Times New Roman" w:hAnsi="Times New Roman"/>
                <w:b/>
                <w:noProof/>
              </w:rPr>
              <w:t>Teisinis pagrindas</w:t>
            </w:r>
            <w:r>
              <w:rPr>
                <w:noProof/>
                <w:webHidden/>
              </w:rPr>
              <w:tab/>
            </w:r>
            <w:r>
              <w:rPr>
                <w:noProof/>
                <w:webHidden/>
              </w:rPr>
              <w:fldChar w:fldCharType="begin"/>
            </w:r>
            <w:r>
              <w:rPr>
                <w:noProof/>
                <w:webHidden/>
              </w:rPr>
              <w:instrText xml:space="preserve"> PAGEREF _Toc20293957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293958" w:history="1">
            <w:r>
              <w:rPr>
                <w:rStyle w:val="Hyperlink"/>
                <w:rFonts w:ascii="Times New Roman" w:eastAsia="Times New Roman" w:hAnsi="Times New Roman" w:cs="Times New Roman"/>
                <w:b/>
                <w:noProof/>
              </w:rPr>
              <w:t>2.3.</w:t>
            </w:r>
            <w:r>
              <w:rPr>
                <w:rFonts w:eastAsiaTheme="minorEastAsia"/>
                <w:noProof/>
                <w:lang w:val="en-US"/>
              </w:rPr>
              <w:tab/>
            </w:r>
            <w:r>
              <w:rPr>
                <w:rStyle w:val="Hyperlink"/>
                <w:rFonts w:ascii="Times New Roman" w:hAnsi="Times New Roman"/>
                <w:b/>
                <w:noProof/>
              </w:rPr>
              <w:t>Naudojimasis įgaliojimais</w:t>
            </w:r>
            <w:r>
              <w:rPr>
                <w:noProof/>
                <w:webHidden/>
              </w:rPr>
              <w:tab/>
            </w:r>
            <w:r>
              <w:rPr>
                <w:noProof/>
                <w:webHidden/>
              </w:rPr>
              <w:fldChar w:fldCharType="begin"/>
            </w:r>
            <w:r>
              <w:rPr>
                <w:noProof/>
                <w:webHidden/>
              </w:rPr>
              <w:instrText xml:space="preserve"> PAGEREF _Toc20293958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293959" w:history="1">
            <w:r>
              <w:rPr>
                <w:rStyle w:val="Hyperlink"/>
                <w:rFonts w:ascii="Times New Roman" w:eastAsia="Times New Roman" w:hAnsi="Times New Roman" w:cs="Times New Roman"/>
                <w:b/>
                <w:noProof/>
              </w:rPr>
              <w:t>2.4.</w:t>
            </w:r>
            <w:r>
              <w:rPr>
                <w:rFonts w:eastAsiaTheme="minorEastAsia"/>
                <w:noProof/>
                <w:lang w:val="en-US"/>
              </w:rPr>
              <w:tab/>
            </w:r>
            <w:r>
              <w:rPr>
                <w:rStyle w:val="Hyperlink"/>
                <w:rFonts w:ascii="Times New Roman" w:hAnsi="Times New Roman"/>
                <w:b/>
                <w:noProof/>
              </w:rPr>
              <w:t>Išvados</w:t>
            </w:r>
            <w:r>
              <w:rPr>
                <w:noProof/>
                <w:webHidden/>
              </w:rPr>
              <w:tab/>
            </w:r>
            <w:r>
              <w:rPr>
                <w:noProof/>
                <w:webHidden/>
              </w:rPr>
              <w:fldChar w:fldCharType="begin"/>
            </w:r>
            <w:r>
              <w:rPr>
                <w:noProof/>
                <w:webHidden/>
              </w:rPr>
              <w:instrText xml:space="preserve"> PAGEREF _Toc20293959 \h </w:instrText>
            </w:r>
            <w:r>
              <w:rPr>
                <w:noProof/>
                <w:webHidden/>
              </w:rPr>
            </w:r>
            <w:r>
              <w:rPr>
                <w:noProof/>
                <w:webHidden/>
              </w:rPr>
              <w:fldChar w:fldCharType="separate"/>
            </w:r>
            <w:r>
              <w:rPr>
                <w:noProof/>
                <w:webHidden/>
              </w:rPr>
              <w:t>4</w:t>
            </w:r>
            <w:r>
              <w:rPr>
                <w:noProof/>
                <w:webHidden/>
              </w:rPr>
              <w:fldChar w:fldCharType="end"/>
            </w:r>
          </w:hyperlink>
        </w:p>
        <w:p>
          <w:pPr>
            <w:rPr>
              <w:noProof/>
            </w:rPr>
          </w:pPr>
          <w:r>
            <w:rPr>
              <w:b/>
              <w:bCs/>
              <w:noProof/>
            </w:rPr>
            <w:fldChar w:fldCharType="end"/>
          </w:r>
        </w:p>
      </w:sdtContent>
    </w:sdt>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20293950"/>
      <w:r>
        <w:rPr>
          <w:rFonts w:ascii="Times New Roman" w:hAnsi="Times New Roman"/>
          <w:b/>
          <w:smallCaps/>
          <w:noProof/>
        </w:rPr>
        <w:t>2013 m. kovo 13 d. EUROPOS PARLAMENTO IR TARYBOS reglamentas (ES) Nr. 228/2013, kuriuo nustatomos specialios žemės ūkio priemonės atokiausiems Sąjungos regionams ir panaikinamas Tarybos reglamentas (EB) Nr. 247/2006</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20293951"/>
      <w:r>
        <w:rPr>
          <w:rFonts w:ascii="Times New Roman" w:hAnsi="Times New Roman"/>
          <w:b/>
          <w:noProof/>
        </w:rPr>
        <w:t>Įvadas</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Europos Parlamento ir Tarybos reglamentu (ES) Nr. 228/2013</w:t>
      </w:r>
      <w:r>
        <w:rPr>
          <w:rFonts w:ascii="Times New Roman" w:hAnsi="Times New Roman" w:cs="Times New Roman"/>
          <w:noProof/>
          <w:vertAlign w:val="superscript"/>
        </w:rPr>
        <w:footnoteReference w:id="1"/>
      </w:r>
      <w:r>
        <w:rPr>
          <w:rFonts w:ascii="Times New Roman" w:hAnsi="Times New Roman"/>
          <w:noProof/>
        </w:rPr>
        <w:t xml:space="preserve"> nustatomos specialios žemės ūkio priemonės atokiausiems Sąjungos regionams.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12 straipsnio 2 dalį Komisijai suteikiami įgaliojimai priimti deleguotuosius aktus, kuriais nustatomos ūkinės veiklos vykdytojų įtraukimo į kompetentingų institucijų tvarkomą registrą sąlygos ir sąlygos, kurioms esant ūkinės veiklos vykdytojai visiškai pasinaudotų savo teisėmis naudotis specialia tiekimo tvarka.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Pagal 19 straipsnio 4 dalį Komisijai suteikiami įgaliojimai priimti deleguotuosius aktus dėl prekybai ne gamybos regione skiriamos pagalbos sumos nustatymo sąlygų ir, esant reikalui, produktų, kuriems ši pagalba gali būti taikoma, kiekio nustatymo sąlygų.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21 straipsnio 3 dalį Komisijai suteikiami įgaliojimai priimti deleguotuosius aktus, kuriais ji nustato atokiausių regionų grafinio simbolio naudojimo teisės ir jo atgaminimo bei naudojimo sąlygas, siekdama, kad kokybiški atokiausių regionų žemės ūkio produktai būtų labiau žinomi, o jų vartojimas – šviežių ar perdirbtų – būtų skatinamas.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26 straipsnio 4 dalį Komisijai suteikiami įgaliojimai tam tikromis sąlygomis priimti deleguotuosius aktus, kuriais Prancūzijos užjūrio departamentuose Martinikoje, Gvadelupoje ir Prancūzijos Gvianoje leidžiama iš Sąjungos kilmės pieno miltelių gaminti UHT apdorotą pieną.</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Pagal 27 straipsnio 2 dalį Komisijai suteikiami įgaliojimai priimti deleguotuosius aktus, kuriais nustatomos importo muito netaikymo galvijams, skirtiems penėti ir vartoti Prancūzijos užjūrio departamentuose ir Madeiroje, sąlygos.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30 straipsnio 4 dalį Komisijai suteikiami įgaliojimai priimti deleguotuosius aktus, kuriais nustatomos didžiausios metinės sumos, kuri gali būti skirta priemonėms, skirtoms studijų finansavimui, demonstravimo projektams, mokymui ir techninei pagalbai, apibrėžimo sąlygos.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20293952"/>
      <w:r>
        <w:rPr>
          <w:rFonts w:ascii="Times New Roman" w:hAnsi="Times New Roman"/>
          <w:b/>
          <w:noProof/>
        </w:rPr>
        <w:t>Teisinis pagrindas</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Ataskaita turi būti teikiama pagal 33 straipsnio 2 dalį. Pagal tą nuostatą 12 straipsnio 2 dalyje, 19 straipsnio 4 dalyje, 21 straipsnio 3 dalyje, 26 straipsnio 4 dalyje, 27 straipsnio 2 dalyje ir 30 straipsnio 4 dalyje nurodyti įgaliojimai priimti deleguotuosius aktus Komisijai suteikiami penkerių metų laikotarpiui nuo 2013 m. kovo 21 d. Komisija parengia ataskaitą dėl įgaliojimų suteikimo likus ne mažiau kaip devyniems mėnesiams iki penkerių metų laikotarpio pabaigos. Įgaliojimų suteikimas automatiškai pratęsiamas tokios pačios trukmės laikotarpiams, išskyrus atvejus, kai Europos Parlamentas arba Taryba </w:t>
      </w:r>
      <w:r>
        <w:rPr>
          <w:rFonts w:ascii="Times New Roman" w:hAnsi="Times New Roman"/>
          <w:noProof/>
        </w:rPr>
        <w:lastRenderedPageBreak/>
        <w:t>pareiškia prieštaravimų dėl tokio pratęsimo likus ne mažiau kaip trims mėnesiams iki kiekvieno tokio laikotarpio pabaigos.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20293953"/>
      <w:r>
        <w:rPr>
          <w:rFonts w:ascii="Times New Roman" w:hAnsi="Times New Roman"/>
          <w:b/>
          <w:noProof/>
        </w:rPr>
        <w:t>Naudojimasis įgaliojimais</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Remdamasi 12 straipsnio 2 dalimi, 19 straipsnio 4 dalimi, 21 straipsnio 3 dalimi, 27 straipsnio 2 dalimi ir 30 straipsnio 4 dalimi Komisija priėmė vieną deleguotąjį aktą: </w:t>
      </w:r>
      <w:r>
        <w:rPr>
          <w:rFonts w:ascii="Times New Roman" w:hAnsi="Times New Roman"/>
          <w:b/>
          <w:noProof/>
        </w:rPr>
        <w:t>Komisijos deleguotąjį reglamentą (ES) Nr. 179/2014</w:t>
      </w:r>
      <w:r>
        <w:rPr>
          <w:rFonts w:ascii="Times New Roman" w:hAnsi="Times New Roman" w:cs="Times New Roman"/>
          <w:noProof/>
          <w:vertAlign w:val="superscript"/>
        </w:rPr>
        <w:footnoteReference w:id="2"/>
      </w:r>
      <w:r>
        <w:rPr>
          <w:rFonts w:ascii="Times New Roman" w:hAnsi="Times New Roman"/>
          <w:noProof/>
        </w:rPr>
        <w:t>. Tuo deleguotuoju aktu nustatomos ūkinės veiklos vykdytojų registravimo taisyklės, prekybai produktais už regiono ribų skiriamos pagalbos sumos nustatymo taisyklės, prekybai pomidorais ir ryžiais skiriamos pagalbos taisyklės, grafinio simbolio naudojimo taisyklės, jo naudojimo teisės ir atgaminimo bei naudojimo sąlygos, atleidimo nuo importo muito importuojant jaunus galvijų patinus sąlygos ir didžiausios sumos, kuri gali būti skirta studijų finansavimui, demonstravimo projektams, mokymui ar techninei pagalbai, nustatymo sąlygos.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Remiantis bendruoju susitarimu dėl deleguotųjų aktų</w:t>
      </w:r>
      <w:r>
        <w:rPr>
          <w:rStyle w:val="FootnoteReference"/>
          <w:rFonts w:ascii="Times New Roman" w:hAnsi="Times New Roman" w:cs="Times New Roman"/>
          <w:noProof/>
        </w:rPr>
        <w:footnoteReference w:id="3"/>
      </w:r>
      <w:r>
        <w:rPr>
          <w:rFonts w:ascii="Times New Roman" w:hAnsi="Times New Roman"/>
          <w:noProof/>
        </w:rPr>
        <w:t xml:space="preserve"> buvo pasikonsultuota su valstybių narių ekspertais Tiesioginių išmokų ekspertų grupėje, POSEI ir mažųjų Egėjo jūros salų pogrupyje. 2013 m. lapkričio 6 d. Komisija priėmė Deleguotąjį reglamentą (ES) 179/2014; apie reglamentą pranešta Europos Parlamentui ir Tarybai. Nei Europos Parlamentas, nei Taryba nepareiškė prieštaravimų dėl deleguotojo reglamento. Pasibaigus dviejų mėnesių laikotarpiui Komisijos deleguotasis reglamentas (ES) 179/2014 buvo paskelbtas </w:t>
      </w:r>
      <w:r>
        <w:rPr>
          <w:rFonts w:ascii="Times New Roman" w:hAnsi="Times New Roman"/>
          <w:i/>
          <w:iCs/>
          <w:noProof/>
        </w:rPr>
        <w:t>Europos Sąjungos oficialiajame leidinyje</w:t>
      </w:r>
      <w:r>
        <w:rPr>
          <w:rFonts w:ascii="Times New Roman" w:hAnsi="Times New Roman"/>
          <w:noProof/>
        </w:rPr>
        <w:t xml:space="preserve"> (L 63, 2014 m. kovo 4 d.) ir įsigaliojo 2014 m. kovo 7 d.</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Įgaliojimais pagal 26 straipsnio 4 dalį nebuvo pasinaudota, nes Prancūzija neskubėjo leisti Prancūzijos užjūrio departamentuose Martinikoje, Gvadelupoje ir Prancūzijos Gvianoje iš Sąjungos kilmės pieno miltelių gaminti UHT apdorotą pieną.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Komisija artimiausiu metu neketina vėl naudotis šiais įgaliojimais, tačiau negalima atmesti galimybės, kad tokia būtinybė gali kilti.</w:t>
      </w:r>
      <w:r>
        <w:rPr>
          <w:noProof/>
        </w:rPr>
        <w:t xml:space="preserve">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20293954"/>
      <w:r>
        <w:rPr>
          <w:rFonts w:ascii="Times New Roman" w:hAnsi="Times New Roman"/>
          <w:b/>
          <w:noProof/>
        </w:rPr>
        <w:t>Išvados</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Komisija tinkamai naudojosi deleguotaisiais įgaliojimais.</w:t>
      </w:r>
      <w:r>
        <w:rPr>
          <w:noProof/>
        </w:rPr>
        <w:t xml:space="preserve"> </w:t>
      </w:r>
      <w:r>
        <w:rPr>
          <w:rFonts w:ascii="Times New Roman" w:hAnsi="Times New Roman"/>
          <w:noProof/>
        </w:rPr>
        <w:t>Negalima atmesti galimybės, kad ateityje gali kilti būtinybė pasinaudoti įgaliojimais.</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7" w:name="_Toc20293955"/>
      <w:r>
        <w:rPr>
          <w:rFonts w:ascii="Times New Roman" w:hAnsi="Times New Roman"/>
          <w:b/>
          <w:smallCaps/>
          <w:noProof/>
        </w:rPr>
        <w:t>2013 m. kovo 13 d. EUROPOS PARLAMENTO IR TARYBOS reglamentas (ES) Nr. 229/2013, kuriuo nustatomos specialios žemės ūkio priemonės mažosioms Egėjo jūros saloms ir panaikinamas Tarybos reglamentas (EB) Nr. 1405/2006</w:t>
      </w:r>
      <w:bookmarkEnd w:id="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20293956"/>
      <w:r>
        <w:rPr>
          <w:rFonts w:ascii="Times New Roman" w:hAnsi="Times New Roman"/>
          <w:b/>
          <w:noProof/>
        </w:rPr>
        <w:t>Įvadas</w:t>
      </w:r>
      <w:bookmarkEnd w:id="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Europos Parlamento ir Tarybos reglamentu (ES) Nr. 229/2013</w:t>
      </w:r>
      <w:r>
        <w:rPr>
          <w:rFonts w:ascii="Times New Roman" w:hAnsi="Times New Roman" w:cs="Times New Roman"/>
          <w:noProof/>
          <w:vertAlign w:val="superscript"/>
        </w:rPr>
        <w:footnoteReference w:id="4"/>
      </w:r>
      <w:r>
        <w:rPr>
          <w:rFonts w:ascii="Times New Roman" w:hAnsi="Times New Roman"/>
          <w:noProof/>
        </w:rPr>
        <w:t xml:space="preserve"> nustatomos specialios žemės ūkio priemonės mažosioms Egėjo jūros saloms.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11 straipsnio 2 dalį Komisijai suteikiami įgaliojimai priimti deleguotuosius aktus, kuriais nustatomos ūkinės veiklos vykdytojų įtraukimo į kompetentingų institucijų tvarkomą registrą sąlygos ir sąlygos, kurioms esant veiklos vykdytojai visiškai pasinaudotų savo teisėmis naudotis specialia tiekimo tvarka.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15 straipsnio 4 dalį Komisija įpareigojama priimti deleguotuosius aktus dėl prekybai žaliaviniais ir perdirbtais produktais už jų gamybos regiono ribų ir jų vežimui skiriamos pagalbos sumos nustatymo sąlygų patvirtinimo ir, esant reikalui, produktų kiekio, kuriam ta pagalba gali būti taikoma, nustatymo sąlygų.</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Pagal 18 straipsnio 4 dalį Komisija įpareigojama priimti deleguotuosius aktus, kuriais nustatomos didžiausios metinės sumos, kuri gali būti skirta priemonėms, skirtoms studijų finansavimui, demonstravimo projektams, mokymui ir techninei pagalbai, su sąlyga, kad tas paskirstymas yra tinkamas ir proporcingas, apibrėžimo sąlygos.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9" w:name="_Toc20293957"/>
      <w:r>
        <w:rPr>
          <w:rFonts w:ascii="Times New Roman" w:hAnsi="Times New Roman"/>
          <w:b/>
          <w:noProof/>
        </w:rPr>
        <w:t>Teisinis pagrindas</w:t>
      </w:r>
      <w:bookmarkEnd w:id="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Ataskaita turi būti teikiama pagal 21 straipsnio 2 dalį. Pagal tą nuostatą 11 straipsnio 2 dalyje, 15 straipsnio 4 dalyje ir 18 straipsnio 4 dalyje nurodyti įgaliojimai priimti deleguotuosius aktus Komisijai suteikiami penkerių metų laikotarpiui nuo 2013 m. kovo 21 d. Komisija parengia ataskaitą dėl įgaliojimų suteikimo likus ne mažiau kaip devyniems mėnesiams iki penkerių metų laikotarpio pabaigos. Įgaliojimų suteikimas automatiškai pratęsiamas tokios pačios trukmės laikotarpiams, išskyrus atvejus, kai Europos Parlamentas arba Taryba pareiškia prieštaravimų dėl tokio pratęsimo likus ne mažiau kaip trims mėnesiams iki kiekvieno tokio laikotarpio pabaigos.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0" w:name="_Toc20293958"/>
      <w:r>
        <w:rPr>
          <w:rFonts w:ascii="Times New Roman" w:hAnsi="Times New Roman"/>
          <w:b/>
          <w:noProof/>
        </w:rPr>
        <w:t>Naudojimasis įgaliojimais</w:t>
      </w:r>
      <w:bookmarkEnd w:id="10"/>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Remdamasi 11 straipsnio 2 dalimi, 15 straipsnio 4 dalimi ir 18 straipsnio 4 dalimi Komisija priėmė vieną deleguotąjį aktą: </w:t>
      </w:r>
      <w:r>
        <w:rPr>
          <w:rFonts w:ascii="Times New Roman" w:hAnsi="Times New Roman"/>
          <w:b/>
          <w:noProof/>
        </w:rPr>
        <w:t>Komisijos deleguotąjį reglamentą (ES) Nr. 178/2014</w:t>
      </w:r>
      <w:r>
        <w:rPr>
          <w:rFonts w:ascii="Times New Roman" w:hAnsi="Times New Roman" w:cs="Times New Roman"/>
          <w:noProof/>
          <w:vertAlign w:val="superscript"/>
        </w:rPr>
        <w:footnoteReference w:id="5"/>
      </w:r>
      <w:r>
        <w:rPr>
          <w:rFonts w:ascii="Times New Roman" w:hAnsi="Times New Roman"/>
          <w:noProof/>
        </w:rPr>
        <w:t>. Tuo deleguotuoju aktu nustatomos veiklos vykdytojų registravimo taisyklės, prekybai ne gamybos regione skiriamos pagalbos sumos nustatymo taisyklės ir didžiausios sumos, kuri gali būti skirta studijų finansavimui, demonstravimo projektams, mokymui ir techninei pagalbai, nustatymo taisyklės.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Remiantis bendruoju susitarimu dėl deleguotųjų aktų</w:t>
      </w:r>
      <w:r>
        <w:rPr>
          <w:rStyle w:val="FootnoteReference"/>
          <w:rFonts w:ascii="Times New Roman" w:hAnsi="Times New Roman" w:cs="Times New Roman"/>
          <w:noProof/>
        </w:rPr>
        <w:footnoteReference w:id="6"/>
      </w:r>
      <w:r>
        <w:rPr>
          <w:rFonts w:ascii="Times New Roman" w:hAnsi="Times New Roman"/>
          <w:noProof/>
        </w:rPr>
        <w:t xml:space="preserve"> buvo pasikonsultuota su valstybėmis narėmis Tiesioginių išmokų grupėje, POSEI ir mažųjų Egėjo jūros salų pogrupyje. 2013 m. lapkričio 6 d. Komisija priėmė Deleguotąjį reglamentą (ES) 178/2014; apie reglamentą pranešta Europos Parlamentui ir Tarybai, kad tos institucijos per du mėnesius nuo pranešimo apie aktą galėtų pareikšti prieštaravimus. Nei Europos Parlamentas, nei Taryba nepareiškė prieštaravimų dėl deleguotojo reglamento. Pasibaigus dviejų mėnesių laikotarpiui Komisijos deleguotasis reglamentas (ES) 178/2014 buvo paskelbtas </w:t>
      </w:r>
      <w:r>
        <w:rPr>
          <w:rFonts w:ascii="Times New Roman" w:hAnsi="Times New Roman"/>
          <w:i/>
          <w:iCs/>
          <w:noProof/>
        </w:rPr>
        <w:t>Europos Sąjungos oficialiajame leidinyje</w:t>
      </w:r>
      <w:r>
        <w:rPr>
          <w:rFonts w:ascii="Times New Roman" w:hAnsi="Times New Roman"/>
          <w:noProof/>
        </w:rPr>
        <w:t xml:space="preserve"> (L 63, 2014 m. kovo 4 d.) ir įsigaliojo 2014 m. kovo 7 d.</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Komisija artimiausiu metu neketina vėl naudotis šiais įgaliojimais,</w:t>
      </w:r>
      <w:r>
        <w:rPr>
          <w:noProof/>
        </w:rPr>
        <w:t xml:space="preserve"> </w:t>
      </w:r>
      <w:r>
        <w:rPr>
          <w:rFonts w:ascii="Times New Roman" w:hAnsi="Times New Roman"/>
          <w:noProof/>
        </w:rPr>
        <w:t>tačiau negalima atmesti galimybės, kad tokia būtinybė gali kilti.</w:t>
      </w:r>
      <w:r>
        <w:rPr>
          <w:noProof/>
        </w:rPr>
        <w:t xml:space="preserve">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1" w:name="_Toc20293959"/>
      <w:r>
        <w:rPr>
          <w:rFonts w:ascii="Times New Roman" w:hAnsi="Times New Roman"/>
          <w:b/>
          <w:noProof/>
        </w:rPr>
        <w:t>Išvados</w:t>
      </w:r>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Komisija tinkamai naudojosi deleguotaisiais įgaliojimais.</w:t>
      </w:r>
      <w:r>
        <w:rPr>
          <w:noProof/>
        </w:rPr>
        <w:t xml:space="preserve"> </w:t>
      </w:r>
      <w:r>
        <w:rPr>
          <w:rFonts w:ascii="Times New Roman" w:hAnsi="Times New Roman"/>
          <w:noProof/>
        </w:rPr>
        <w:t>Negalima atmesti galimybės, kad ateityje gali kilti būtinybė pasinaudoti įgaliojimais.</w:t>
      </w:r>
    </w:p>
    <w:p>
      <w:pPr>
        <w:tabs>
          <w:tab w:val="left" w:pos="340"/>
          <w:tab w:val="left" w:pos="510"/>
          <w:tab w:val="left" w:pos="1021"/>
        </w:tabs>
        <w:spacing w:after="120" w:line="240" w:lineRule="auto"/>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Komisija ragina Europos Parlamentą ir Tarybą susipažinti su šia ataskaita.</w:t>
      </w: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ab/>
        <w:t>2013 m. kovo 13 d. Europos Parlamento ir Tarybos reglamentas (ES) Nr. 228/2013, kuriuo nustatomos specialios žemės ūkio priemonės atokiausiems Sąjungos regionams ir panaikinamas Tarybos reglamentas (EB) Nr. 247/2006 (</w:t>
      </w:r>
      <w:r>
        <w:rPr>
          <w:i/>
          <w:iCs/>
        </w:rPr>
        <w:t>OL L 78, 2013 3 20, p. 23</w:t>
      </w:r>
      <w:r>
        <w:t>).</w:t>
      </w:r>
    </w:p>
  </w:footnote>
  <w:footnote w:id="2">
    <w:p>
      <w:pPr>
        <w:pStyle w:val="Footnote1"/>
      </w:pPr>
      <w:r>
        <w:rPr>
          <w:rStyle w:val="FootnoteReference"/>
        </w:rPr>
        <w:footnoteRef/>
      </w:r>
      <w:r>
        <w:tab/>
        <w:t>2013 m. lapkričio 6 d. Komisijos deleguotasis reglamentas (ES) Nr. 179/2014, kuriuo Europos Parlamento ir Tarybos reglamentas (ES) Nr. 228/2013 papildomas nuostatomis dėl ūkinės veiklos vykdytojų registro, prekybai produktais už regiono ribų skiriamos pagalbos sumos, grafinio simbolio, atleidimo nuo importo muito tam tikrų galvijų atveju ir tam tikrų priemonių, susijusių su specialiomis žemės ūkio priemonėmis, finansavimo atokiausiuose Sąjungos regionuose (OL L 63, 2014 3 4, p. 3).</w:t>
      </w:r>
    </w:p>
  </w:footnote>
  <w:footnote w:id="3">
    <w:p>
      <w:pPr>
        <w:pStyle w:val="FootnoteText"/>
      </w:pPr>
      <w:r>
        <w:rPr>
          <w:rStyle w:val="FootnoteReference"/>
        </w:rPr>
        <w:footnoteRef/>
      </w:r>
      <w:r>
        <w:t xml:space="preserve"> </w:t>
      </w:r>
      <w:r>
        <w:tab/>
        <w:t>2011 m. Bendrasis susitarimas dėl deleguotųjų aktų (nepaskelbta).</w:t>
      </w:r>
    </w:p>
  </w:footnote>
  <w:footnote w:id="4">
    <w:p>
      <w:pPr>
        <w:pStyle w:val="Footnote1"/>
      </w:pPr>
      <w:r>
        <w:rPr>
          <w:rStyle w:val="FootnoteReference"/>
        </w:rPr>
        <w:footnoteRef/>
      </w:r>
      <w:r>
        <w:tab/>
        <w:t>2013 m. kovo 13 d. Europos Parlamento ir Tarybos reglamentas (ES) Nr. 229/2013, kuriuo nustatomos specialios žemės ūkio priemonės mažosioms Egėjo jūros saloms ir panaikinamas Tarybos reglamentas (EB) Nr. 1405/2006 (OL L 78, 2013 3 20, p. 41).</w:t>
      </w:r>
    </w:p>
  </w:footnote>
  <w:footnote w:id="5">
    <w:p>
      <w:pPr>
        <w:pStyle w:val="Footnote1"/>
      </w:pPr>
      <w:r>
        <w:rPr>
          <w:rStyle w:val="FootnoteReference"/>
        </w:rPr>
        <w:footnoteRef/>
      </w:r>
      <w:r>
        <w:tab/>
        <w:t>2013 m. lapkričio 6 d. Komisijos deleguotasis reglamentas (ES) Nr. 178/2014, kuriuo papildomas Europos Parlamento ir Tarybos reglamentas (ES) Nr. 229/2013, kuriuo nustatomos specialios žemės ūkio priemonės mažosioms Egėjo jūros saloms (OL L 63, 2014 3 4, p. 1).</w:t>
      </w:r>
    </w:p>
  </w:footnote>
  <w:footnote w:id="6">
    <w:p>
      <w:pPr>
        <w:pStyle w:val="FootnoteText"/>
      </w:pPr>
      <w:r>
        <w:rPr>
          <w:rStyle w:val="FootnoteReference"/>
        </w:rPr>
        <w:footnoteRef/>
      </w:r>
      <w:r>
        <w:t xml:space="preserve"> </w:t>
      </w:r>
      <w:r>
        <w:tab/>
        <w:t>Žr. 3 išnašą.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C6"/>
    <w:multiLevelType w:val="multilevel"/>
    <w:tmpl w:val="FF2AA9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7225C5"/>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653E58"/>
    <w:multiLevelType w:val="hybridMultilevel"/>
    <w:tmpl w:val="0DDE5CA6"/>
    <w:lvl w:ilvl="0" w:tplc="06321D7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270350CD"/>
    <w:multiLevelType w:val="hybridMultilevel"/>
    <w:tmpl w:val="69208A2C"/>
    <w:lvl w:ilvl="0" w:tplc="15F0DA12">
      <w:start w:val="1"/>
      <w:numFmt w:val="decimal"/>
      <w:lvlText w:val="%1."/>
      <w:lvlJc w:val="left"/>
      <w:pPr>
        <w:ind w:left="735" w:hanging="37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CB1D1E"/>
    <w:multiLevelType w:val="hybridMultilevel"/>
    <w:tmpl w:val="97EE051E"/>
    <w:lvl w:ilvl="0" w:tplc="5C18841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E4B1C5C"/>
    <w:multiLevelType w:val="hybridMultilevel"/>
    <w:tmpl w:val="B78041F0"/>
    <w:lvl w:ilvl="0" w:tplc="EFEE19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DD1A6C"/>
    <w:multiLevelType w:val="hybridMultilevel"/>
    <w:tmpl w:val="4D10B944"/>
    <w:lvl w:ilvl="0" w:tplc="D178949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B184E11"/>
    <w:multiLevelType w:val="hybridMultilevel"/>
    <w:tmpl w:val="04D25B18"/>
    <w:lvl w:ilvl="0" w:tplc="0D8621C2">
      <w:start w:val="1"/>
      <w:numFmt w:val="decimal"/>
      <w:lvlText w:val="%1)"/>
      <w:lvlJc w:val="left"/>
      <w:pPr>
        <w:ind w:left="2061"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A864574"/>
    <w:multiLevelType w:val="hybridMultilevel"/>
    <w:tmpl w:val="7116CE70"/>
    <w:lvl w:ilvl="0" w:tplc="B73851C2">
      <w:start w:val="1"/>
      <w:numFmt w:val="lowerLetter"/>
      <w:pStyle w:val="Listparagraph2"/>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55DD3630"/>
    <w:multiLevelType w:val="hybridMultilevel"/>
    <w:tmpl w:val="793674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09B5D0C"/>
    <w:multiLevelType w:val="hybridMultilevel"/>
    <w:tmpl w:val="C960F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76E7A42"/>
    <w:multiLevelType w:val="hybridMultilevel"/>
    <w:tmpl w:val="20A603A0"/>
    <w:lvl w:ilvl="0" w:tplc="4DEE244E">
      <w:start w:val="1"/>
      <w:numFmt w:val="upperLetter"/>
      <w:lvlText w:val="%1)"/>
      <w:lvlJc w:val="left"/>
      <w:pPr>
        <w:ind w:left="720" w:hanging="360"/>
      </w:pPr>
      <w:rPr>
        <w:rFonts w:ascii="Times New Roman" w:eastAsiaTheme="minorHAns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17">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DAC792C"/>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lvlOverride w:ilvl="0">
      <w:startOverride w:val="3"/>
    </w:lvlOverride>
    <w:lvlOverride w:ilvl="1">
      <w:startOverride w:val="1"/>
    </w:lvlOverride>
  </w:num>
  <w:num w:numId="3">
    <w:abstractNumId w:val="9"/>
  </w:num>
  <w:num w:numId="4">
    <w:abstractNumId w:val="17"/>
    <w:lvlOverride w:ilvl="0">
      <w:startOverride w:val="2"/>
    </w:lvlOverride>
    <w:lvlOverride w:ilvl="1">
      <w:startOverride w:val="4"/>
    </w:lvlOverride>
  </w:num>
  <w:num w:numId="5">
    <w:abstractNumId w:val="12"/>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6"/>
  </w:num>
  <w:num w:numId="32">
    <w:abstractNumId w:val="16"/>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4"/>
  </w:num>
  <w:num w:numId="34">
    <w:abstractNumId w:val="14"/>
  </w:num>
  <w:num w:numId="35">
    <w:abstractNumId w:val="2"/>
  </w:num>
  <w:num w:numId="36">
    <w:abstractNumId w:val="5"/>
  </w:num>
  <w:num w:numId="37">
    <w:abstractNumId w:val="15"/>
  </w:num>
  <w:num w:numId="38">
    <w:abstractNumId w:val="8"/>
  </w:num>
  <w:num w:numId="39">
    <w:abstractNumId w:val="3"/>
  </w:num>
  <w:num w:numId="40">
    <w:abstractNumId w:val="7"/>
  </w:num>
  <w:num w:numId="41">
    <w:abstractNumId w:val="13"/>
  </w:num>
  <w:num w:numId="42">
    <w:abstractNumId w:val="6"/>
  </w:num>
  <w:num w:numId="43">
    <w:abstractNumId w:val="0"/>
  </w:num>
  <w:num w:numId="44">
    <w:abstractNumId w:val="1"/>
  </w:num>
  <w:num w:numId="45">
    <w:abstractNumId w:val="17"/>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51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309E382-9C89-4F40-A8B2-403757780A2D"/>
    <w:docVar w:name="LW_COVERPAGE_TYPE" w:val="1"/>
    <w:docVar w:name="LW_CROSSREFERENCE" w:val="&lt;UNUSED&gt;"/>
    <w:docVar w:name="LW_DocType" w:val="NORMAL"/>
    <w:docVar w:name="LW_EMISSION" w:val="2019 09 27"/>
    <w:docVar w:name="LW_EMISSION_ISODATE" w:val="2019-09-27"/>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u279?l naudojimosi \u303?galiojimais priimti deleguotuosius aktus, kurie Komisijai suteikti 2013 m. kovo 13 d. Europos Parlamento ir Tarybos reglamentu (ES) Nr. 228/2013, kuriuo nustatomos specialios \u382?em\u279?s \u363?kio priemon\u279?s atokiausiems S\u261?jungos regionams ir panaikinamas Tarybos reglamentas (EB) Nr. 247/2006, ir 2013 m. kovo 13 d. Europos Parlamento ir Tarybos reglamentu (ES) Nr. 229/2013, kuriuo nustatomos specialios \u382?em\u279?s \u363?kio priemon\u279?s ma\u382?osioms Eg\u279?jo j\u363?ros saloms ir panaikinamas Tarybos reglamentas (EB) Nr. 1405/2006&lt;/FMT&gt;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lt-LT"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lt-L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lt-L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lt-LT"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lt-LT"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lt-LT"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lt-LT"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lt-LT"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lt-LT"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t-LT"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lt-LT"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lt-L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lt-L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lt-LT"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lt-LT"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lt-LT"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lt-LT"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lt-LT"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lt-LT"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t-LT"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81CE98-D621-4996-9CA3-1C3F1873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1234</Words>
  <Characters>8324</Characters>
  <Application>Microsoft Office Word</Application>
  <DocSecurity>0</DocSecurity>
  <Lines>132</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2019-08-02T15:46:00Z</cp:lastPrinted>
  <dcterms:created xsi:type="dcterms:W3CDTF">2019-09-18T09:30:00Z</dcterms:created>
  <dcterms:modified xsi:type="dcterms:W3CDTF">2019-09-26T14:25:00Z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