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0DB404A-1A17-4B66-969F-319FE179FCBD" style="width:450.75pt;height:45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ANEXĂ </w:t>
      </w:r>
    </w:p>
    <w:p>
      <w:pPr>
        <w:jc w:val="center"/>
        <w:rPr>
          <w:b/>
          <w:noProof/>
        </w:rPr>
      </w:pPr>
      <w:r>
        <w:rPr>
          <w:b/>
          <w:noProof/>
        </w:rPr>
        <w:t>Directive de negociere a unui acord între Uniunea Europeană și Japonia pentru transferul și utilizarea de date din registrul cu numele pasagerilor (PNR) în scopul prevenirii și combaterii terorismului și a altor infracțiuni transnaționale grave</w:t>
      </w:r>
    </w:p>
    <w:p>
      <w:pPr>
        <w:rPr>
          <w:rFonts w:eastAsia="Arial Unicode MS"/>
          <w:noProof/>
        </w:rPr>
      </w:pPr>
      <w:r>
        <w:rPr>
          <w:noProof/>
        </w:rPr>
        <w:t>În cursul negocierilor, Comisia Europeană ar trebui să urmărească îndeplinirea obiectivelor prezentate în detaliu în cele ce urmează.</w:t>
      </w:r>
    </w:p>
    <w:p>
      <w:pPr>
        <w:pStyle w:val="Considrant"/>
        <w:numPr>
          <w:ilvl w:val="0"/>
          <w:numId w:val="1"/>
        </w:numPr>
        <w:rPr>
          <w:noProof/>
        </w:rPr>
      </w:pPr>
      <w:r>
        <w:rPr>
          <w:noProof/>
        </w:rPr>
        <w:t>Obiectivul acordului ar trebui să fie stabilirea temeiului juridic, a condițiilor și a garanțiilor pentru transferul de date PNR către Japonia.</w:t>
      </w:r>
    </w:p>
    <w:p>
      <w:pPr>
        <w:pStyle w:val="Considrant"/>
        <w:numPr>
          <w:ilvl w:val="0"/>
          <w:numId w:val="1"/>
        </w:numPr>
        <w:rPr>
          <w:noProof/>
        </w:rPr>
      </w:pPr>
      <w:r>
        <w:rPr>
          <w:noProof/>
        </w:rPr>
        <w:t>Acordul ar trebui să reflecte în mod corespunzător necesitatea și importanța utilizării datelor PNR în prevenirea și combaterea terorismului și a altor infracțiuni transnaționale grave.</w:t>
      </w:r>
    </w:p>
    <w:p>
      <w:pPr>
        <w:pStyle w:val="Considrant"/>
        <w:numPr>
          <w:ilvl w:val="0"/>
          <w:numId w:val="1"/>
        </w:numPr>
        <w:rPr>
          <w:noProof/>
        </w:rPr>
      </w:pPr>
      <w:r>
        <w:rPr>
          <w:noProof/>
        </w:rPr>
        <w:t>În acest scop, obiectivul acordului ar trebui să fie de a reglementa transferul și utilizarea datelor PNR exclusiv în scopul prevenirii și combaterii terorismului și a altor infracțiuni transnaționale grave, cu respectarea deplină a protecției vieții private, a datelor cu caracter personal și a drepturilor și libertăților fundamentale ale persoanelor, în condițiile care urmează a fi stabilite în acord.</w:t>
      </w:r>
    </w:p>
    <w:p>
      <w:pPr>
        <w:pStyle w:val="Considrant"/>
        <w:numPr>
          <w:ilvl w:val="0"/>
          <w:numId w:val="1"/>
        </w:numPr>
        <w:rPr>
          <w:noProof/>
        </w:rPr>
      </w:pPr>
      <w:r>
        <w:rPr>
          <w:noProof/>
        </w:rPr>
        <w:t>Acordul ar trebui să recunoască, de asemenea, că transferul de date PNR către Japonia consolidează cooperarea polițienească și judiciară care se va realiza prin transferul de informații analitice bazate pe datele PNR. Prin urmare, acordul ar trebui să asigure transferul informațiilor analitice provenite de la autoritățile competente ale Japoniei către organele de poliție și autoritățile judiciare din statele membre, precum și către Europol și Eurojust, în limitele competențelor lor.</w:t>
      </w:r>
    </w:p>
    <w:p>
      <w:pPr>
        <w:pStyle w:val="Considrant"/>
        <w:numPr>
          <w:ilvl w:val="0"/>
          <w:numId w:val="1"/>
        </w:numPr>
        <w:rPr>
          <w:noProof/>
        </w:rPr>
      </w:pPr>
      <w:r>
        <w:rPr>
          <w:noProof/>
        </w:rPr>
        <w:t>Pentru a garanta respectarea principiului limitării scopului, acordul ar trebui să limiteze prelucrarea datelor PNR exclusiv la prevenirea, depistarea, investigarea și urmărirea penală a actelor de terorism și a altor infracțiuni transnaționale grave, pe baza definițiilor prevăzute în instrumentele UE relevante.</w:t>
      </w:r>
    </w:p>
    <w:p>
      <w:pPr>
        <w:pStyle w:val="Considrant"/>
        <w:numPr>
          <w:ilvl w:val="0"/>
          <w:numId w:val="1"/>
        </w:numPr>
        <w:rPr>
          <w:noProof/>
        </w:rPr>
      </w:pPr>
      <w:r>
        <w:rPr>
          <w:noProof/>
        </w:rPr>
        <w:t>Acordul ar trebui să asigure respectarea deplină a drepturilor și libertăților fundamentale, astfel cum sunt consacrate la articolul 6 din Tratatul privind UE, în special dreptul la protecția datelor cu caracter personal, astfel cum este prevăzut la articolul 16 din Tratatul privind funcționarea Uniunii Europene și la articolul 8 din Carta drepturilor fundamentale a UE. Acesta ar trebui, de asemenea, să asigure respectarea deplină a principiilor necesității și proporționalității în ceea ce privește dreptul la viață privată și de familie și protecția datelor cu caracter personal, astfel cum sunt prevăzute la articolul 7 și la articolul 8 din Carta drepturilor fundamentale a UE, astfel cum a fost interpretată de Curtea de Justiție în Avizul 1/15 privind acordul preconizat dintre UE și Canada privind PNR.</w:t>
      </w:r>
    </w:p>
    <w:p>
      <w:pPr>
        <w:pStyle w:val="Considrant"/>
        <w:numPr>
          <w:ilvl w:val="0"/>
          <w:numId w:val="1"/>
        </w:numPr>
        <w:rPr>
          <w:noProof/>
        </w:rPr>
      </w:pPr>
      <w:r>
        <w:rPr>
          <w:noProof/>
        </w:rPr>
        <w:t>Acordul ar trebui să ofere securitate juridică, în special transportatorilor aerieni, punându-le la dispoziție un temei juridic pe care să se bazeze pentru a transfera datele PNR conținute în sistemele lor automatizate de rezervare și de control al plecărilor.</w:t>
      </w:r>
    </w:p>
    <w:p>
      <w:pPr>
        <w:pStyle w:val="Considrant"/>
        <w:numPr>
          <w:ilvl w:val="0"/>
          <w:numId w:val="1"/>
        </w:numPr>
        <w:rPr>
          <w:noProof/>
        </w:rPr>
      </w:pPr>
      <w:r>
        <w:rPr>
          <w:noProof/>
        </w:rPr>
        <w:t>În acord ar trebui să se precizeze clar și cu acuratețe garanțiile și controalele necesare în ceea ce privește protecția datelor cu caracter personal, a drepturilor și a libertăților fundamentale ale persoanelor, indiferent de cetățenie sau de locul de reședință, în contextul transferului de date PNR către Japonia. Aceste garanții ar trebui să asigure următoarele:</w:t>
      </w:r>
    </w:p>
    <w:p>
      <w:pPr>
        <w:pStyle w:val="Point1letter"/>
        <w:numPr>
          <w:ilvl w:val="3"/>
          <w:numId w:val="2"/>
        </w:numPr>
        <w:rPr>
          <w:noProof/>
        </w:rPr>
      </w:pPr>
      <w:r>
        <w:rPr>
          <w:noProof/>
        </w:rPr>
        <w:t>Categoriile de date PNR care trebuie transferate ar trebui să fie indicate în mod exhaustiv, clar și precis, în conformitate cu standardele internaționale. Transferurile de date ar trebui să fie limitate la minimul necesar și ar trebui să fie proporționale cu scopul specificat al acordului.</w:t>
      </w:r>
    </w:p>
    <w:p>
      <w:pPr>
        <w:pStyle w:val="Point1letter"/>
        <w:numPr>
          <w:ilvl w:val="3"/>
          <w:numId w:val="2"/>
        </w:numPr>
        <w:rPr>
          <w:noProof/>
        </w:rPr>
      </w:pPr>
      <w:r>
        <w:rPr>
          <w:noProof/>
        </w:rPr>
        <w:t>Datele sensibile, în sensul dreptului UE, inclusiv datele cu caracter personal care dezvăluie originea rasială sau etnică, opiniile politice, convingerile religioase sau filozofice, apartenența sindicală sau referitoare la starea de sănătate sau viața sexuală a unei persoane, nu ar trebui prelucrate.</w:t>
      </w:r>
    </w:p>
    <w:p>
      <w:pPr>
        <w:pStyle w:val="Point1letter"/>
        <w:rPr>
          <w:noProof/>
        </w:rPr>
      </w:pPr>
      <w:r>
        <w:rPr>
          <w:noProof/>
        </w:rPr>
        <w:t xml:space="preserve">Acordul ar trebui să includă dispoziții privind securitatea datelor, mai ales dispoziții care să permită accesul la datele PNR numai unui număr limitat de persoane care dispun de o autorizație specială în acest sens și care să prevadă obligația de a notifica fără întârziere autoritățile europene de supraveghere a protecției datelor cu privire la încălcările securității datelor care afectează datele PNR, cu excepția cazului în care încălcarea nu este susceptibilă să genereze un risc pentru drepturile și libertățile persoanelor fizice, precum și care să facă trimitere la sancțiuni eficace și disuasive. </w:t>
      </w:r>
    </w:p>
    <w:p>
      <w:pPr>
        <w:pStyle w:val="Point1letter"/>
        <w:rPr>
          <w:noProof/>
        </w:rPr>
      </w:pPr>
      <w:r>
        <w:rPr>
          <w:noProof/>
        </w:rPr>
        <w:t xml:space="preserve">Acordul ar trebui să conțină dispoziții privind informarea adecvată și transparentă a pasagerilor în ceea ce privește prelucrarea datelor lor PNR, precum și dreptul pasagerilor de a primi o notificare individuală în caz de utilizare a datelor după sosire, precum și un drept de acces la date și, după caz, de rectificare sau de ștergere a acestora. </w:t>
      </w:r>
    </w:p>
    <w:p>
      <w:pPr>
        <w:pStyle w:val="Point1letter"/>
        <w:rPr>
          <w:noProof/>
        </w:rPr>
      </w:pPr>
      <w:r>
        <w:rPr>
          <w:noProof/>
        </w:rPr>
        <w:t>Acordul ar trebui să asigure, oricărei persoane ale cărei date sunt prelucrate în temeiul acordului, dreptul la căi de atac administrative și judiciare efective, în mod nediscriminatoriu, indiferent de naționalitate sau de locul de reședință, în conformitate cu articolul 47 din Carta drepturilor fundamentale a UE.</w:t>
      </w:r>
    </w:p>
    <w:p>
      <w:pPr>
        <w:pStyle w:val="Point1letter"/>
        <w:rPr>
          <w:noProof/>
        </w:rPr>
      </w:pPr>
      <w:r>
        <w:rPr>
          <w:noProof/>
        </w:rPr>
        <w:t xml:space="preserve">Acordul ar trebui să asigure faptul că prelucrarea automată se bazează pe criterii prestabilite specifice, obiective, nediscriminatorii și fiabile și că aceasta nu ar trebui să fie utilizată ca temei unic pentru deciziile cu efecte juridice nefavorabile pentru o persoană sau care o afectează în mod semnificativ. Datele PNR ar trebui să fie comparate doar cu bazele de date care sunt pertinente pentru scopurile care intră sub incidența acordului, iar aceste baze de date ar trebui să fie fiabile și actualizate. </w:t>
      </w:r>
    </w:p>
    <w:p>
      <w:pPr>
        <w:pStyle w:val="Point1letter"/>
        <w:rPr>
          <w:noProof/>
        </w:rPr>
      </w:pPr>
      <w:r>
        <w:rPr>
          <w:noProof/>
        </w:rPr>
        <w:t xml:space="preserve">Utilizarea datelor PNR de către autoritatea competentă din Japonia dincolo de controalele de securitate și de controalele la frontieră ar trebui să se bazeze pe circumstanțe noi și să fie supusă unor condiții materiale și procedurale bazate pe criterii obiective. Mai precis, o astfel de utilizare ar trebui să facă obiectul unei examinări prealabile efectuate fie de o instanță, fie de un organism administrativ independent, cu excepția cazurilor de urgență justificate în mod corespunzător. </w:t>
      </w:r>
    </w:p>
    <w:p>
      <w:pPr>
        <w:pStyle w:val="Point1letter"/>
        <w:rPr>
          <w:noProof/>
        </w:rPr>
      </w:pPr>
      <w:r>
        <w:rPr>
          <w:noProof/>
        </w:rPr>
        <w:t>Perioada de păstrare a datelor PNR ar trebui să fie limitată și să nu depășească ceea ce este necesar pentru obiectivul inițial urmărit. Păstrarea datelor PNR după plecarea pasagerilor aerieni din Japonia ar trebui să respecte cerințele stabilite în jurisprudența Curții de Justiție. Acordul ar trebui să impună ca datele să fie șterse după expirarea perioadei de păstrare sau să fie anonimizate astfel încât persoana vizată să nu mai fie identificabilă.</w:t>
      </w:r>
    </w:p>
    <w:p>
      <w:pPr>
        <w:pStyle w:val="Point1letter"/>
        <w:rPr>
          <w:noProof/>
        </w:rPr>
      </w:pPr>
      <w:r>
        <w:rPr>
          <w:noProof/>
        </w:rPr>
        <w:t>Acordul ar trebui să asigure faptul că divulgarea ulterioară a datelor PNR către alte autorități guvernamentale din aceeași țară sau către alte țări poate avea loc numai de la caz la caz și cu respectarea anumitor condiții și garanții. Mai precis, o astfel de divulgare poate avea loc numai dacă autoritatea destinatară exercită funcții legate de combaterea terorismului sau a infracțiunilor transnaționale grave și asigură aceleași măsuri de protecție ca cele prevăzute în acord. Transferurile ulterioare către autoritățile competente ale altor țări terțe ar trebui să se limiteze la acele țări cu care UE a încheiat un acord PNR echivalent sau pentru care UE a adoptat, în temeiul legislației UE privind protecția datelor, o decizie privind caracterul adecvat al nivelului de protecție referitoare la autoritățile relevante cărora ar urma să le fie transferate datele PNR.</w:t>
      </w:r>
    </w:p>
    <w:p>
      <w:pPr>
        <w:pStyle w:val="Considrant"/>
        <w:numPr>
          <w:ilvl w:val="0"/>
          <w:numId w:val="1"/>
        </w:numPr>
        <w:rPr>
          <w:noProof/>
        </w:rPr>
      </w:pPr>
      <w:r>
        <w:rPr>
          <w:noProof/>
        </w:rPr>
        <w:t>Acordul ar trebui să asigure un sistem de supraveghere de către o autoritate publică independentă responsabilă de protecția datelor dispunând de competențe efective de investigare, intervenție și aplicare a legii care să îi permită să supravegheze autoritățile publice care utilizează date PNR. Această autoritate ar trebui să aibă competența de a primi plângerile formulate de persoane fizice, în special în ceea ce privește prelucrarea datelor lor PNR. Autoritățile publice care utilizează date PNR ar trebui să răspundă de respectarea normelor privind protecția datelor cu caracter personal prevăzute în prezentul acord.</w:t>
      </w:r>
    </w:p>
    <w:p>
      <w:pPr>
        <w:pStyle w:val="Considrant"/>
        <w:numPr>
          <w:ilvl w:val="0"/>
          <w:numId w:val="1"/>
        </w:numPr>
        <w:rPr>
          <w:noProof/>
        </w:rPr>
      </w:pPr>
      <w:r>
        <w:rPr>
          <w:noProof/>
        </w:rPr>
        <w:t>Acordul ar trebui să impună obligația ca datele să fie transferate exclusiv pe baza unui sistem de tip „push”.</w:t>
      </w:r>
    </w:p>
    <w:p>
      <w:pPr>
        <w:pStyle w:val="Considrant"/>
        <w:numPr>
          <w:ilvl w:val="0"/>
          <w:numId w:val="1"/>
        </w:numPr>
        <w:rPr>
          <w:noProof/>
        </w:rPr>
      </w:pPr>
      <w:r>
        <w:rPr>
          <w:noProof/>
        </w:rPr>
        <w:t>Acordul ar trebui să asigure faptul că frecvența și momentul transmiterii de date PNR nu creează o sarcină excesivă pentru transportatori și se limitează la strictul necesar.</w:t>
      </w:r>
    </w:p>
    <w:p>
      <w:pPr>
        <w:pStyle w:val="Considrant"/>
        <w:numPr>
          <w:ilvl w:val="0"/>
          <w:numId w:val="1"/>
        </w:numPr>
        <w:rPr>
          <w:noProof/>
        </w:rPr>
      </w:pPr>
      <w:r>
        <w:rPr>
          <w:noProof/>
        </w:rPr>
        <w:t>Acordul ar trebui să asigure faptul că transportatorii aerieni nu au obligația de a colecta date suplimentare față de cele pe care le colectează deja sau de a colecta anumite tipuri de date, ci au doar obligația de a transmite datele pe care le colectează deja în cadrul activității lor.</w:t>
      </w:r>
    </w:p>
    <w:p>
      <w:pPr>
        <w:pStyle w:val="Considrant"/>
        <w:numPr>
          <w:ilvl w:val="0"/>
          <w:numId w:val="1"/>
        </w:numPr>
        <w:rPr>
          <w:rFonts w:eastAsia="Arial Unicode MS"/>
          <w:noProof/>
        </w:rPr>
      </w:pPr>
      <w:r>
        <w:rPr>
          <w:noProof/>
        </w:rPr>
        <w:t xml:space="preserve">Acordul ar trebui să includă dispoziții privind examinarea în comun, cu regularitate, a tuturor aspectelor punerii în aplicare a acordului, inclusiv a fiabilității și actualității modelelor prestabilite, a criteriilor și a bazelor de date, care să includă o evaluare a proporționalității datelor păstrate în funcție de valoarea lor pentru prevenirea și combaterea terorismului și a altor infracțiuni transnaționale grave. </w:t>
      </w:r>
    </w:p>
    <w:p>
      <w:pPr>
        <w:pStyle w:val="Considrant"/>
        <w:numPr>
          <w:ilvl w:val="0"/>
          <w:numId w:val="1"/>
        </w:numPr>
        <w:rPr>
          <w:noProof/>
        </w:rPr>
      </w:pPr>
      <w:r>
        <w:rPr>
          <w:noProof/>
        </w:rPr>
        <w:t>Acordul ar trebui să prevadă un mecanism de soluționare a litigiilor legate de interpretarea, aplicarea și punerea în aplicare a acestuia.</w:t>
      </w:r>
    </w:p>
    <w:p>
      <w:pPr>
        <w:pStyle w:val="Considrant"/>
        <w:numPr>
          <w:ilvl w:val="0"/>
          <w:numId w:val="1"/>
        </w:numPr>
        <w:rPr>
          <w:noProof/>
        </w:rPr>
      </w:pPr>
      <w:r>
        <w:rPr>
          <w:noProof/>
        </w:rPr>
        <w:t xml:space="preserve">Acordul ar trebui încheiat pentru o perioadă de 7 ani și ar trebui să includă o dispoziție prin care să poată fi reînnoit pentru o perioadă similară, cu excepția cazului în care este reziliat de una dintre părți. </w:t>
      </w:r>
    </w:p>
    <w:p>
      <w:pPr>
        <w:pStyle w:val="Considrant"/>
        <w:numPr>
          <w:ilvl w:val="0"/>
          <w:numId w:val="1"/>
        </w:numPr>
        <w:rPr>
          <w:noProof/>
        </w:rPr>
      </w:pPr>
      <w:r>
        <w:rPr>
          <w:noProof/>
        </w:rPr>
        <w:t>Acordul ar trebui să includă o clauză referitoare la aplicarea sa teritorială.</w:t>
      </w:r>
    </w:p>
    <w:p>
      <w:pPr>
        <w:pStyle w:val="Considrant"/>
        <w:numPr>
          <w:ilvl w:val="0"/>
          <w:numId w:val="1"/>
        </w:numPr>
        <w:rPr>
          <w:noProof/>
        </w:rPr>
      </w:pPr>
      <w:r>
        <w:rPr>
          <w:noProof/>
        </w:rPr>
        <w:t>Acordul ar trebui să fie autentic în limbile bulgară, cehă, croată, daneză, engleză, estonă, finlandeză, franceză, germană, greacă, italiană, letonă, lituaniană, maghiară, malteză, neerlandeză, polonă, portugheză, română, slovacă, slovenă, spaniolă și suedeză și ar trebui să includă o clauză lingvistică în acest sens.</w:t>
      </w:r>
    </w:p>
    <w:sectPr>
      <w:footerReference w:type="default" r:id="rId16"/>
      <w:footerReference w:type="first" r:id="rId17"/>
      <w:pgSz w:w="11907" w:h="16839"/>
      <w:pgMar w:top="1134"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730D8" w16cid:durableId="211953B0"/>
  <w16cid:commentId w16cid:paraId="7E271FA4" w16cid:durableId="211953B1"/>
  <w16cid:commentId w16cid:paraId="3AF3583B" w16cid:durableId="211953B2"/>
  <w16cid:commentId w16cid:paraId="2C673353" w16cid:durableId="211953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4CFD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2EC7A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9E50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4083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ABE0C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59449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20A2BF0"/>
    <w:lvl w:ilvl="0">
      <w:start w:val="1"/>
      <w:numFmt w:val="decimal"/>
      <w:pStyle w:val="ListNumber"/>
      <w:lvlText w:val="%1."/>
      <w:lvlJc w:val="left"/>
      <w:pPr>
        <w:tabs>
          <w:tab w:val="num" w:pos="360"/>
        </w:tabs>
        <w:ind w:left="360" w:hanging="360"/>
      </w:pPr>
    </w:lvl>
  </w:abstractNum>
  <w:abstractNum w:abstractNumId="7">
    <w:nsid w:val="FFFFFF89"/>
    <w:multiLevelType w:val="singleLevel"/>
    <w:tmpl w:val="36A6F2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27 08:10: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80DB404A-1A17-4B66-969F-319FE179FCBD"/>
    <w:docVar w:name="LW_COVERPAGE_TYPE" w:val="1"/>
    <w:docVar w:name="LW_CROSSREFERENCE" w:val="&lt;UNUSED&gt;"/>
    <w:docVar w:name="LW_DocType" w:val="ANNEX"/>
    <w:docVar w:name="LW_EMISSION" w:val="27.9.2019"/>
    <w:docVar w:name="LW_EMISSION_ISODATE" w:val="2019-09-27"/>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de autorizare a începerii negocierilor pentru încheierea unui acord între Uniunea European\u259? \u537?i Japonia pentru transferul \u537?i utilizarea de date din registrul cu numele pasagerilor (PNR) în scopul prevenirii \u537?i combaterii terorismului \u537?i a altor infrac\u539?iuni transna\u539?ionale grave_x000d__x000d__x000d__x000b_"/>
    <w:docVar w:name="LW_OBJETACTEPRINCIPAL.CP" w:val="de autorizare a începerii negocierilor pentru încheierea unui acord între Uniunea European\u259? \u537?i Japonia pentru transferul \u537?i utilizarea de date din registrul cu numele pasagerilor (PNR) în scopul prevenirii \u537?i combaterii terorismului \u537?i a altor infrac\u539?iuni transna\u539?ionale grave_x000d__x000d__x000d__x000b_"/>
    <w:docVar w:name="LW_PART_NBR" w:val="1"/>
    <w:docVar w:name="LW_PART_NBR_TOTAL" w:val="1"/>
    <w:docVar w:name="LW_REF.INST.NEW" w:val="COM"/>
    <w:docVar w:name="LW_REF.INST.NEW_ADOPTED" w:val="final"/>
    <w:docVar w:name="LW_REF.INST.NEW_TEXT" w:val="(2019) 4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Recomandarea_x000b_de_x000b_DECIZIE A CONSILIULUI "/>
    <w:docVar w:name="LW_TYPEACTEPRINCIPAL.CP" w:val="Recomandarea_x000b_de_x000b_DECIZIE A CONSILIULUI "/>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0652">
      <w:bodyDiv w:val="1"/>
      <w:marLeft w:val="0"/>
      <w:marRight w:val="0"/>
      <w:marTop w:val="0"/>
      <w:marBottom w:val="0"/>
      <w:divBdr>
        <w:top w:val="none" w:sz="0" w:space="0" w:color="auto"/>
        <w:left w:val="none" w:sz="0" w:space="0" w:color="auto"/>
        <w:bottom w:val="none" w:sz="0" w:space="0" w:color="auto"/>
        <w:right w:val="none" w:sz="0" w:space="0" w:color="auto"/>
      </w:divBdr>
    </w:div>
    <w:div w:id="17248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E278-539B-4B82-B3E8-25BB0283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Pages>
  <Words>1498</Words>
  <Characters>8452</Characters>
  <Application>Microsoft Office Word</Application>
  <DocSecurity>0</DocSecurity>
  <Lines>134</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WES PDFC Administrator</cp:lastModifiedBy>
  <cp:revision>9</cp:revision>
  <dcterms:created xsi:type="dcterms:W3CDTF">2019-09-26T15:48:00Z</dcterms:created>
  <dcterms:modified xsi:type="dcterms:W3CDTF">2019-09-27T06:10:00Z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