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4096983C-5D28-4F62-9FE3-8321EE53B802" style="width:450.75pt;height:348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RAPPORT TAL-KUMMISSJONI LILL-PARLAMENT EWROPEW U LILL-KUNSILL</w:t>
      </w:r>
    </w:p>
    <w:p>
      <w:pPr>
        <w:pStyle w:val="Titreobjet"/>
        <w:rPr>
          <w:noProof/>
        </w:rPr>
      </w:pPr>
      <w:r>
        <w:rPr>
          <w:noProof/>
        </w:rPr>
        <w:t>dwar l-eżerċizzju tad-delega mogħtija lill-Kummissjoni skont ir-Regolament (UE) Nru 658/2014 tal-Parlament Ewropew u tal-Kunsill tal-15 ta’ Mejju 2014 dwar tariffi pagabbli lill-Aġenzija Ewropea għall-Mediċini għat-twettiq ta’ attivitajiet ta’ farmakoviġilanza fir-rigward ta’ prodotti mediċinali għall-użu mill-bniedem</w:t>
      </w:r>
    </w:p>
    <w:p>
      <w:pPr>
        <w:pStyle w:val="SubTitle2"/>
        <w:rPr>
          <w:noProof/>
          <w:sz w:val="24"/>
          <w:szCs w:val="24"/>
        </w:rPr>
      </w:pPr>
    </w:p>
    <w:p>
      <w:pPr>
        <w:pStyle w:val="Heading1"/>
        <w:rPr>
          <w:noProof/>
        </w:rPr>
      </w:pPr>
      <w:r>
        <w:rPr>
          <w:noProof/>
        </w:rPr>
        <w:t>Introduzzjoni</w:t>
      </w:r>
    </w:p>
    <w:p>
      <w:pPr>
        <w:rPr>
          <w:noProof/>
        </w:rPr>
      </w:pPr>
      <w:r>
        <w:rPr>
          <w:noProof/>
        </w:rPr>
        <w:t>Il-qafas legali għall-monitoraġġ tas-sikurezza tal-prodotti mediċinali li tqiegħdu fis-suq fl-Unjoni huwa stipulat fir-Regolament (KE) Nru 726/2004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 fid-Direttiva 2001/83/KE</w:t>
      </w:r>
      <w:r>
        <w:rPr>
          <w:rStyle w:val="FootnoteReference"/>
          <w:noProof/>
        </w:rPr>
        <w:footnoteReference w:id="2"/>
      </w:r>
      <w:r>
        <w:rPr>
          <w:noProof/>
        </w:rPr>
        <w:t>. L-attivitajiet ta’ farmakoviġilanza jkopru ċ-ċiklu sħiħ tal-immaniġġjar ta’ prodotti mediċinali għall-użu mill-bniedem b’rabta mas-sikurezza.</w:t>
      </w:r>
    </w:p>
    <w:p>
      <w:pPr>
        <w:rPr>
          <w:noProof/>
        </w:rPr>
      </w:pPr>
      <w:r>
        <w:rPr>
          <w:noProof/>
        </w:rPr>
        <w:t>Biex jiġu ffinanzjati dawn l-attivitajiet, ir-Regolament (UE) Nru 658/2014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(“ir-Regolament dwar it-Tariffi għall-Farmakoviġilanza”) jipprevedi t-tariffi li jridu jitħallsu mid-detenturi tal-awtorizzazzjoni għat-tqegħid fis-suq. Barra minn hekk, jistabbilixxi l-ammonti ta’ remunerazzjoni għar-relaturi u l-korelaturi maħtura mill-kumitati rilevanti għall-valutazzjoni rispettiva (il-Partijiet I sa IV tal-Anness tar-Regolament dwar it-Tariffi għall-Farmakoviġilanza).</w:t>
      </w:r>
    </w:p>
    <w:p>
      <w:pPr>
        <w:rPr>
          <w:noProof/>
        </w:rPr>
      </w:pPr>
      <w:r>
        <w:rPr>
          <w:noProof/>
        </w:rPr>
        <w:t>Ir-Regolament dwar it-Tariffi għall-Farmakoviġilanza jagħti s-setgħa lill-Kummissjoni li tadotta atti delegati li jaġġustaw l-ammonti tat-tariffi u l-ammonti tar-remunerazzjoni għar-relaturi u l-korelaturi, fejn tali aġġustament jitqies iġġustifikat fid-dawl ta’ monitoraġġ annwali tar-rata ta’ inflazzjoni, u li jitkejjel skont l-Indiċi Ewropew tal-Prezzijiet għall-Konsumatur ippubblikat mill-Eurostat (l-Artikolu 15).</w:t>
      </w:r>
    </w:p>
    <w:p>
      <w:pPr>
        <w:pStyle w:val="Heading1"/>
        <w:rPr>
          <w:noProof/>
        </w:rPr>
      </w:pPr>
      <w:r>
        <w:rPr>
          <w:noProof/>
        </w:rPr>
        <w:t>Bażi ġuridika</w:t>
      </w:r>
    </w:p>
    <w:p>
      <w:pPr>
        <w:rPr>
          <w:noProof/>
        </w:rPr>
      </w:pPr>
      <w:r>
        <w:rPr>
          <w:noProof/>
        </w:rPr>
        <w:t>Dan ir-rapport huwa rekwiżit skont l-Artikolu 16(2) tar-Regolament dwar Tariffi għall-Farmakoviġilanza. Din id-dispożizzjoni tiddelega setgħat lill-Kummissjoni għal ħames snin, li jibdew mis-17 ta’ Lulju 2014. Jenħtieġ li jitfassal rapport dwar l-eżerċizzju tad-delega mhux aktar tard minn disa’ xhur qabel tmiem dan il-perjodu. Id-delega tas-setgħa trid tiġi estiża awtomatikament għal perjodi ta’ żmien identiċi, ħlief jekk il-Parlament Ewropew jew il-Kunsill joġġezzjonaw għal tali estensjoni mhux iktar tard minn tliet xhur qabel tmiem kull perjodu.</w:t>
      </w:r>
    </w:p>
    <w:p>
      <w:pPr>
        <w:pStyle w:val="Heading1"/>
        <w:rPr>
          <w:noProof/>
        </w:rPr>
      </w:pPr>
      <w:r>
        <w:rPr>
          <w:noProof/>
        </w:rPr>
        <w:lastRenderedPageBreak/>
        <w:t>Eżerċizzju tad-delega</w:t>
      </w:r>
    </w:p>
    <w:p>
      <w:pPr>
        <w:rPr>
          <w:noProof/>
        </w:rPr>
      </w:pPr>
      <w:r>
        <w:rPr>
          <w:noProof/>
        </w:rPr>
        <w:t>Skont l-Artikolu 15(5) tar-Regolament dwar it-Tariffi għall-Farmakoviġilanza, f’dak li għandu x’jaqsam mal-ammonti stabbiliti fil-Partijiet I sa IV tal-Anness tiegħu, il-Kummissjoni tissorvelja r-rata tal-inflazzjoni magħmula disponibbli mill-Eurostat skont ir-Regolament (KE) Nru 2494/95. Skont l-Artikolu 15(6) tar-Regolament dwar it-Tariffi għall-Farmakoviġilanza, fejn ikun ġustifikat fid-dawl ta’ dak il-monitoraġġ, il-Kummissjoni tadotta atti delegati li jaġġustaw dawk l-ammonti. Matul il-ħames snin in kwistjoni, il-Kummissjoni adottat żewġ atti delegati, l-ewwel wieħed li qies b’mod kumulattiv ir-rata tal-inflazzjoni tal-Unjoni għall-2015 u l-2016 u t-tieni wieħed li qies b’mod kumulattiv ir-rata tal-inflazzjoni tal-Unjoni għall-2017.</w:t>
      </w:r>
    </w:p>
    <w:p>
      <w:pPr>
        <w:pStyle w:val="Heading2"/>
        <w:rPr>
          <w:noProof/>
        </w:rPr>
      </w:pPr>
      <w:r>
        <w:rPr>
          <w:noProof/>
        </w:rPr>
        <w:t>Att delegat li jaġġusta l-ammonti stabbiliti fir-Regolament dwar it-Tariffi għall-Farmakoviġilanza filwaqt li titqies b’mod kumulattiv ir-rata tal-inflazzjoni tal-Unjoni għall-2015 u għall-2016</w:t>
      </w:r>
    </w:p>
    <w:p>
      <w:pPr>
        <w:rPr>
          <w:noProof/>
        </w:rPr>
      </w:pPr>
      <w:r>
        <w:rPr>
          <w:noProof/>
        </w:rPr>
        <w:t>Ir-rata tal-inflazzjoni tal-Unjoni, kif saret disponibbli mill-Eurostat, kienet ta’ 0,2 % għall-2015 u 1,2 % għall-2016. Quddiem dawn ir-rati ta’ inflazzjoni, tqies ġustifikat li jsir aġġustament fl-2017. Għalhekk ġie applikat aġġustament kumulattiv li jqis ir-rati ta’ inflazzjoni għall-2015 u l-2016.</w:t>
      </w:r>
    </w:p>
    <w:p>
      <w:pPr>
        <w:rPr>
          <w:noProof/>
        </w:rPr>
      </w:pPr>
      <w:r>
        <w:rPr>
          <w:noProof/>
        </w:rPr>
        <w:t>Il-Grupp ta’ Esperti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maħluq mill-Kumitat Farmaċewtiku ġie kkonsultat dwar is-suġġett tal-abbozz tar-Regolament Delegat tal-Kummissjoni permezz ta’ proċedura bil-miktub. Saret konsultazzjoni pubblika ta’ erba’ ġimgħat mis-27 ta’ Lulju sal-24 ta’ Awwissu 2017. </w:t>
      </w:r>
    </w:p>
    <w:p>
      <w:pPr>
        <w:rPr>
          <w:noProof/>
        </w:rPr>
      </w:pPr>
      <w:r>
        <w:rPr>
          <w:noProof/>
        </w:rPr>
        <w:t>Il-Kummissjoni adottat l-att delegat fit-18 ta’ Ottubru 2017 u għarrfet lill-Parlament Ewropew u lill-Kunsill b’dan. Ebda waħda miż-żewġ istituzzjonijiet ma oġġezzjonat għall-att delegat fi ħdan il-perjodu ta’ xahrejn stipulat fl-Artikolu 16(5) tar-Regolament dwar il-Tariffi għall-Farmakoviġilanza. Ir-Regolament Delegat tal-Kummissjoni (UE) Nru 2018/92 ġie ppubblikat f’</w:t>
      </w:r>
      <w:r>
        <w:rPr>
          <w:i/>
          <w:noProof/>
        </w:rPr>
        <w:t>Il-Ġurnal Uffiċjali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daħal fis-seħħ fit-12 ta’ Frar 2018.</w:t>
      </w:r>
    </w:p>
    <w:p>
      <w:pPr>
        <w:pStyle w:val="Heading2"/>
        <w:rPr>
          <w:noProof/>
        </w:rPr>
      </w:pPr>
      <w:r>
        <w:rPr>
          <w:noProof/>
        </w:rPr>
        <w:t>Att delegat li jaġġusta l-ammonti stabbiliti fir-Regolament dwar it-Tariffi għall-Farmakoviġilanza filwaqt li titqies b’mod kumulattiv ir-rata tal-inflazzjoni tal-Unjoni għall-2017</w:t>
      </w:r>
    </w:p>
    <w:p>
      <w:pPr>
        <w:rPr>
          <w:noProof/>
        </w:rPr>
      </w:pPr>
      <w:r>
        <w:rPr>
          <w:noProof/>
        </w:rPr>
        <w:t>Ir-rata tal-inflazzjoni tal-Unjoni, kif saret disponibbli mill-Eurostat, kienet ta’ 1,7 % għall-2017. Skont l-Artikolu 15(6) tar-Regolament (UE) Nru 658/2014 tqies iġġustifikat li wieħed jipproċedi għal aġġustament għall-2017.</w:t>
      </w:r>
    </w:p>
    <w:p>
      <w:pPr>
        <w:rPr>
          <w:noProof/>
        </w:rPr>
      </w:pPr>
      <w:r>
        <w:rPr>
          <w:noProof/>
        </w:rPr>
        <w:t>Il-Grupp ta’ Esperti</w:t>
      </w:r>
      <w:r>
        <w:rPr>
          <w:rStyle w:val="FootnoteReference"/>
          <w:noProof/>
        </w:rPr>
        <w:t>4</w:t>
      </w:r>
      <w:r>
        <w:rPr>
          <w:noProof/>
        </w:rPr>
        <w:t xml:space="preserve"> maħluq mill-Kumitat Farmaċewtiku ġie kkonsultat dwar is-suġġett tal-abbozz tar-Regolament Delegat tal-Kummissjoni permezz ta’ proċedura bil-miktub. Saret konsultazzjoni pubblika ta’ erba’ ġimgħat mit-3 ta’ April sat-3 ta’ Mejju 2018. </w:t>
      </w:r>
    </w:p>
    <w:p>
      <w:pPr>
        <w:rPr>
          <w:noProof/>
        </w:rPr>
      </w:pPr>
      <w:r>
        <w:rPr>
          <w:noProof/>
        </w:rPr>
        <w:lastRenderedPageBreak/>
        <w:t>Il-Kummissjoni adottat l-att delegat fil-11 ta’ Lulju 2018 u għarrfet lill-Parlament Ewropew u lill-Kunsill b’dan. Ebda waħda miż-żewġ istituzzjonijiet ma oġġezzjonat għall-att delegat tul il-perjodu ta’ xahrejn stipulat fl-Artikolu 16(5) tar-Regolament dwar il-Tariffi għall-Farmakoviġilanza. Ir-Regolament Delegat tal-Kummissjoni (UE) Nru 2018/1298 ġie ppubblikat f’</w:t>
      </w:r>
      <w:r>
        <w:rPr>
          <w:i/>
          <w:noProof/>
        </w:rPr>
        <w:t>Il-Ġurnal Uffiċjali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daħal fis-seħħ fit-18 ta’ Ottubru 2018.</w:t>
      </w:r>
    </w:p>
    <w:p>
      <w:pPr>
        <w:pStyle w:val="Heading1"/>
        <w:rPr>
          <w:noProof/>
        </w:rPr>
      </w:pP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S’issa, il-Kummissjoni eżerċitat f’żewġ każijiet is-setgħat delegati previsti mir-Regolament (UE) Nru 658/2014 biex l-ammonti ta’ tariffi u remunerazzjoni stabbiliti f’dak ir-Regolament jiġu aġġustati għall-inflazzjoni. Il-Kummissjoni tistieden lill-Parlament Ewropew u lill-Kunsill biex jieħdu nota ta’ dan ir-rapport.</w:t>
      </w: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20" w:right="1701" w:bottom="1020" w:left="1587" w:header="601" w:footer="107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tab/>
        <w:t>Ir-Regolament (KE) Nru 726/2004 tal-Parlament Ewropew u tal-Kunsill tal-31 ta’ Marzu 2004 li jistabbilixxi proċeduri Komunitarji għall-awtorizzazzjoni u s-sorveljanza ta’ prodotti mediċinali għall-użu mill-bniedem u veterinarju u li jistabbilixxi l-Aġenzija Ewropea għall-Mediċini (ĠU L 136, 30.4.2004, p. 1).</w:t>
      </w:r>
    </w:p>
  </w:footnote>
  <w:footnote w:id="2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tab/>
        <w:t>Id-Direttiva 2001/83/KEE tal-Parlament Ewropew u tal-Kunsill tas-6 ta’ Novembru 2001 dwar il-kodiċi tal-Komunità li għandu x’jaqsam ma’ prodotti mediċinali għall-użu mill-bniedem (ĠU L 311, 28.11.2001, p. 67).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(UE) Nru 658/2014 tal-Parlament Ewropew u tal-Kunsill tal-15 ta’ Mejju 2014 dwar tariffi pagabbli lill-Aġenzija Ewropea għall-Mediċini għat-twettiq ta’ attivitajiet ta’ farmakoviġilanza fir-rigward ta’ prodotti mediċinali għall-użu mill-bniedem (ĠU L 189, 27.6.2014, p. 112).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Il-Gruppi ta’ esperti li jgħinu lill-Kummissjoni fit-tħejjija tal-atti delegati huma elenkati fir-Reġistru tal-Gruppi ta’ Esperti tal-Kummissjoni:  http://ec.europa.eu/transparency/regexpert/index.cfm?Lang=MT.</w:t>
      </w:r>
    </w:p>
  </w:footnote>
  <w:footnote w:id="5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 (UE) 2018/92 tat-18 ta’ Ottubru 2017 li jemenda r-Regolament (UE) Nru 658/2014 tal-Parlament Ewropew u tal-Kunsill dwar l-aġġustament fir-rata tal-inflazzjoni tal-ammonti tat-tariffi pagabbli lill-Aġenzija Ewropea għall-Mediċini għat-twettiq ta’ attivitajiet ta’ farmakoviġilanza fir-rigward ta’ prodotti mediċinali għall-użu mill-bniedem (ĠU L 17, 23.1.2018, p. 2).</w:t>
      </w:r>
    </w:p>
  </w:footnote>
  <w:footnote w:id="6">
    <w:p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 (UE) 2018/1298 tal-11 ta’ Lulju 2018 li jemenda r-Regolament (UE) Nru 658/2014 tal-Parlament Ewropew u tal-Kunsill dwar l-aġġustament fir-rata tal-inflazzjoni tal-ammonti tat-tariffi pagabbli lill-Aġenzija Ewropea għall-Mediċini għat-twettiq ta’ attivitajiet ta’ farmakoviġilanza fir-rigward ta’ prodotti mediċinali għall-użu mill-bniedem (ĠU L 244, 28.9.2018, p.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5264666"/>
    <w:name w:val="0,419288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 w:numId="18">
    <w:abstractNumId w:val="18"/>
  </w:num>
  <w:num w:numId="19">
    <w:abstractNumId w:val="2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4096983C-5D28-4F62-9FE3-8321EE53B802"/>
    <w:docVar w:name="LW_COVERPAGE_TYPE" w:val="1"/>
    <w:docVar w:name="LW_CROSSREFERENCE" w:val="&lt;UNUSED&gt;"/>
    <w:docVar w:name="LW_DocType" w:val="REP"/>
    <w:docVar w:name="LW_EMISSION" w:val="30.9.2019"/>
    <w:docVar w:name="LW_EMISSION_ISODATE" w:val="2019-09-30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dwar l-e\u380?er\u267?izzju tad-delega mog\u295?tija lill-Kummissjoni skont ir-Regolament (UE) Nru 658/2014 tal-Parlament Ewropew u tal-Kunsill tal-15 ta\u8217? Mejju 2014 dwar tariffi pagabbli lill-A\u289?enzija Ewropea g\u295?all-Medi\u267?ini g\u295?at-twettiq ta\u8217? attivitajiet ta\u8217? farmakovi\u289?ilanza fir-rigward ta\u8217? prodotti medi\u267?inali g\u295?all-u\u380?u mill-bniedem"/>
    <w:docVar w:name="LW_TYPE.DOC.CP" w:val="RAPPORT TAL-KUMMISSJONI LILL-PARLAMENT EWROPEW U LILL-KUNSILL"/>
    <w:docVar w:name="Stamp" w:val="\\net1.cec.eu.int\DGT\S\S.3\_CURRENT DOCUMENTS\SANTE-2015-00056-00-00-ORI1597940.do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link w:val="SectionTitleChar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</w:rPr>
  </w:style>
  <w:style w:type="paragraph" w:styleId="FootnoteText">
    <w:name w:val="footnote text"/>
    <w:basedOn w:val="Normal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</w:pPr>
    <w:rPr>
      <w:rFonts w:eastAsiaTheme="minorHAnsi"/>
      <w:szCs w:val="22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en-US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en-US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uiPriority w:val="99"/>
    <w:semiHidden/>
    <w:rPr>
      <w:lang w:eastAsia="en-US"/>
    </w:rPr>
  </w:style>
  <w:style w:type="paragraph" w:customStyle="1" w:styleId="Considrant">
    <w:name w:val="Considérant"/>
    <w:basedOn w:val="Normal"/>
    <w:pPr>
      <w:numPr>
        <w:numId w:val="20"/>
      </w:numPr>
      <w:spacing w:before="120" w:after="120"/>
    </w:pPr>
    <w:rPr>
      <w:lang w:eastAsia="en-GB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="Calibr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ectionTitleChar">
    <w:name w:val="SectionTitle Char"/>
    <w:link w:val="SectionTitle"/>
    <w:rPr>
      <w:b/>
      <w:smallCaps/>
      <w:sz w:val="28"/>
      <w:lang w:eastAsia="en-US"/>
    </w:rPr>
  </w:style>
  <w:style w:type="character" w:customStyle="1" w:styleId="FooterCoverPageChar">
    <w:name w:val="Footer Cover Page Char"/>
    <w:link w:val="FooterCoverPage"/>
    <w:rPr>
      <w:sz w:val="24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link w:val="HeaderCoverPage"/>
    <w:rPr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link w:val="CommentText"/>
    <w:semiHidden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Theme="minorHAnsi"/>
      <w:b/>
      <w:szCs w:val="22"/>
    </w:rPr>
  </w:style>
  <w:style w:type="paragraph" w:customStyle="1" w:styleId="TitreobjetPagedecouverture">
    <w:name w:val="Titre objet (Page de couverture)"/>
    <w:basedOn w:val="Titreobjet"/>
    <w:next w:val="Normal"/>
  </w:style>
  <w:style w:type="paragraph" w:customStyle="1" w:styleId="Declassification">
    <w:name w:val="Declassification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</w:pPr>
    <w:rPr>
      <w:rFonts w:eastAsiaTheme="minorHAnsi"/>
      <w:szCs w:val="22"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rFonts w:eastAsiaTheme="minorHAnsi"/>
      <w:b/>
      <w:szCs w:val="22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eastAsiaTheme="minorHAnsi"/>
      <w:sz w:val="28"/>
      <w:szCs w:val="22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link w:val="SectionTitleChar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</w:rPr>
  </w:style>
  <w:style w:type="paragraph" w:styleId="FootnoteText">
    <w:name w:val="footnote text"/>
    <w:basedOn w:val="Normal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</w:pPr>
    <w:rPr>
      <w:rFonts w:eastAsiaTheme="minorHAnsi"/>
      <w:szCs w:val="22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en-US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en-US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uiPriority w:val="99"/>
    <w:semiHidden/>
    <w:rPr>
      <w:lang w:eastAsia="en-US"/>
    </w:rPr>
  </w:style>
  <w:style w:type="paragraph" w:customStyle="1" w:styleId="Considrant">
    <w:name w:val="Considérant"/>
    <w:basedOn w:val="Normal"/>
    <w:pPr>
      <w:numPr>
        <w:numId w:val="20"/>
      </w:numPr>
      <w:spacing w:before="120" w:after="120"/>
    </w:pPr>
    <w:rPr>
      <w:lang w:eastAsia="en-GB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="Calibr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ectionTitleChar">
    <w:name w:val="SectionTitle Char"/>
    <w:link w:val="SectionTitle"/>
    <w:rPr>
      <w:b/>
      <w:smallCaps/>
      <w:sz w:val="28"/>
      <w:lang w:eastAsia="en-US"/>
    </w:rPr>
  </w:style>
  <w:style w:type="character" w:customStyle="1" w:styleId="FooterCoverPageChar">
    <w:name w:val="Footer Cover Page Char"/>
    <w:link w:val="FooterCoverPage"/>
    <w:rPr>
      <w:sz w:val="24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link w:val="HeaderCoverPage"/>
    <w:rPr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link w:val="CommentText"/>
    <w:semiHidden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Theme="minorHAnsi"/>
      <w:b/>
      <w:szCs w:val="22"/>
    </w:rPr>
  </w:style>
  <w:style w:type="paragraph" w:customStyle="1" w:styleId="TitreobjetPagedecouverture">
    <w:name w:val="Titre objet (Page de couverture)"/>
    <w:basedOn w:val="Titreobjet"/>
    <w:next w:val="Normal"/>
  </w:style>
  <w:style w:type="paragraph" w:customStyle="1" w:styleId="Declassification">
    <w:name w:val="Declassification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</w:pPr>
    <w:rPr>
      <w:rFonts w:eastAsiaTheme="minorHAnsi"/>
      <w:szCs w:val="22"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rFonts w:eastAsiaTheme="minorHAnsi"/>
      <w:b/>
      <w:szCs w:val="22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eastAsiaTheme="minorHAnsi"/>
      <w:sz w:val="28"/>
      <w:szCs w:val="22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xts>
  <SecurityPharma>Pharma investigations</SecurityPharma>
  <MarkingUntilText>UNTIL</MarkingUntilText>
  <LabelPictureSeq>Picture {SEQ Picture \* ARABIC } – </LabelPictureSeq>
  <SecurityMediationServiceMatter>Mediation service</SecurityMediationServiceMatter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FooterOffice>Office:</FooterOffice>
  <SecurityOlafInvestigations>OLAF investigations</SecurityOlafInvestigations>
  <TechHistory>Document History</TechHistory>
  <SpecialHandlingClima>CLIMA</SpecialHandlingClima>
  <ETSHandlingFootnote>{field:HYPERLINK "https://myintracomm.ec.europa.eu/corp/security/EN/newDS3/SensitiveInformation/Pages/default.aspx" |https://www.europa.eu/handling_instructions}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CourtProceduralDocuments>Court procedural documents</CourtProceduralDocuments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TechHistoryComment>Comment</TechHistoryComment>
  <Contact>Contact:</Contac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SecurityEtsCritical>ETS Critical</SecurityEtsCritical>
  <SecurityCompSpecial>COMP</SecurityCompSpecial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ETSLimited>ETS Joint Procurement</ETSLimited>
  <SecurityIasOperations>IAS operations</SecurityIasOperations>
  <TechHistoryCreatedBy>Document created by</TechHistoryCreatedBy>
  <FooterPhone>Tel. direct line</FooterPhone>
  <SecuritySecurityMatter>Security matter</SecuritySecurityMatter>
  <TechHistoryVersion>Version</TechHistoryVersion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2.xml><?xml version="1.0" encoding="utf-8"?>
<EurolookProperties>
  <ProductCustomizationId/>
  <Created>
    <Version>4.6</Version>
    <Date>2019-06-18T09:06:50</Date>
    <Language>EN</Language>
  </Created>
  <Edited>
    <Version>10.0.39616.0</Version>
    <Date>2019-08-29T16:24:12</Date>
  </Edited>
  <DocumentModel>
    <Id>6cbda13a-4db2-46c6-876a-ef72275827ef</Id>
    <Name>Report</Name>
  </DocumentModel>
  <DocumentDate/>
  <DocumentVersion/>
  <CompatibilityMode>Eurolook4X</CompatibilityMode>
  <Address/>
</EurolookProperties>
</file>

<file path=customXml/item3.xml><?xml version="1.0" encoding="utf-8"?>
<Author Role="Creator">
  <Id>8b824078-b555-4d65-af37-3565ff908f98</Id>
  <Names>
    <Latin>
      <FirstName>Florian</FirstName>
      <LastName>SCHMIDT</LastName>
    </Latin>
    <Greek>
      <FirstName/>
      <LastName/>
    </Greek>
    <Cyrillic>
      <FirstName/>
      <LastName/>
    </Cyrillic>
    <DocumentScript>
      <FirstName>Florian</FirstName>
      <LastName>SCHMIDT</LastName>
      <FullName>Florian SCHMIDT</FullName>
    </DocumentScript>
  </Names>
  <Initials>FS</Initials>
  <Gender>m</Gender>
  <Email>Florian.SCHMIDT@ec.europa.eu</Email>
  <Service>SANTE.DDG1.B.5</Service>
  <Function ShowInSignature="true">Deputy Head of Unit</Function>
  <WebAddress/>
  <InheritedWebAddress>WebAddress</InheritedWebAddress>
  <OrgaEntity1>
    <Id>6332c4d2-2874-4332-ae74-fc843cef9b7e</Id>
    <LogicalLevel>1</LogicalLevel>
    <Name>SANTE</Name>
    <HeadLine1>DIRECTORATE-GENERAL FOR HEALTH AND FOOD SAFETY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02a2c908-0a43-4523-b9f6-3207448843c0</Id>
    <LogicalLevel>2</LogicalLevel>
    <Name>SANTE.DDG1.B</Name>
    <HeadLine1>Health systems, medical products and innovation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818edb15-bc1b-4ab8-91b3-bd28200d60fb</Id>
    <LogicalLevel>3</LogicalLevel>
    <Name>SANTE.DDG1.B.5</Name>
    <HeadLine1>Medicines: policy, authorisation and monitoring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— Tel. +352 43011</Footer>
    </Address>
  </Addresses>
  <JobAssignmentId/>
  <MainWorkplace IsMain="true">
    <AddressId>f03b5801-04c9-4931-aa17-c6d6c70bc579</AddressId>
    <Fax/>
    <Phone>+32 229 52327</Phone>
    <Office>B232 06/084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+32 229 52327</Phone>
      <Office>B232 06/084</Office>
    </Workplace>
  </Workplaces>
</Author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6505-B407-4FB1-BE97-D4EEFEB8F7FA}">
  <ds:schemaRefs/>
</ds:datastoreItem>
</file>

<file path=customXml/itemProps2.xml><?xml version="1.0" encoding="utf-8"?>
<ds:datastoreItem xmlns:ds="http://schemas.openxmlformats.org/officeDocument/2006/customXml" ds:itemID="{B4983995-E3B0-4FE7-86A8-470ABB954239}">
  <ds:schemaRefs/>
</ds:datastoreItem>
</file>

<file path=customXml/itemProps3.xml><?xml version="1.0" encoding="utf-8"?>
<ds:datastoreItem xmlns:ds="http://schemas.openxmlformats.org/officeDocument/2006/customXml" ds:itemID="{90026879-287D-4F15-BF94-71D124BFFF0A}">
  <ds:schemaRefs/>
</ds:datastoreItem>
</file>

<file path=customXml/itemProps4.xml><?xml version="1.0" encoding="utf-8"?>
<ds:datastoreItem xmlns:ds="http://schemas.openxmlformats.org/officeDocument/2006/customXml" ds:itemID="{58AA0224-1685-456E-B7DC-7F00AFE2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643</Words>
  <Characters>4923</Characters>
  <Application>Microsoft Office Word</Application>
  <DocSecurity>0</DocSecurity>
  <PresentationFormat>Microsoft Word 14.0</PresentationFormat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EL4</cp:keywords>
  <cp:lastModifiedBy>DIGIT/C6</cp:lastModifiedBy>
  <cp:revision>15</cp:revision>
  <cp:lastPrinted>2015-01-22T13:11:00Z</cp:lastPrinted>
  <dcterms:created xsi:type="dcterms:W3CDTF">2019-08-29T08:39:00Z</dcterms:created>
  <dcterms:modified xsi:type="dcterms:W3CDTF">2019-09-23T09:38:00Z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7.0, Build 20190717</vt:lpwstr>
  </property>
  <property fmtid="{D5CDD505-2E9C-101B-9397-08002B2CF9AE}" pid="4" name="Language">
    <vt:lpwstr>EN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  <property fmtid="{D5CDD505-2E9C-101B-9397-08002B2CF9AE}" pid="8" name="Level of sensitivity">
    <vt:lpwstr>Standard treatment</vt:lpwstr>
  </property>
  <property fmtid="{D5CDD505-2E9C-101B-9397-08002B2CF9AE}" pid="9" name="_LW_INVALIDATED_TemplateVersion">
    <vt:lpwstr>4.6.2.4290</vt:lpwstr>
  </property>
  <property fmtid="{D5CDD505-2E9C-101B-9397-08002B2CF9AE}" pid="10" name="_LW_INVALIDATED_EurolookVersion">
    <vt:lpwstr>4.6</vt:lpwstr>
  </property>
  <property fmtid="{D5CDD505-2E9C-101B-9397-08002B2CF9AE}" pid="11" name="_LW_INVALIDATED_DocID_EU">
    <vt:lpwstr> </vt:lpwstr>
  </property>
  <property fmtid="{D5CDD505-2E9C-101B-9397-08002B2CF9AE}" pid="12" name="_LW_INVALIDATED_ELDocType">
    <vt:lpwstr>rep.dot</vt:lpwstr>
  </property>
  <property fmtid="{D5CDD505-2E9C-101B-9397-08002B2CF9AE}" pid="13" name="_LW_INVALIDATED_Formatting">
    <vt:lpwstr>4.1</vt:lpwstr>
  </property>
  <property fmtid="{D5CDD505-2E9C-101B-9397-08002B2CF9AE}" pid="14" name="_LW_INVALIDATED_EL_Author">
    <vt:lpwstr>Florian Schmidt</vt:lpwstr>
  </property>
  <property fmtid="{D5CDD505-2E9C-101B-9397-08002B2CF9AE}" pid="15" name="_LW_INVALIDATED_Type">
    <vt:lpwstr>Eurolook Report</vt:lpwstr>
  </property>
  <property fmtid="{D5CDD505-2E9C-101B-9397-08002B2CF9AE}" pid="16" name="_LW_INVALIDATED_EL_Language">
    <vt:lpwstr>EN</vt:lpwstr>
  </property>
  <property fmtid="{D5CDD505-2E9C-101B-9397-08002B2CF9AE}" pid="17" name="CPTemplateID">
    <vt:lpwstr>CP-006</vt:lpwstr>
  </property>
</Properties>
</file>