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247FDCE3-D2A5-4D46-9A42-18B93F84D41C" style="width:450.45pt;height:380.1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rPr>
          <w:noProof/>
        </w:rPr>
      </w:pPr>
      <w:r>
        <w:rPr>
          <w:noProof/>
        </w:rPr>
        <w:t xml:space="preserve">Il-Kunsill awtorizza lill-Kummissjoni Ewropea tinnegozja, f’isem l-Unjoni Ewropea, it-tiġdid tal-Ftehim u tal-Protokoll li jistabbilixxi l-opportunitajiet tas-sajd u l-kontribuzzjoni finanzjarja previsti fil-Ftehim ta’ Sħubija fis-settur tas-sajd bejn il-Komunità Ewropea u r-Repubblika Iżlamika tal-Mauritania. </w:t>
      </w:r>
    </w:p>
    <w:p>
      <w:pPr>
        <w:rPr>
          <w:noProof/>
        </w:rPr>
      </w:pPr>
      <w:r>
        <w:rPr>
          <w:noProof/>
        </w:rPr>
        <w:t>Sa ma jitlestew in-negozjati biex jiġġeddu l-Ftehim u l-Protokoll tiegħu, il-Kummissjoni nnegozjat, f’isem l-Unjoni Ewropea, Ftehim fil-forma ta’ skambju ta’ ittri dwar l-estensjoni għal perjodu massimu ta’ sena tal-Protokoll dwar l-implimentazzjoni tal-Ftehim li jistabbilixxi l-opportunitajiet tas-sajd u l-kontribuzzjoni finanzjarja (minn hawn ’il quddiem imsejjaħ “l-iskambju ta’ ittri”). L-iskambju ta’ ittri ġie inizjalat fl-4 ta’ Settembru 2019 wara li ntemmu dawn in-negozjati.</w:t>
      </w:r>
    </w:p>
    <w:p>
      <w:pPr>
        <w:rPr>
          <w:noProof/>
        </w:rPr>
      </w:pPr>
      <w:r>
        <w:rPr>
          <w:noProof/>
        </w:rPr>
        <w:t>L-iskambju ta’ ittri għandu l-għan li jippermetti lill-Unjoni Ewropea u lir-Repubblika Iżlamika tal-Mauritania jkomplu jaħdmu bejniethom biex jippromwovu politika tas-sajd sostenibbli u l-użu responsabbli tar-riżorsi tas-sajd fl-ilmijiet tal-Mauritania u li jippermetti lill-bastimenti tal-Unjoni jwettqu l-attivitajiet tas-sajd tagħhom f’dawn l-ilmijiet.</w:t>
      </w:r>
    </w:p>
    <w:p>
      <w:pPr>
        <w:rPr>
          <w:noProof/>
        </w:rPr>
      </w:pPr>
      <w:r>
        <w:rPr>
          <w:noProof/>
        </w:rPr>
        <w:t>Il-Protokoll jipprevedi opportunitajiet tas-sajd fil-kategoriji li ġejjin: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il-kategorija nru 1 — Bastimenti tas-sajd li jistadu għall-krustaċji ħlief għall-awwista u għall-granċ: 5 000 tunnellata u 25 bastiment;</w:t>
      </w:r>
    </w:p>
    <w:p>
      <w:pPr>
        <w:pStyle w:val="Tiret0"/>
        <w:rPr>
          <w:noProof/>
        </w:rPr>
      </w:pPr>
      <w:r>
        <w:rPr>
          <w:noProof/>
        </w:rPr>
        <w:t>il-kategorija nru 2 — Bastimenti tat-tkarkir mingħajr friża u bastimenti tas-sajd bil-konz tal-qiegħ għall-merluzz l-iswed: 6 000 tunnellata u sitt bastimenti;</w:t>
      </w:r>
    </w:p>
    <w:p>
      <w:pPr>
        <w:pStyle w:val="Tiret0"/>
        <w:rPr>
          <w:noProof/>
        </w:rPr>
      </w:pPr>
      <w:r>
        <w:rPr>
          <w:noProof/>
        </w:rPr>
        <w:t>il-kategorija nru 2a — Bastimenti tat-tkarkir (mgħammra bi friża) użati għas-sajd għall-merluzz l-iswed: (merluzz iswed 3 500 tunnellata, klamar 1 450 tunnellata u siċċ 600 tunnellata);</w:t>
      </w:r>
    </w:p>
    <w:p>
      <w:pPr>
        <w:pStyle w:val="Tiret0"/>
        <w:rPr>
          <w:noProof/>
        </w:rPr>
      </w:pPr>
      <w:r>
        <w:rPr>
          <w:noProof/>
        </w:rPr>
        <w:t>il-kategorija nru 3 — Bastimenti tas-sajd għall-ispeċijiet tal-ħut tal-qiegħ minbarra l-merluzz l-iswed, b’irkaptu ieħor mhux bix-xbieki tat-tkarkir: 3 000 tunnellata u sitt bastimenti;</w:t>
      </w:r>
    </w:p>
    <w:p>
      <w:pPr>
        <w:pStyle w:val="Tiret0"/>
        <w:rPr>
          <w:noProof/>
        </w:rPr>
      </w:pPr>
      <w:r>
        <w:rPr>
          <w:noProof/>
        </w:rPr>
        <w:t>il-kategorija nru 4 — Bastimenti tas-sajd għat-tonn bit-tartaruni: 12 500 tunnellata (tunnellaġġ ta’ referenza) u 25 bastiment;</w:t>
      </w:r>
    </w:p>
    <w:p>
      <w:pPr>
        <w:pStyle w:val="Tiret0"/>
        <w:rPr>
          <w:noProof/>
        </w:rPr>
      </w:pPr>
      <w:r>
        <w:rPr>
          <w:noProof/>
        </w:rPr>
        <w:t>il-kategorija nru 5 — Bastimenti tas-sajd għat-tonn bil-qasba u bastimenti tas-sajd bil-konz: 7 500 tunnellata (tunnellaġġ ta’ referenza) u 15-il bastiment;</w:t>
      </w:r>
    </w:p>
    <w:p>
      <w:pPr>
        <w:pStyle w:val="Tiret0"/>
        <w:rPr>
          <w:noProof/>
        </w:rPr>
      </w:pPr>
      <w:r>
        <w:rPr>
          <w:noProof/>
        </w:rPr>
        <w:t>il-kategorija nru 6 — Bastimenti tat-tkarkir mgħammra bi friża użati għas-sajd għall-ħut pelaġiku: 225 000 tunnellata (li jistgħu jinqabżu b’ammont massimu ta’ 10 %) u 19-il bastiment;</w:t>
      </w:r>
    </w:p>
    <w:p>
      <w:pPr>
        <w:pStyle w:val="Tiret0"/>
        <w:rPr>
          <w:noProof/>
        </w:rPr>
      </w:pPr>
      <w:r>
        <w:rPr>
          <w:noProof/>
        </w:rPr>
        <w:t xml:space="preserve">il-kategorija nru 7 — Bastimenti tas-sajd għall-ħut pelaġiku frisk: 15 000 tunnellata (li jitnaqqsu mill-ammont tal-kategorija nru 6 jekk jintużaw) u żewġ bastimenti. </w:t>
      </w:r>
    </w:p>
    <w:p>
      <w:pPr>
        <w:rPr>
          <w:noProof/>
        </w:rPr>
      </w:pPr>
      <w:r>
        <w:rPr>
          <w:noProof/>
        </w:rPr>
        <w:t>Għandu jiġi ddefinit il-metodu għall-allokazzjoni ta’ dawn l-opportunitajiet tas-sajd fost l-Istati Membri. Abbażi ta’ dan, il-Kummissjoni qed tipproponi li l-Kunsill jadotta l-proposta għal Regolament mehmuża.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RIŻULTATI TAL-KONSULTAZZJONIJIET MAL-PARTIJIET IKKONĊERNATI U TAL-VALUTAZZJONIJIET TAL-IMPATT</w:t>
      </w:r>
    </w:p>
    <w:p>
      <w:pPr>
        <w:rPr>
          <w:noProof/>
        </w:rPr>
      </w:pPr>
      <w:r>
        <w:rPr>
          <w:noProof/>
        </w:rPr>
        <w:t>Saru konsultazzjonijiet mal-partijiet ikkonċernati fil-kuntest tal-evalwazzjoni tal-Protokoll għall-2012 sal-2014. Saru konsultazzjonijiet ukoll mal-esperti mill-Istati Membri waqt laqgħat tekniċi. Minn dawn il-konsultazzjonijiet ħareġ li jkun ta’ benefiċċju li jiġġedded il-Ftehim dwar is-Sajd mar-Repubblika Iżlamika tal-Mauritania u li jiġi konkluż Protokoll tas-Sajd magħha.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ELEMENTI ĠURIDIĊI TAL-PROPOSTA</w:t>
      </w:r>
    </w:p>
    <w:p>
      <w:pPr>
        <w:spacing w:before="0" w:after="240"/>
        <w:rPr>
          <w:noProof/>
        </w:rPr>
      </w:pPr>
      <w:r>
        <w:rPr>
          <w:noProof/>
        </w:rPr>
        <w:t xml:space="preserve">Il-bażi ġuridika magħżula hija t-Trattat dwar il-Funzjonament tal-Unjoni Ewropea, li l-Artikolu 43(3) tiegħu jistabbilixxi li l-Kunsill, fuq proposta tal-Kummissjoni, għandu jadotta l-miżuri dwar l-allokazzjoni tal-opportunitajiet tas-sajd. </w:t>
      </w:r>
    </w:p>
    <w:p>
      <w:pPr>
        <w:rPr>
          <w:noProof/>
        </w:rPr>
      </w:pPr>
      <w:r>
        <w:rPr>
          <w:noProof/>
        </w:rPr>
        <w:t>Din il-proċedura qed tinbeda b’mod parallel mal-proċeduri marbutin mad-Deċiżjonijiet tal-Kunsill li jawtorizzaw l-iffirmar u l-applikazzjoni provviżorja kif ukoll il-konklużjoni tal-Ftehim fil-forma ta’ skambju ta’ ittri dwar l-estensjoni għal perjodu massimu ta’ sena tal-Protokoll dwar l-implimentazzjoni tal-Ftehim li jistabbilixxi l-opportunitajiet tas-sajd u l-kontribuzzjoni finanzjarja.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 BAĠITARJA</w:t>
      </w:r>
    </w:p>
    <w:p>
      <w:pPr>
        <w:rPr>
          <w:noProof/>
        </w:rPr>
      </w:pPr>
      <w:r>
        <w:rPr>
          <w:noProof/>
        </w:rPr>
        <w:t>Il-kontribuzzjoni finanzjarja annwali hija ta’ EUR 61 625 000 għal perjodu massimu ta’ sena b’rabta mal-estensjoni, abbażi ta’:</w:t>
      </w:r>
    </w:p>
    <w:p>
      <w:pPr>
        <w:rPr>
          <w:noProof/>
        </w:rPr>
      </w:pPr>
      <w:r>
        <w:rPr>
          <w:noProof/>
        </w:rPr>
        <w:t>(a) qabdiet totali permissibbli ta’ 259 550 tunnellata għall-kategoriji tas-sajd numru 1, 2, 2a, 3, 6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u 7 u tunnellaġġ ta’ referenza ta’ 20 000 tunnellata għall-kategoriji tas-sajd numru 4 u 5 tal-Protokoll, li jikkorrispondu għal ammont marbut mal-aċċess ta’ EUR 57 500 000 fis-sena; u </w:t>
      </w:r>
    </w:p>
    <w:p>
      <w:pPr>
        <w:rPr>
          <w:noProof/>
        </w:rPr>
      </w:pPr>
      <w:r>
        <w:rPr>
          <w:noProof/>
        </w:rPr>
        <w:t>(b) appoġġ għall-iżvilupp tal-politika settorjali tas-sajd tar-Repubblika Iżlamika tal-Mauritania li jammonta għal EUR 4 125 000 fis-sena. Dan l-appoġġ jilħaq l-għanijiet tal-politika nazzjonali tas-sajd u, b’mod partikulari, il-ħtiġijiet tar-Repubblika Iżlamika tal-Mauritania f’dak li għandu x’jaqsam mal-appoġġ għall-kooperazzjoni xjentifika u teknika, għat-taħriġ, għall-monitoraġġ tal-ħut, għall-ħarsien tal-ambjent u għall-iżvilupp tal-infrastruttura.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2019/0208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TAL-KUNSILL</w:t>
      </w:r>
    </w:p>
    <w:p>
      <w:pPr>
        <w:pStyle w:val="Titreobjet"/>
        <w:rPr>
          <w:noProof/>
        </w:rPr>
      </w:pPr>
      <w:r>
        <w:rPr>
          <w:noProof/>
        </w:rPr>
        <w:t>dwar l-allokazzjoni tal-opportunitajiet tas-sajd skont il-Protokoll li jistabbilixxi l-opportunitajiet tas-sajd u l-kontribuzzjoni finanzjarja previsti fil-Ftehim ta’ Sħubija fis-settur tas-sajd bejn il-Komunità Ewropea u r-Repubblika Iżlamika tal-Mauritania għal perjodu massimu ta’ sena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partikulari l-Artikolu 43(3)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Il-Ftehim ta’ Sħubija fis-settur tas-sajd bejn il-Komunità Ewropea u r-Repubblika Iżlamika tal-Mauritania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(minn hawn ’il quddiem imsejjaħ “il-Ftehim”), li ġie approvat bir-Regolament tal-Kunsill (KE) Nru 1801/2006</w:t>
      </w:r>
      <w:r>
        <w:rPr>
          <w:rStyle w:val="FootnoteReference"/>
          <w:noProof/>
        </w:rPr>
        <w:footnoteReference w:id="3"/>
      </w:r>
      <w:r>
        <w:rPr>
          <w:noProof/>
        </w:rPr>
        <w:t>, daħal fis-seħħ fit-8 ta’ Awwissu 2008. Il-Protokoll tiegħu li jistabbilixxi l-opportunitajiet tas-sajd u l-kontribuzzjoni finanzjarja previsti fil-Ftehim (minn hawn ’il quddiem imsejjaħ “il-Protokoll”), li daħal fis-seħħ fl-istess jum għal perjodu ta’ sentejn, ġie sostitwit diversi drabi.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L-aħħar Protokoll tal-Ftehim se jiskadi fil-15 ta’ Novembru 2019.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Sa ma jitlestew in-negozjati biex jiġġeddu l-Ftehim u l-Protokoll tiegħu, il-Kummissjoni nnegozjat, f’isem l-Unjoni Ewropea, Ftehim fil-forma ta’ skambju ta’ ittri dwar l-estensjoni għal perjodu massimu ta’ sena tal-Protokoll li jistabbilixxi l-opportunitajiet tas-sajd u l-kontribuzzjoni finanzjarja previsti fil-Ftehim (minn hawn ’il quddiem imsejjaħ “il-Ftehim fil-forma ta’ skambju ta’ ittri”).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Nhar il-[...], il-Kunsill adotta d-Deċiżjoni (UE) 2019/[…]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dwar l-iffirmar u l-applikazzjoni provviżorja tal-Ftehim fil-forma ta’ skambju ta’ ittri dwar l-estensjoni tal-Protokoll li jistabbilixxi l-opportunitajiet tas-sajd u l-kontribuzzjoni finanzjarja previsti fil-Ftehim ta’ Sħubija fis-settur tas-sajd bejn il-Komunità Ewropea u r-Repubblika Iżlamika tal-Mauritania li se jiskadi fil-15 ta’ Novembru 2019.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Jenħtieġ li jiġi ddefinit il-metodu għall-allokazzjoni tal-opportunitajiet tas-sajd fost l-Istati Membri għall-perjodu tal-applikazzjoni tal-estensjoni tal-Protokoll.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Skont l-Artikolu 47(2) tar-Regolament (UE) 2017/2403 tal-Parlament Ewropew u tal-Kunsill</w:t>
      </w:r>
      <w:r>
        <w:rPr>
          <w:rStyle w:val="FootnoteReference"/>
          <w:noProof/>
        </w:rPr>
        <w:footnoteReference w:id="5"/>
      </w:r>
      <w:r>
        <w:rPr>
          <w:noProof/>
        </w:rPr>
        <w:t>, jekk ikun jidher li l-opportunitajiet tas-sajd allokati lill-Unjoni skont il-Protokoll ma jkunux qed jintużaw għal kollox, il-Kummissjoni għandha tinforma lill-</w:t>
      </w:r>
      <w:r>
        <w:rPr>
          <w:noProof/>
        </w:rPr>
        <w:lastRenderedPageBreak/>
        <w:t>Istati Membri kkonċernati b’dan. F’każ li ma tintbagħatx risposta fi żmien li għandu jiġi stabbilit mill-Kunsill, dan għandu jitqies bħala konferma li l-bastimenti tal-Istat Membru kkonċernat mhux qed jużaw għal kollox l-opportunitajiet tas-sajd tagħhom matul il-perjodu kkonċernat. Jenħtieġ li tiġi stabbilita din l-iskadenza.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Jenħtieġ li dan ir-Regolament jibda japplika mid-data tal-iffirmar tal-Ftehim fil-forma ta’ skambju ta’ ittri,</w:t>
      </w:r>
      <w:r>
        <w:rPr>
          <w:noProof/>
        </w:rPr>
        <w:tab/>
      </w:r>
    </w:p>
    <w:p>
      <w:pPr>
        <w:pStyle w:val="Formuledadoption"/>
        <w:rPr>
          <w:noProof/>
        </w:rPr>
      </w:pPr>
      <w:r>
        <w:rPr>
          <w:noProof/>
        </w:rPr>
        <w:t>ADOTTA DAN IR-REGOLAMENT: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L-opportunitajiet tas-sajd stabbiliti fil-Protokoll li jistabbilixxi l-opportunitajiet tas-sajd u l-kontribuzzjoni finanzjarja previsti fil-Ftehim ta’ Sħubija fis-settur tas-sajd bejn il-Komunità Ewropea u r-Repubblika Iżlamika tal-Mauritania għall-perjodu ta’ validità tal-Protokoll għandhom jitqassmu fost l-Istati Membri kif ġej:</w:t>
      </w:r>
    </w:p>
    <w:p>
      <w:pPr>
        <w:pStyle w:val="Point0"/>
        <w:rPr>
          <w:noProof/>
        </w:rPr>
      </w:pPr>
      <w:r>
        <w:t>(a)</w:t>
      </w:r>
      <w:r>
        <w:tab/>
      </w:r>
      <w:r>
        <w:rPr>
          <w:noProof/>
        </w:rPr>
        <w:t xml:space="preserve">il-kategorija nru 1 — Bastimenti tas-sajd li jistadu għall-krustaċji ħlief għall-awwista u għall-granċ: 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693"/>
        <w:gridCol w:w="2410"/>
      </w:tblGrid>
      <w:tr>
        <w:tc>
          <w:tcPr>
            <w:tcW w:w="2693" w:type="dxa"/>
          </w:tcPr>
          <w:p>
            <w:pPr>
              <w:pStyle w:val="Text1"/>
              <w:tabs>
                <w:tab w:val="left" w:pos="4962"/>
              </w:tabs>
              <w:spacing w:before="0" w:after="0"/>
              <w:ind w:left="-108"/>
              <w:rPr>
                <w:noProof/>
              </w:rPr>
            </w:pPr>
            <w:r>
              <w:rPr>
                <w:noProof/>
              </w:rPr>
              <w:t>Spanja</w:t>
            </w:r>
          </w:p>
        </w:tc>
        <w:tc>
          <w:tcPr>
            <w:tcW w:w="2410" w:type="dxa"/>
          </w:tcPr>
          <w:p>
            <w:pPr>
              <w:pStyle w:val="Text1"/>
              <w:tabs>
                <w:tab w:val="right" w:pos="1310"/>
                <w:tab w:val="left" w:pos="1451"/>
                <w:tab w:val="left" w:pos="4962"/>
              </w:tabs>
              <w:spacing w:before="0" w:after="0"/>
              <w:ind w:left="0"/>
              <w:rPr>
                <w:noProof/>
              </w:rPr>
            </w:pPr>
            <w:r>
              <w:rPr>
                <w:noProof/>
              </w:rPr>
              <w:tab/>
              <w:t>4 150 tunnellata;</w:t>
            </w:r>
          </w:p>
        </w:tc>
      </w:tr>
      <w:tr>
        <w:tc>
          <w:tcPr>
            <w:tcW w:w="2693" w:type="dxa"/>
          </w:tcPr>
          <w:p>
            <w:pPr>
              <w:pStyle w:val="Text1"/>
              <w:tabs>
                <w:tab w:val="left" w:pos="4962"/>
              </w:tabs>
              <w:spacing w:before="0" w:after="0"/>
              <w:ind w:left="-108"/>
              <w:rPr>
                <w:noProof/>
              </w:rPr>
            </w:pPr>
            <w:r>
              <w:rPr>
                <w:noProof/>
              </w:rPr>
              <w:t>l-Italja</w:t>
            </w:r>
          </w:p>
        </w:tc>
        <w:tc>
          <w:tcPr>
            <w:tcW w:w="2410" w:type="dxa"/>
          </w:tcPr>
          <w:p>
            <w:pPr>
              <w:pStyle w:val="Text1"/>
              <w:tabs>
                <w:tab w:val="right" w:pos="1310"/>
                <w:tab w:val="left" w:pos="1451"/>
                <w:tab w:val="left" w:pos="4962"/>
              </w:tabs>
              <w:spacing w:before="0" w:after="0"/>
              <w:ind w:left="0"/>
              <w:rPr>
                <w:noProof/>
              </w:rPr>
            </w:pPr>
            <w:r>
              <w:rPr>
                <w:noProof/>
              </w:rPr>
              <w:tab/>
              <w:t>600 tunnellata;</w:t>
            </w:r>
          </w:p>
        </w:tc>
      </w:tr>
      <w:tr>
        <w:tc>
          <w:tcPr>
            <w:tcW w:w="2693" w:type="dxa"/>
          </w:tcPr>
          <w:p>
            <w:pPr>
              <w:pStyle w:val="Text1"/>
              <w:tabs>
                <w:tab w:val="left" w:pos="4962"/>
              </w:tabs>
              <w:spacing w:before="0" w:after="0"/>
              <w:ind w:left="-108"/>
              <w:rPr>
                <w:noProof/>
              </w:rPr>
            </w:pPr>
            <w:r>
              <w:rPr>
                <w:noProof/>
              </w:rPr>
              <w:t>il-Portugall</w:t>
            </w:r>
          </w:p>
        </w:tc>
        <w:tc>
          <w:tcPr>
            <w:tcW w:w="2410" w:type="dxa"/>
          </w:tcPr>
          <w:p>
            <w:pPr>
              <w:pStyle w:val="Text1"/>
              <w:tabs>
                <w:tab w:val="right" w:pos="1310"/>
                <w:tab w:val="left" w:pos="1451"/>
                <w:tab w:val="left" w:pos="4962"/>
              </w:tabs>
              <w:spacing w:before="0" w:after="0"/>
              <w:ind w:left="0"/>
              <w:rPr>
                <w:noProof/>
              </w:rPr>
            </w:pPr>
            <w:r>
              <w:rPr>
                <w:noProof/>
              </w:rPr>
              <w:tab/>
              <w:t>250 tunnellata.</w:t>
            </w:r>
          </w:p>
        </w:tc>
      </w:tr>
    </w:tbl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F’din il-kategorija, fi kwalunkwe waqt jista’ jkun hemm għadd massimu ta’ 25 bastiment fl-ilmijiet tal-Mauritania;</w:t>
      </w:r>
    </w:p>
    <w:p>
      <w:pPr>
        <w:pStyle w:val="Text1"/>
        <w:rPr>
          <w:noProof/>
        </w:rPr>
      </w:pPr>
    </w:p>
    <w:p>
      <w:pPr>
        <w:pStyle w:val="Point0"/>
        <w:rPr>
          <w:noProof/>
        </w:rPr>
      </w:pPr>
      <w:r>
        <w:t>(b)</w:t>
      </w:r>
      <w:r>
        <w:tab/>
      </w:r>
      <w:r>
        <w:rPr>
          <w:noProof/>
        </w:rPr>
        <w:t xml:space="preserve">il-kategorija nru 2 — Bastimenti tat-tkarkir (mingħajr friża) u bastimenti tas-sajd bil-konz tal-qiegħ għall-merluzz l-iswed: 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693"/>
        <w:gridCol w:w="2410"/>
      </w:tblGrid>
      <w:tr>
        <w:tc>
          <w:tcPr>
            <w:tcW w:w="2693" w:type="dxa"/>
          </w:tcPr>
          <w:p>
            <w:pPr>
              <w:pStyle w:val="Text1"/>
              <w:tabs>
                <w:tab w:val="left" w:pos="4962"/>
              </w:tabs>
              <w:spacing w:before="0" w:after="0"/>
              <w:ind w:left="-108"/>
              <w:rPr>
                <w:noProof/>
              </w:rPr>
            </w:pPr>
            <w:r>
              <w:rPr>
                <w:noProof/>
              </w:rPr>
              <w:t>Spanja</w:t>
            </w:r>
          </w:p>
        </w:tc>
        <w:tc>
          <w:tcPr>
            <w:tcW w:w="2410" w:type="dxa"/>
          </w:tcPr>
          <w:p>
            <w:pPr>
              <w:pStyle w:val="Text1"/>
              <w:tabs>
                <w:tab w:val="left" w:pos="1298"/>
                <w:tab w:val="left" w:pos="4962"/>
              </w:tabs>
              <w:spacing w:before="0" w:after="0"/>
              <w:ind w:left="34"/>
              <w:rPr>
                <w:noProof/>
              </w:rPr>
            </w:pPr>
            <w:r>
              <w:rPr>
                <w:noProof/>
              </w:rPr>
              <w:t>6 000 tunnellata.</w:t>
            </w:r>
          </w:p>
        </w:tc>
      </w:tr>
    </w:tbl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rPr>
          <w:noProof/>
        </w:rPr>
      </w:pPr>
      <w:r>
        <w:rPr>
          <w:noProof/>
        </w:rPr>
        <w:t xml:space="preserve">F’din il-kategorija, fi kwalunkwe waqt jista’ jkun hemm għadd massimu ta’ sitt bastimenti fl-ilmijiet tal-Mauritania; </w:t>
      </w:r>
    </w:p>
    <w:p>
      <w:pPr>
        <w:pStyle w:val="Text1"/>
        <w:tabs>
          <w:tab w:val="right" w:pos="4962"/>
        </w:tabs>
        <w:spacing w:before="0" w:after="0"/>
        <w:rPr>
          <w:noProof/>
        </w:rPr>
      </w:pPr>
    </w:p>
    <w:p>
      <w:pPr>
        <w:pStyle w:val="Point0"/>
        <w:rPr>
          <w:noProof/>
        </w:rPr>
      </w:pPr>
      <w:r>
        <w:t>(c)</w:t>
      </w:r>
      <w:r>
        <w:tab/>
      </w:r>
      <w:r>
        <w:rPr>
          <w:noProof/>
        </w:rPr>
        <w:t xml:space="preserve">il-kategorija nru 3 — Bastimenti tas-sajd għall-ispeċijiet tal-ħut tal-qiegħ minbarra l-merluzz l-iswed, b’irkaptu ieħor mhux bix-xbieki tat-tkarkir: </w:t>
      </w:r>
    </w:p>
    <w:p>
      <w:pPr>
        <w:pStyle w:val="Text1"/>
        <w:tabs>
          <w:tab w:val="left" w:pos="3686"/>
          <w:tab w:val="lef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left" w:pos="3686"/>
          <w:tab w:val="left" w:pos="4962"/>
        </w:tabs>
        <w:spacing w:before="0" w:after="0"/>
        <w:ind w:left="851"/>
        <w:rPr>
          <w:noProof/>
        </w:rPr>
      </w:pPr>
      <w:r>
        <w:rPr>
          <w:noProof/>
        </w:rPr>
        <w:t>Spanja</w:t>
      </w:r>
      <w:r>
        <w:rPr>
          <w:noProof/>
        </w:rPr>
        <w:tab/>
        <w:t>3 000 tunnellata.</w:t>
      </w:r>
    </w:p>
    <w:p>
      <w:pPr>
        <w:pStyle w:val="Text1"/>
        <w:tabs>
          <w:tab w:val="left" w:pos="3686"/>
          <w:tab w:val="lef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 xml:space="preserve">F’din il-kategorija, fi kwalunkwe waqt jista’ jkun hemm għadd massimu ta’ sitt bastimenti fl-ilmijiet tal-Mauritania; </w:t>
      </w:r>
    </w:p>
    <w:p>
      <w:pPr>
        <w:pStyle w:val="Text1"/>
        <w:tabs>
          <w:tab w:val="left" w:pos="3686"/>
          <w:tab w:val="left" w:pos="4962"/>
        </w:tabs>
        <w:spacing w:before="0" w:after="0"/>
        <w:ind w:left="851"/>
        <w:rPr>
          <w:noProof/>
        </w:rPr>
      </w:pPr>
    </w:p>
    <w:p>
      <w:pPr>
        <w:pStyle w:val="Point0"/>
        <w:rPr>
          <w:noProof/>
        </w:rPr>
      </w:pPr>
      <w:r>
        <w:t>(d)</w:t>
      </w:r>
      <w:r>
        <w:tab/>
      </w:r>
      <w:r>
        <w:rPr>
          <w:noProof/>
        </w:rPr>
        <w:t>il-kategorija nru 4 — Bastimenti tas-sajd għat-tonn bit-tartaruni (12 500 tunnellata — tunnellaġġ ta’ referenza):</w:t>
      </w:r>
    </w:p>
    <w:p>
      <w:pPr>
        <w:pStyle w:val="Text1"/>
        <w:tabs>
          <w:tab w:val="left" w:pos="3686"/>
          <w:tab w:val="lef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 xml:space="preserve">Spanja                     </w:t>
      </w:r>
      <w:r>
        <w:rPr>
          <w:noProof/>
        </w:rPr>
        <w:tab/>
        <w:t>17-il liċenzja annwali;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Franza</w:t>
      </w:r>
      <w:r>
        <w:rPr>
          <w:noProof/>
        </w:rPr>
        <w:tab/>
        <w:t>tmien liċenzji annwali;</w:t>
      </w:r>
    </w:p>
    <w:p>
      <w:pPr>
        <w:pStyle w:val="Point0"/>
        <w:rPr>
          <w:noProof/>
        </w:rPr>
      </w:pPr>
      <w:r>
        <w:lastRenderedPageBreak/>
        <w:t>(e)</w:t>
      </w:r>
      <w:r>
        <w:tab/>
      </w:r>
      <w:r>
        <w:rPr>
          <w:noProof/>
        </w:rPr>
        <w:t>il-kategorija nru 5 — Bastimenti tas-sajd għat-tonn bil-qasba u bastimenti tas-sajd bil-konz (7 500 tunnellata — tunnellaġġ ta’ referenza):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Spanja</w:t>
      </w:r>
      <w:r>
        <w:rPr>
          <w:noProof/>
        </w:rPr>
        <w:tab/>
        <w:t>14-il liċenzja annwali;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Franza</w:t>
      </w:r>
      <w:r>
        <w:rPr>
          <w:noProof/>
        </w:rPr>
        <w:tab/>
        <w:t>liċenzja annwali waħda;</w:t>
      </w:r>
    </w:p>
    <w:p>
      <w:pPr>
        <w:pStyle w:val="Point0"/>
        <w:rPr>
          <w:noProof/>
        </w:rPr>
      </w:pPr>
      <w:r>
        <w:t>(f)</w:t>
      </w:r>
      <w:r>
        <w:tab/>
      </w:r>
      <w:r>
        <w:rPr>
          <w:noProof/>
        </w:rPr>
        <w:t>il-kategorija nru 6 — Bastimenti tat-tkarkir mgħammra bi friża użati għas-sajd għall-ħut pelaġiku: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il-Ġermanja</w:t>
      </w:r>
      <w:r>
        <w:rPr>
          <w:noProof/>
        </w:rPr>
        <w:tab/>
        <w:t>12 560 tunnellata;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Franza</w:t>
      </w:r>
      <w:r>
        <w:rPr>
          <w:noProof/>
        </w:rPr>
        <w:tab/>
        <w:t>2 615-il tunnellata;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il-Latvja</w:t>
      </w:r>
      <w:r>
        <w:rPr>
          <w:noProof/>
        </w:rPr>
        <w:tab/>
        <w:t>53 913-il tunnellata;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il-Litwanja</w:t>
      </w:r>
      <w:r>
        <w:rPr>
          <w:noProof/>
        </w:rPr>
        <w:tab/>
        <w:t>57 642 tunnellata;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in-Netherlands</w:t>
      </w:r>
      <w:r>
        <w:rPr>
          <w:noProof/>
        </w:rPr>
        <w:tab/>
        <w:t>62 592 tunnellata;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il-Polonja</w:t>
      </w:r>
      <w:r>
        <w:rPr>
          <w:noProof/>
        </w:rPr>
        <w:tab/>
        <w:t>26 112-il tunnellata;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ir-Renju Unit</w:t>
      </w:r>
      <w:r>
        <w:rPr>
          <w:noProof/>
        </w:rPr>
        <w:tab/>
        <w:t>8 531 tunnellata;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l-Irlanda</w:t>
      </w:r>
      <w:r>
        <w:rPr>
          <w:noProof/>
        </w:rPr>
        <w:tab/>
        <w:t>8 535 tunnellata.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Matul il-perjodu ta’ validità tal-Protokoll, l-Istati Membri għandu jkollhom l-għadd ta’ liċenzji ta’ tliet xhur li ġej: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il-Ġermanja</w:t>
      </w:r>
      <w:r>
        <w:rPr>
          <w:noProof/>
        </w:rPr>
        <w:tab/>
        <w:t>4;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Franza</w:t>
      </w:r>
      <w:r>
        <w:rPr>
          <w:noProof/>
        </w:rPr>
        <w:tab/>
        <w:t>2;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il-Latvja</w:t>
      </w:r>
      <w:r>
        <w:rPr>
          <w:noProof/>
        </w:rPr>
        <w:tab/>
        <w:t>20;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il-Litwanja</w:t>
      </w:r>
      <w:r>
        <w:rPr>
          <w:noProof/>
        </w:rPr>
        <w:tab/>
        <w:t>22;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in-Netherlands</w:t>
      </w:r>
      <w:r>
        <w:rPr>
          <w:noProof/>
        </w:rPr>
        <w:tab/>
        <w:t>16;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il-Polonja</w:t>
      </w:r>
      <w:r>
        <w:rPr>
          <w:noProof/>
        </w:rPr>
        <w:tab/>
        <w:t>8;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ir-Renju Unit</w:t>
      </w:r>
      <w:r>
        <w:rPr>
          <w:noProof/>
        </w:rPr>
        <w:tab/>
        <w:t>2;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l-Irlanda</w:t>
      </w:r>
      <w:r>
        <w:rPr>
          <w:noProof/>
        </w:rPr>
        <w:tab/>
        <w:t>2.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i/>
          <w:noProof/>
        </w:rPr>
      </w:pPr>
      <w:r>
        <w:rPr>
          <w:noProof/>
        </w:rPr>
        <w:t>L-Istati Membri għandhom jgħarrfu lill-Kummissjoni jekk ċerti liċenzji jkunu jistgħu jitqiegħdu għad-dispożizzjoni ta’ Stati Membri oħrajn.</w:t>
      </w:r>
    </w:p>
    <w:p>
      <w:pPr>
        <w:pStyle w:val="Text1"/>
        <w:tabs>
          <w:tab w:val="right" w:pos="4962"/>
        </w:tabs>
        <w:spacing w:before="0" w:after="0"/>
        <w:ind w:left="851"/>
        <w:rPr>
          <w:i/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F’din il-kategorija, fi kwalunkwe waqt jista’ jkun hemm għadd massimu ta’ 19-il bastiment fl-ilmijiet tal-Mauritania;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Point0"/>
        <w:rPr>
          <w:noProof/>
        </w:rPr>
      </w:pPr>
      <w:r>
        <w:t>(g)</w:t>
      </w:r>
      <w:r>
        <w:tab/>
      </w:r>
      <w:r>
        <w:rPr>
          <w:noProof/>
        </w:rPr>
        <w:t>il-kategorija nru 7 — Bastimenti tas-sajd għall-ħut pelaġiku frisk:</w:t>
      </w:r>
    </w:p>
    <w:p>
      <w:pPr>
        <w:pStyle w:val="Text1"/>
        <w:tabs>
          <w:tab w:val="right" w:pos="3686"/>
          <w:tab w:val="right" w:pos="4962"/>
        </w:tabs>
        <w:spacing w:before="0" w:after="0"/>
        <w:ind w:left="3544" w:hanging="2693"/>
        <w:rPr>
          <w:noProof/>
        </w:rPr>
      </w:pPr>
      <w:r>
        <w:rPr>
          <w:noProof/>
        </w:rPr>
        <w:t>l-Irlanda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15 000 tunnellata.</w:t>
      </w:r>
    </w:p>
    <w:p>
      <w:pPr>
        <w:pStyle w:val="Text1"/>
        <w:tabs>
          <w:tab w:val="right" w:pos="3686"/>
          <w:tab w:val="right" w:pos="4962"/>
        </w:tabs>
        <w:spacing w:before="0" w:after="0"/>
        <w:ind w:left="3544" w:hanging="2693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 xml:space="preserve">F’każ li ma jintużawx, dawn l-opportunitajiet tas-sajd għandhom jiġu ttrasferiti għall-kategorija nru 6 skont il-metodu għall-allokazzjoni ta’ dik il-kategorija; </w:t>
      </w:r>
    </w:p>
    <w:p>
      <w:pPr>
        <w:pStyle w:val="Point0"/>
        <w:rPr>
          <w:noProof/>
        </w:rPr>
      </w:pPr>
      <w:r>
        <w:t>(h)</w:t>
      </w:r>
      <w:r>
        <w:tab/>
      </w:r>
      <w:r>
        <w:rPr>
          <w:noProof/>
        </w:rPr>
        <w:t>il-kategorija nru 2a — Bastimenti tat-tkarkir (mgħammra bi friża) użati għas-sajd għall-merluzz l-iswed: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Spanja: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ab/>
        <w:t xml:space="preserve">merluzz iswed </w:t>
      </w:r>
      <w:r>
        <w:rPr>
          <w:noProof/>
        </w:rPr>
        <w:tab/>
      </w:r>
      <w:r>
        <w:rPr>
          <w:noProof/>
        </w:rPr>
        <w:tab/>
        <w:t>3 500 tunnellata;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ab/>
        <w:t xml:space="preserve">klamar </w:t>
      </w:r>
      <w:r>
        <w:rPr>
          <w:noProof/>
        </w:rPr>
        <w:tab/>
      </w:r>
      <w:r>
        <w:rPr>
          <w:noProof/>
        </w:rPr>
        <w:tab/>
        <w:t>1 450 tunnellata;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ab/>
        <w:t xml:space="preserve">siċċ </w:t>
      </w:r>
      <w:r>
        <w:rPr>
          <w:noProof/>
        </w:rPr>
        <w:tab/>
      </w:r>
      <w:r>
        <w:rPr>
          <w:noProof/>
        </w:rPr>
        <w:tab/>
        <w:t>600 tunnellata.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lastRenderedPageBreak/>
        <w:t>F’din il-kategorija, fi kwalunkwe waqt jista’ jkun hemm għadd massimu ta’ sitt bastimenti fl-ilmijiet tal-Mauritania.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Id-data sa meta l-Istati Membri għandhom jikkonfermaw li mhumiex qed jużaw bis-sħiħ l-opportunitajiet tas-sajd li jkunu ngħatawlhom skont il-Ftehim, kif imsemmi fl-Artikolu 47(2) tar-Regolament (UE) 2017/2403, għandha tkun ta’ għaxart ijiem tax-xogħol minn meta l-Kummissjoni tgħarrafhom li l-opportunitajiet tas-sajd mhumiex qed jintużaw għal kollox.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rPr>
          <w:noProof/>
        </w:rPr>
      </w:pPr>
      <w:r>
        <w:rPr>
          <w:noProof/>
        </w:rPr>
        <w:t>Dan ir-Regolament għandu jidħol fis-seħħ l-għada tal-jum tal-pubblikazzjoni tiegħu f’</w:t>
      </w:r>
      <w:r>
        <w:rPr>
          <w:i/>
          <w:iCs/>
          <w:noProof/>
        </w:rPr>
        <w:t>Il-Ġurnal Uffiċjali tal-Unjoni Ewropea</w:t>
      </w:r>
      <w:r>
        <w:rPr>
          <w:noProof/>
        </w:rPr>
        <w:t xml:space="preserve">. </w:t>
      </w:r>
    </w:p>
    <w:p>
      <w:pPr>
        <w:rPr>
          <w:noProof/>
        </w:rPr>
      </w:pPr>
      <w:r>
        <w:rPr>
          <w:noProof/>
        </w:rPr>
        <w:t>Huwa għandu japplika mid-data tal-iffirmar tal-Ftehim fil-forma ta’ skambju ta’ ittri bejn l-Unjoni Ewropea u r-Repubblika Iżlamika tal-Mauritania dwar l-estensjoni tal-Protokoll li jistabbilixxi l-opportunitajiet tas-sajd u l-kontribuzzjoni finanzjarja previsti fil-Ftehim ta’ Sħubija fis-settur tas-sajd bejn il-Komunità Ewropea u r-Repubblika Iżlamika tal-Mauritania, li se jiskadi fil-15 ta’ Novembru 2019.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Dan l-ammont jista’ jinqabeż b’10 % mingħajr konsegwenzi għall-kontribuzzjoni finanzjarja mħallsa mill-Unjoni Ewropea b’rabta mal-aċċess.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ĠU L 343, 8.12.2006, p. 4.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 1801/2006 tat-30 ta’ Novembru 2006 dwar il-konklużjoni tal-Ftehim ta’ Sħubija fis-settur tas-sajd bejn il-Komunità Ewropea u r-Repubblika Iżlamika tal-Mauritania (ĠU L 343, 8.12.2006, p. 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ĠU C , , p. 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ĠU L 347, 28.12.2017, p. 81.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6F81A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CEA09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2E483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236D5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E405E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BC8BA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EFCEA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5C66B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0-01 10:22:18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47FDCE3-D2A5-4D46-9A42-18B93F84D41C"/>
    <w:docVar w:name="LW_COVERPAGE_TYPE" w:val="1"/>
    <w:docVar w:name="LW_CROSSREFERENCE" w:val="&lt;UNUSED&gt;"/>
    <w:docVar w:name="LW_DocType" w:val="COM"/>
    <w:docVar w:name="LW_EMISSION" w:val="1.10.2019"/>
    <w:docVar w:name="LW_EMISSION_ISODATE" w:val="2019-10-01"/>
    <w:docVar w:name="LW_EMISSION_LOCATION" w:val="BRX"/>
    <w:docVar w:name="LW_EMISSION_PREFIX" w:val="Brussell, 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08"/>
    <w:docVar w:name="LW_REF.II.NEW.CP_YEAR" w:val="2019"/>
    <w:docVar w:name="LW_REF.INST.NEW" w:val="COM"/>
    <w:docVar w:name="LW_REF.INST.NEW_ADOPTED" w:val="final"/>
    <w:docVar w:name="LW_REF.INST.NEW_TEXT" w:val="(2019) 44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l-allokazzjoni tal-opportunitajiet tas-sajd skont il-Protokoll li jistabbilixxi l-opportunitajiet tas-sajd u l-kontribuzzjoni finanzjarja previsti fil-Ftehim ta\u8217? S\u295?ubija fis-settur tas-sajd bejn il-Komunità Ewropea u r-Repubblika I\u380?lamika tal-Mauritania g\u295?al perjodu massimu ta\u8217? sena"/>
    <w:docVar w:name="LW_TYPE.DOC.CP" w:val="REGOLAMENT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53215F2-F626-4963-AD5B-0D4FEC57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7</Pages>
  <Words>1431</Words>
  <Characters>10409</Characters>
  <Application>Microsoft Office Word</Application>
  <DocSecurity>0</DocSecurity>
  <Lines>226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2019-09-27T12:37:00Z</dcterms:created>
  <dcterms:modified xsi:type="dcterms:W3CDTF">2019-10-01T08:22:00Z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DQCStatus">
    <vt:lpwstr>Green (DQC version 03)</vt:lpwstr>
  </property>
</Properties>
</file>