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4FE9084B-836C-44D9-866D-88BFD1477998" style="width:450.8pt;height:379.4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rPr>
          <w:noProof/>
        </w:rPr>
      </w:pPr>
      <w:r>
        <w:rPr>
          <w:noProof/>
        </w:rPr>
        <w:t xml:space="preserve">Rada upoważniła Komisję Europejską do prowadzenia negocjacji, w imieniu Unii Europejskiej, w sprawie odnowienia umowy i Protokołu ustalającego uprawnienia do połowów i rekompensatę finansową przewidziane w Umowie o partnerstwie między Wspólnotą Europejską a Islamską Republiką Mauretańską. </w:t>
      </w:r>
    </w:p>
    <w:p>
      <w:pPr>
        <w:rPr>
          <w:noProof/>
        </w:rPr>
      </w:pPr>
      <w:r>
        <w:rPr>
          <w:noProof/>
        </w:rPr>
        <w:t>W oczekiwaniu na zakończenie negocjacji w sprawie odnowienia umowy i protokołu do niej Komisja wynegocjowała w imieniu Unii Europejskiej porozumienie w formie wymiany listów dotyczące przedłużenia na okres maksymalnie jednego roku obowiązywania protokołu ustalającego uprawnienia do połowów i rekompensatę finansową przewidziane w umowie (zwane dalej „wymianą listów”). W wyniku negocjacji w dniu 4 września 2019 r. parafowano wymianę listów.</w:t>
      </w:r>
    </w:p>
    <w:p>
      <w:pPr>
        <w:rPr>
          <w:noProof/>
        </w:rPr>
      </w:pPr>
      <w:r>
        <w:rPr>
          <w:noProof/>
        </w:rPr>
        <w:t>Celem wymiany listów jest umożliwienie Unii Europejskiej i Islamskiej Republice Mauretańskiej kontynuowania współpracy w zakresie propagowania zrównoważonej polityki rybołówstwa i rozsądnej eksploatacji zasobów rybnych w wodach Mauretanii, a także umożliwienie statkom Unii prowadzenie działalności połowowej na tych wodach.</w:t>
      </w:r>
    </w:p>
    <w:p>
      <w:pPr>
        <w:rPr>
          <w:noProof/>
        </w:rPr>
      </w:pPr>
      <w:r>
        <w:rPr>
          <w:noProof/>
        </w:rPr>
        <w:t>Protokół przewiduje w szczególności uprawnienia do połowów w następujących kategoriach: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Kategoria 1 – Statki poławiające skorupiaki, z wyjątkiem langusty i kraba 5000 ton i 25 statków;</w:t>
      </w:r>
    </w:p>
    <w:p>
      <w:pPr>
        <w:pStyle w:val="Tiret0"/>
        <w:rPr>
          <w:noProof/>
        </w:rPr>
      </w:pPr>
      <w:r>
        <w:rPr>
          <w:noProof/>
        </w:rPr>
        <w:t>Kategoria 2 – Trawlery (niebędące zamrażalniami) i taklowce głębinowe do połowów morszczuka „czarnego” (morszczuka senegalskiego i angolańskiego): 6000 ton i 6 statków;</w:t>
      </w:r>
    </w:p>
    <w:p>
      <w:pPr>
        <w:pStyle w:val="Tiret0"/>
        <w:rPr>
          <w:noProof/>
        </w:rPr>
      </w:pPr>
      <w:r>
        <w:rPr>
          <w:noProof/>
        </w:rPr>
        <w:t>Kategoria 2a – Trawlery zamrażalnie do połowów morszczuka „czarnego” (morszczuka senegalskiego i angolańskiego): (morszczuk „czarny” (morszczuk senegalski i angolański): 3 500 ton, kałamarnica: 1 450 ton, mątwa: 600 ton);</w:t>
      </w:r>
    </w:p>
    <w:p>
      <w:pPr>
        <w:pStyle w:val="Tiret0"/>
        <w:rPr>
          <w:noProof/>
        </w:rPr>
      </w:pPr>
      <w:r>
        <w:rPr>
          <w:noProof/>
        </w:rPr>
        <w:t>Kategoria 3 – Statki poławiające gatunki denne inne niż morszczuk „czarny” (morszczuk senegalski i angolański), z użyciem narzędzi innych niż włoki: 3000 ton i 6 statków;</w:t>
      </w:r>
    </w:p>
    <w:p>
      <w:pPr>
        <w:pStyle w:val="Tiret0"/>
        <w:rPr>
          <w:noProof/>
        </w:rPr>
      </w:pPr>
      <w:r>
        <w:rPr>
          <w:noProof/>
        </w:rPr>
        <w:t>Kategoria 4 – sejnery tuńczykowe: 12 500 ton (pojemność referencyjna) i 25 statków;</w:t>
      </w:r>
    </w:p>
    <w:p>
      <w:pPr>
        <w:pStyle w:val="Tiret0"/>
        <w:rPr>
          <w:noProof/>
        </w:rPr>
      </w:pPr>
      <w:r>
        <w:rPr>
          <w:noProof/>
        </w:rPr>
        <w:t>Kategoria 5 – Klipry tuńczykowe i taklowce: 7 500 ton (pojemność referencyjna) i 15 statków;</w:t>
      </w:r>
    </w:p>
    <w:p>
      <w:pPr>
        <w:pStyle w:val="Tiret0"/>
        <w:rPr>
          <w:noProof/>
        </w:rPr>
      </w:pPr>
      <w:r>
        <w:rPr>
          <w:noProof/>
        </w:rPr>
        <w:t>Kategoria 6 – Trawlery zamrażalnie do połowów pelagicznych: 225 000 ton (z dozwolonym przekroczeniem o 10 %) i 19 statków;</w:t>
      </w:r>
    </w:p>
    <w:p>
      <w:pPr>
        <w:pStyle w:val="Tiret0"/>
        <w:rPr>
          <w:noProof/>
        </w:rPr>
      </w:pPr>
      <w:r>
        <w:rPr>
          <w:noProof/>
        </w:rPr>
        <w:t xml:space="preserve">Kategoria 7 – Statki rybackie do połowów pelagicznych ryb świeżych: 15 000 ton (odliczone od wielkości całkowitej kategorii 6, jeśli zostały one wykorzystane) i 2 statki. </w:t>
      </w:r>
    </w:p>
    <w:p>
      <w:pPr>
        <w:rPr>
          <w:noProof/>
        </w:rPr>
      </w:pPr>
      <w:r>
        <w:rPr>
          <w:noProof/>
        </w:rPr>
        <w:t>Należy określić metodę podziału uprawnień do połowów między państwa członkowskie. Na tej podstawie Komisja występuje z wnioskiem o przyjęcie przez Radę załączonego rozporządzenia.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WYNIKI KONSULTACJI Z ZAINTERESOWANYMI STRONAMI ORAZ OCENY SKUTKÓW</w:t>
      </w:r>
    </w:p>
    <w:p>
      <w:pPr>
        <w:rPr>
          <w:noProof/>
        </w:rPr>
      </w:pPr>
      <w:r>
        <w:rPr>
          <w:noProof/>
        </w:rPr>
        <w:t>Konsultacje z zainteresowanymi stronami zostały przeprowadzone w ramach oceny protokołu na lata 2012–2014. Podczas spotkań technicznych przeprowadzono również konsultacje z ekspertami z państw członkowskich. Konsultacje przeprowadzono w celu odnowienia umowy w sprawie połowów oraz zawarcia protokołu w sprawie połowów z Islamską Republiką Mauretańską.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ASPEKTY PRAWNE WNIOSKU</w:t>
      </w:r>
    </w:p>
    <w:p>
      <w:pPr>
        <w:spacing w:before="0" w:after="240"/>
        <w:rPr>
          <w:noProof/>
        </w:rPr>
      </w:pPr>
      <w:r>
        <w:rPr>
          <w:noProof/>
        </w:rPr>
        <w:t xml:space="preserve">Wybraną podstawą prawną jest Traktat o funkcjonowaniu Unii Europejskiej, którego art. 43 ust. 3 stanowi, że Rada przyjmuje, na wniosek Komisji, przydział uprawnień do połowów. </w:t>
      </w:r>
    </w:p>
    <w:p>
      <w:pPr>
        <w:rPr>
          <w:noProof/>
        </w:rPr>
      </w:pPr>
      <w:r>
        <w:rPr>
          <w:noProof/>
        </w:rPr>
        <w:t>Niniejsza procedura została zainicjowana równocześnie z procedurą dotyczącą decyzji Rady w sprawie podpisania i tymczasowego stosowania porozumienia w formie wymiany listów w sprawie przedłużenia na okres maksymalnie jednego roku obowiązywania protokołu wykonawczego do umowy ustalającego uprawnienia do połowów i rekompensatę finansową.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>
      <w:pPr>
        <w:rPr>
          <w:noProof/>
        </w:rPr>
      </w:pPr>
      <w:r>
        <w:rPr>
          <w:noProof/>
        </w:rPr>
        <w:t>Roczną rekompensatę finansową w wysokości 61 625 000 EUR, na okres maksymalnie jednego roku, wyliczono na podstawie:</w:t>
      </w:r>
    </w:p>
    <w:p>
      <w:pPr>
        <w:rPr>
          <w:noProof/>
        </w:rPr>
      </w:pPr>
      <w:r>
        <w:rPr>
          <w:noProof/>
        </w:rPr>
        <w:t>a) całkowitego dopuszczalnego połowu wynoszącego 259 550 ton dla określonych w protokole kategorii połowów 1, 2, 2a, 3, 6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i 7 oraz pojemności referencyjnej wynoszącej 20 000 ton dla kategorii połowów 4 i 5, odpowiadających kwocie za dostęp wynoszącej 57 500 000 EUR rocznie oraz </w:t>
      </w:r>
    </w:p>
    <w:p>
      <w:pPr>
        <w:rPr>
          <w:noProof/>
        </w:rPr>
      </w:pPr>
      <w:r>
        <w:rPr>
          <w:noProof/>
        </w:rPr>
        <w:t>b) wsparcia na rozwój sektorowej polityki rybołówstwa Islamskiej Republiki Mauretańskiej w wysokości 4 125 000 EUR rocznie. Wsparcie to jest zgodne z celami krajowej polityki rybołówstwa, a zwłaszcza z potrzebami Islamskiej Republiki Mauretańskiej w zakresie współpracy naukowej i technicznej, kształcenia, nadzoru nad rybołówstwem, ochrony środowiska i infrastruktury rozwoju.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2019/0208 (NLE)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ROZPORZĄDZENIE RADY</w:t>
      </w:r>
    </w:p>
    <w:p>
      <w:pPr>
        <w:pStyle w:val="Titreobjet"/>
        <w:rPr>
          <w:noProof/>
        </w:rPr>
      </w:pPr>
      <w:r>
        <w:rPr>
          <w:noProof/>
        </w:rPr>
        <w:t>w sprawie przydziału uprawnień do połowów z tytułu Protokołu ustalającego na okres maksymalnie jednego roku uprawnienia do połowów i rekompensatę finansową przewidziane w Umowie o partnerstwie w sprawie połowów między Wspólnotą Europejską a Islamską Republiką Mauretańską</w:t>
      </w:r>
    </w:p>
    <w:p>
      <w:pPr>
        <w:pStyle w:val="Institutionquiagit"/>
        <w:rPr>
          <w:noProof/>
        </w:rPr>
      </w:pPr>
      <w:r>
        <w:rPr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43 ust. 3,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Umowa partnerska w sprawie połowów między Wspólnotą Europejską a Islamską Republiką Mauretańską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(zwana dalej „umową”), zatwierdzona rozporządzeniem Rady (WE) nr 1801/2006</w:t>
      </w:r>
      <w:r>
        <w:rPr>
          <w:rStyle w:val="FootnoteReference"/>
          <w:noProof/>
        </w:rPr>
        <w:footnoteReference w:id="3"/>
      </w:r>
      <w:r>
        <w:rPr>
          <w:noProof/>
        </w:rPr>
        <w:t>, weszła w życie dnia 8 sierpnia 2008 r. Protokół do niej ustalający uprawnienia do połowów i rekompensatę finansową przewidziane w umowie (zwany dalej „protokołem”), który wszedł w życie tego samego dnia na okres dwóch lat, był wielokrotnie zastępowany.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Ostatni obowiązujący protokół do umowy wygasa z dniem 15 listopada 2019 r.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W oczekiwaniu na zakończenie negocjacji w sprawie odnowienia umowy i protokołu do niej Komisja wynegocjowała w imieniu Unii Europejskiej porozumienie w formie wymiany listów dotyczące przedłużenia na okres maksymalnie jednego roku obowiązywania protokołu ustalającego uprawnienia do połowów i rekompensatę finansową przewidziane w umowie (zwane dalej „wymianą listów”).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W dniu […] r. Rada przyjęła decyzję (UE) 2019/[…]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w sprawie podpisania oraz tymczasowego stosowania Porozumienia w formie wymiany listów w sprawie przedłużenia obowiązywania Protokołu ustalającego uprawnienia do połowów i rekompensatę finansową przewidziane w Umowie partnerskiej w sprawie połowów między Wspólnotą Europejską a Islamską Republiką Mauretańską, który wygasa z dniem 15 listopada 2019 r.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Należy określić metodę podziału uprawnień do połowów pomiędzy państwa członkowskie na cały okres stosowania przedłużenia protokołu.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Zgodnie z art. 47 ust. 2 rozporządzenia Parlamentu Europejskiego i Rady (UE) 2017/2403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, jeżeli okaże się, że uprawnienia do połowów przydzielone Unii w ramach protokołu nie są w pełni wykorzystane, Komisja informuje o tym fakcie </w:t>
      </w:r>
      <w:r>
        <w:rPr>
          <w:noProof/>
        </w:rPr>
        <w:lastRenderedPageBreak/>
        <w:t>zainteresowane państwa członkowskie. Brak odpowiedzi w terminie określonym przez Radę uznawany jest za potwierdzenie, że statki danego państwa członkowskiego nie wykorzystują w pełni przyznanych im uprawnień do połowów w danym okresie. Należy określić ten termin.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Niniejsze rozporządzenie należy stosować od dnia podpisania porozumienia w formie wymiany listów,</w:t>
      </w:r>
      <w:r>
        <w:rPr>
          <w:noProof/>
        </w:rPr>
        <w:tab/>
      </w:r>
    </w:p>
    <w:p>
      <w:pPr>
        <w:pStyle w:val="Formuledadoption"/>
        <w:rPr>
          <w:noProof/>
        </w:rPr>
      </w:pPr>
      <w:r>
        <w:rPr>
          <w:noProof/>
        </w:rPr>
        <w:t>PRZYJMUJE NINIEJSZE ROZPORZĄDZENIE: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Uprawnienia do połowów ustanowione w ramach Protokołu ustalającego – na okres obowiązywania protokołu – uprawnienia do połowów i rekompensatę finansową przewidziane w Umowie partnerskiej w sprawie połowów między Unią Europejską a Islamską Republiką Mauretańską, przydziela się państwom członkowskim w następujący sposób: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Kategoria 1 – Statki poławiające skorupiaki, z wyjątkiem langusty i kraba 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693"/>
        <w:gridCol w:w="2410"/>
      </w:tblGrid>
      <w:tr>
        <w:tc>
          <w:tcPr>
            <w:tcW w:w="2693" w:type="dxa"/>
          </w:tcPr>
          <w:p>
            <w:pPr>
              <w:pStyle w:val="Text1"/>
              <w:tabs>
                <w:tab w:val="left" w:pos="4962"/>
              </w:tabs>
              <w:spacing w:before="0" w:after="0"/>
              <w:ind w:left="-108"/>
              <w:rPr>
                <w:noProof/>
              </w:rPr>
            </w:pPr>
            <w:r>
              <w:rPr>
                <w:noProof/>
              </w:rPr>
              <w:t>Hiszpania</w:t>
            </w:r>
          </w:p>
        </w:tc>
        <w:tc>
          <w:tcPr>
            <w:tcW w:w="2410" w:type="dxa"/>
          </w:tcPr>
          <w:p>
            <w:pPr>
              <w:pStyle w:val="Text1"/>
              <w:tabs>
                <w:tab w:val="right" w:pos="1310"/>
                <w:tab w:val="left" w:pos="1451"/>
                <w:tab w:val="left" w:pos="4962"/>
              </w:tabs>
              <w:spacing w:before="0" w:after="0"/>
              <w:ind w:left="0"/>
              <w:rPr>
                <w:noProof/>
              </w:rPr>
            </w:pPr>
            <w:r>
              <w:rPr>
                <w:noProof/>
              </w:rPr>
              <w:tab/>
              <w:t>4 150 ton</w:t>
            </w:r>
          </w:p>
        </w:tc>
      </w:tr>
      <w:tr>
        <w:tc>
          <w:tcPr>
            <w:tcW w:w="2693" w:type="dxa"/>
          </w:tcPr>
          <w:p>
            <w:pPr>
              <w:pStyle w:val="Text1"/>
              <w:tabs>
                <w:tab w:val="left" w:pos="4962"/>
              </w:tabs>
              <w:spacing w:before="0" w:after="0"/>
              <w:ind w:left="-108"/>
              <w:rPr>
                <w:noProof/>
              </w:rPr>
            </w:pPr>
            <w:r>
              <w:rPr>
                <w:noProof/>
              </w:rPr>
              <w:t>Włochy</w:t>
            </w:r>
          </w:p>
        </w:tc>
        <w:tc>
          <w:tcPr>
            <w:tcW w:w="2410" w:type="dxa"/>
          </w:tcPr>
          <w:p>
            <w:pPr>
              <w:pStyle w:val="Text1"/>
              <w:tabs>
                <w:tab w:val="right" w:pos="1310"/>
                <w:tab w:val="left" w:pos="1451"/>
                <w:tab w:val="left" w:pos="4962"/>
              </w:tabs>
              <w:spacing w:before="0" w:after="0"/>
              <w:ind w:left="0"/>
              <w:rPr>
                <w:noProof/>
              </w:rPr>
            </w:pPr>
            <w:r>
              <w:rPr>
                <w:noProof/>
              </w:rPr>
              <w:tab/>
              <w:t>600 ton</w:t>
            </w:r>
          </w:p>
        </w:tc>
      </w:tr>
      <w:tr>
        <w:tc>
          <w:tcPr>
            <w:tcW w:w="2693" w:type="dxa"/>
          </w:tcPr>
          <w:p>
            <w:pPr>
              <w:pStyle w:val="Text1"/>
              <w:tabs>
                <w:tab w:val="left" w:pos="4962"/>
              </w:tabs>
              <w:spacing w:before="0" w:after="0"/>
              <w:ind w:left="-108"/>
              <w:rPr>
                <w:noProof/>
              </w:rPr>
            </w:pPr>
            <w:r>
              <w:rPr>
                <w:noProof/>
              </w:rPr>
              <w:t>Portugalia</w:t>
            </w:r>
          </w:p>
        </w:tc>
        <w:tc>
          <w:tcPr>
            <w:tcW w:w="2410" w:type="dxa"/>
          </w:tcPr>
          <w:p>
            <w:pPr>
              <w:pStyle w:val="Text1"/>
              <w:tabs>
                <w:tab w:val="right" w:pos="1310"/>
                <w:tab w:val="left" w:pos="1451"/>
                <w:tab w:val="left" w:pos="4962"/>
              </w:tabs>
              <w:spacing w:before="0" w:after="0"/>
              <w:ind w:left="0"/>
              <w:rPr>
                <w:noProof/>
              </w:rPr>
            </w:pPr>
            <w:r>
              <w:rPr>
                <w:noProof/>
              </w:rPr>
              <w:tab/>
              <w:t>250 ton</w:t>
            </w:r>
          </w:p>
        </w:tc>
      </w:tr>
    </w:tbl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W odniesieniu do tej kategorii w wodach Mauretanii połowy może prowadzić maksymalnie 25 statków.</w:t>
      </w:r>
    </w:p>
    <w:p>
      <w:pPr>
        <w:pStyle w:val="Text1"/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Kategoria 2 – Trawlery (niebędące zamrażalniami) i taklowce głębinowe do połowów morszczuka „czarnego” (morszczuka senegalskiego i angolańskiego) 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693"/>
        <w:gridCol w:w="2410"/>
      </w:tblGrid>
      <w:tr>
        <w:tc>
          <w:tcPr>
            <w:tcW w:w="2693" w:type="dxa"/>
          </w:tcPr>
          <w:p>
            <w:pPr>
              <w:pStyle w:val="Text1"/>
              <w:tabs>
                <w:tab w:val="left" w:pos="4962"/>
              </w:tabs>
              <w:spacing w:before="0" w:after="0"/>
              <w:ind w:left="-108"/>
              <w:rPr>
                <w:noProof/>
              </w:rPr>
            </w:pPr>
            <w:r>
              <w:rPr>
                <w:noProof/>
              </w:rPr>
              <w:t>Hiszpania</w:t>
            </w:r>
          </w:p>
        </w:tc>
        <w:tc>
          <w:tcPr>
            <w:tcW w:w="2410" w:type="dxa"/>
          </w:tcPr>
          <w:p>
            <w:pPr>
              <w:pStyle w:val="Text1"/>
              <w:tabs>
                <w:tab w:val="left" w:pos="1298"/>
                <w:tab w:val="left" w:pos="4962"/>
              </w:tabs>
              <w:spacing w:before="0" w:after="0"/>
              <w:ind w:left="34"/>
              <w:rPr>
                <w:noProof/>
              </w:rPr>
            </w:pPr>
            <w:r>
              <w:rPr>
                <w:noProof/>
              </w:rPr>
              <w:t>6 000 ton</w:t>
            </w:r>
          </w:p>
        </w:tc>
      </w:tr>
    </w:tbl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rPr>
          <w:noProof/>
        </w:rPr>
      </w:pPr>
      <w:r>
        <w:rPr>
          <w:noProof/>
        </w:rPr>
        <w:t xml:space="preserve">W odniesieniu do tej kategorii w wodach Mauretanii połowy może prowadzić maksymalnie 6 statków. </w:t>
      </w:r>
    </w:p>
    <w:p>
      <w:pPr>
        <w:pStyle w:val="Text1"/>
        <w:tabs>
          <w:tab w:val="right" w:pos="4962"/>
        </w:tabs>
        <w:spacing w:before="0" w:after="0"/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Kategoria 3 – Statki poławiające gatunki denne inne niż morszczuk „czarny” (morszczuk senegalski i angolański), z użyciem narzędzi innych niż włoki </w:t>
      </w:r>
    </w:p>
    <w:p>
      <w:pPr>
        <w:pStyle w:val="Text1"/>
        <w:tabs>
          <w:tab w:val="left" w:pos="3686"/>
          <w:tab w:val="lef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left" w:pos="3686"/>
          <w:tab w:val="left" w:pos="4962"/>
        </w:tabs>
        <w:spacing w:before="0" w:after="0"/>
        <w:ind w:left="851"/>
        <w:rPr>
          <w:noProof/>
        </w:rPr>
      </w:pPr>
      <w:r>
        <w:rPr>
          <w:noProof/>
        </w:rPr>
        <w:t>Hiszpania</w:t>
      </w:r>
      <w:r>
        <w:rPr>
          <w:noProof/>
        </w:rPr>
        <w:tab/>
        <w:t>3 000 ton</w:t>
      </w:r>
    </w:p>
    <w:p>
      <w:pPr>
        <w:pStyle w:val="Text1"/>
        <w:tabs>
          <w:tab w:val="left" w:pos="3686"/>
          <w:tab w:val="lef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 xml:space="preserve">W odniesieniu do tej kategorii w wodach Mauretanii połowy może prowadzić maksymalnie 6 statków. </w:t>
      </w:r>
    </w:p>
    <w:p>
      <w:pPr>
        <w:pStyle w:val="Text1"/>
        <w:tabs>
          <w:tab w:val="left" w:pos="3686"/>
          <w:tab w:val="left" w:pos="4962"/>
        </w:tabs>
        <w:spacing w:before="0" w:after="0"/>
        <w:ind w:left="851"/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Kategoria 4 – Sejnery tuńczykowe (12 500 ton – pojemność referencyjna)</w:t>
      </w:r>
    </w:p>
    <w:p>
      <w:pPr>
        <w:pStyle w:val="Text1"/>
        <w:tabs>
          <w:tab w:val="left" w:pos="3686"/>
          <w:tab w:val="left" w:pos="4962"/>
        </w:tabs>
        <w:spacing w:before="0" w:after="0"/>
        <w:ind w:left="851"/>
        <w:rPr>
          <w:noProof/>
        </w:rPr>
      </w:pPr>
    </w:p>
    <w:p>
      <w:pPr>
        <w:pStyle w:val="Text1"/>
        <w:spacing w:before="0" w:after="0"/>
        <w:ind w:left="3119" w:hanging="2268"/>
        <w:rPr>
          <w:noProof/>
        </w:rPr>
      </w:pPr>
      <w:r>
        <w:rPr>
          <w:noProof/>
        </w:rPr>
        <w:t>Hiszpania</w:t>
      </w:r>
      <w:r>
        <w:rPr>
          <w:noProof/>
        </w:rPr>
        <w:tab/>
        <w:t>17 licencji rocznych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Francja</w:t>
      </w:r>
      <w:r>
        <w:rPr>
          <w:noProof/>
        </w:rPr>
        <w:tab/>
        <w:t>8 licencji rocznych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Kategoria 5 – Klipry tuńczykowe i taklowce powierzchniowe (7 500 ton – pojemność referencyjna)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Hiszpania</w:t>
      </w:r>
      <w:r>
        <w:rPr>
          <w:noProof/>
        </w:rPr>
        <w:tab/>
        <w:t>14 licencji rocznych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Francja</w:t>
      </w:r>
      <w:r>
        <w:rPr>
          <w:noProof/>
        </w:rPr>
        <w:tab/>
        <w:t>1 licencja roczna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>Kategoria 6 – Trawlery zamrażalnie do połowów pelagicznych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Niemcy</w:t>
      </w:r>
      <w:r>
        <w:rPr>
          <w:noProof/>
        </w:rPr>
        <w:tab/>
        <w:t>12 560 ton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Francja</w:t>
      </w:r>
      <w:r>
        <w:rPr>
          <w:noProof/>
        </w:rPr>
        <w:tab/>
        <w:t>2 615 ton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Łotwa</w:t>
      </w:r>
      <w:r>
        <w:rPr>
          <w:noProof/>
        </w:rPr>
        <w:tab/>
        <w:t>53 913 ton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Litwa</w:t>
      </w:r>
      <w:r>
        <w:rPr>
          <w:noProof/>
        </w:rPr>
        <w:tab/>
        <w:t>57 642 tony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Niderlandy</w:t>
      </w:r>
      <w:r>
        <w:rPr>
          <w:noProof/>
        </w:rPr>
        <w:tab/>
        <w:t>62 592 tony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Polska</w:t>
      </w:r>
      <w:r>
        <w:rPr>
          <w:noProof/>
        </w:rPr>
        <w:tab/>
        <w:t>26 112 ton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Zjednoczone Królestwo</w:t>
      </w:r>
      <w:r>
        <w:rPr>
          <w:noProof/>
        </w:rPr>
        <w:tab/>
        <w:t>8 531 tony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Irlandia</w:t>
      </w:r>
      <w:r>
        <w:rPr>
          <w:noProof/>
        </w:rPr>
        <w:tab/>
        <w:t>8 535 ton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Podczas okresu obowiązywania protokołu państwa członkowskie dysponują następującą liczbą licencji kwartalnych: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Niemcy</w:t>
      </w:r>
      <w:r>
        <w:rPr>
          <w:noProof/>
        </w:rPr>
        <w:tab/>
        <w:t>4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Francja</w:t>
      </w:r>
      <w:r>
        <w:rPr>
          <w:noProof/>
        </w:rPr>
        <w:tab/>
        <w:t>2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Łotwa</w:t>
      </w:r>
      <w:r>
        <w:rPr>
          <w:noProof/>
        </w:rPr>
        <w:tab/>
        <w:t>20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Litwa</w:t>
      </w:r>
      <w:r>
        <w:rPr>
          <w:noProof/>
        </w:rPr>
        <w:tab/>
        <w:t>22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Niderlandy</w:t>
      </w:r>
      <w:r>
        <w:rPr>
          <w:noProof/>
        </w:rPr>
        <w:tab/>
        <w:t>16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Polska</w:t>
      </w:r>
      <w:r>
        <w:rPr>
          <w:noProof/>
        </w:rPr>
        <w:tab/>
        <w:t>8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Zjednoczone Królestwo</w:t>
      </w:r>
      <w:r>
        <w:rPr>
          <w:noProof/>
        </w:rPr>
        <w:tab/>
        <w:t>2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Irlandia</w:t>
      </w:r>
      <w:r>
        <w:rPr>
          <w:noProof/>
        </w:rPr>
        <w:tab/>
        <w:t>2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i/>
          <w:noProof/>
        </w:rPr>
      </w:pPr>
      <w:r>
        <w:rPr>
          <w:noProof/>
        </w:rPr>
        <w:t>Państwa członkowskie informują Komisję w przypadku, gdy niektóre z licencji można udostępnić innym państwom członkowskim.</w:t>
      </w:r>
    </w:p>
    <w:p>
      <w:pPr>
        <w:pStyle w:val="Text1"/>
        <w:tabs>
          <w:tab w:val="right" w:pos="4962"/>
        </w:tabs>
        <w:spacing w:before="0" w:after="0"/>
        <w:ind w:left="851"/>
        <w:rPr>
          <w:i/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W odniesieniu do tej kategorii w wodach Mauretanii połowy może prowadzić maksymalnie 19 statków.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>Kategoria 7 – Statki do połowów pelagicznych ryb świeżych</w:t>
      </w:r>
    </w:p>
    <w:p>
      <w:pPr>
        <w:pStyle w:val="Text1"/>
        <w:tabs>
          <w:tab w:val="right" w:pos="3686"/>
          <w:tab w:val="right" w:pos="4962"/>
        </w:tabs>
        <w:spacing w:before="0" w:after="0"/>
        <w:ind w:left="3544" w:hanging="2693"/>
        <w:rPr>
          <w:noProof/>
        </w:rPr>
      </w:pPr>
      <w:r>
        <w:rPr>
          <w:noProof/>
        </w:rPr>
        <w:t>Irlandia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15 000 ton</w:t>
      </w:r>
    </w:p>
    <w:p>
      <w:pPr>
        <w:pStyle w:val="Text1"/>
        <w:tabs>
          <w:tab w:val="right" w:pos="3686"/>
          <w:tab w:val="right" w:pos="4962"/>
        </w:tabs>
        <w:spacing w:before="0" w:after="0"/>
        <w:ind w:left="3544" w:hanging="2693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 xml:space="preserve">Powyższe uprawnienia do połowów są w przypadku niewykorzystania przenoszone do kategorii 6, zgodnie z kluczem podziału dla tej kategorii. 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Kategoria 2a – trawlery zamrażalnie do połowów morszczuka „czarnego” (morszczuka senegalskiego i morszczuka angolańskiego):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Hiszpania: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ab/>
        <w:t xml:space="preserve">Morszczuk „czarny” (morszczuk senegalski i morszczuk angolański) </w:t>
      </w:r>
      <w:r>
        <w:rPr>
          <w:noProof/>
        </w:rPr>
        <w:tab/>
      </w:r>
      <w:r>
        <w:rPr>
          <w:noProof/>
        </w:rPr>
        <w:tab/>
        <w:t>3 500 ton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ab/>
        <w:t xml:space="preserve">Kałamarnica </w:t>
      </w:r>
      <w:r>
        <w:rPr>
          <w:noProof/>
        </w:rPr>
        <w:tab/>
      </w:r>
      <w:r>
        <w:rPr>
          <w:noProof/>
        </w:rPr>
        <w:tab/>
        <w:t>1 450 ton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ab/>
        <w:t xml:space="preserve">Mątwa </w:t>
      </w:r>
      <w:r>
        <w:rPr>
          <w:noProof/>
        </w:rPr>
        <w:tab/>
      </w:r>
      <w:r>
        <w:rPr>
          <w:noProof/>
        </w:rPr>
        <w:tab/>
        <w:t>600 ton</w:t>
      </w: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</w:p>
    <w:p>
      <w:pPr>
        <w:pStyle w:val="Text1"/>
        <w:tabs>
          <w:tab w:val="right" w:pos="4962"/>
        </w:tabs>
        <w:spacing w:before="0" w:after="0"/>
        <w:ind w:left="851"/>
        <w:rPr>
          <w:noProof/>
        </w:rPr>
      </w:pPr>
      <w:r>
        <w:rPr>
          <w:noProof/>
        </w:rPr>
        <w:t>W odniesieniu do tej kategorii w wodach Mauretanii połowy może prowadzić maksymalnie 6 statków.</w:t>
      </w:r>
    </w:p>
    <w:p>
      <w:pPr>
        <w:pStyle w:val="ManualNumPar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Termin, w którym państwa członkowskie zobowiązane są potwierdzić fakt niewykorzystywania w pełni uprawnień do połowów przyznanych w ramach umowy, o którym mowa w art. 47 ust. 2 rozporządzenia (UE) 2017/2403, ustala się na dziesięć dni roboczych, licząc od daty przekazania im przez Komisję informacji o niepełnym wykorzystaniu uprawnień do połowów.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  <w:r>
        <w:rPr>
          <w:noProof/>
        </w:rPr>
        <w:t>Niniejsze rozporządzenie wchodzi w życie następnego dnia po jego opublikowaniu w </w:t>
      </w:r>
      <w:r>
        <w:rPr>
          <w:i/>
          <w:noProof/>
        </w:rPr>
        <w:t>Dzienniku Urzędowym Unii Europejskiej</w:t>
      </w:r>
      <w:r>
        <w:rPr>
          <w:noProof/>
        </w:rPr>
        <w:t xml:space="preserve">. </w:t>
      </w:r>
    </w:p>
    <w:p>
      <w:pPr>
        <w:rPr>
          <w:noProof/>
        </w:rPr>
      </w:pPr>
      <w:r>
        <w:rPr>
          <w:noProof/>
        </w:rPr>
        <w:t>Niniejsze rozporządzenie stosuje się od dnia podpisania Porozumienia w formie wymiany listów między Unią Europejską a Islamską Republiką Mauretańską w sprawie przedłużenia obowiązywania Protokołu ustalającego uprawnienia do połowów i rekompensatę finansową przewidziane w Umowie partnerskiej w sprawie połowów między Wspólnotą Europejską a Islamską Republiką Mauretańską, który wygasa z dniem 15 listopada 2019 r.</w:t>
      </w:r>
    </w:p>
    <w:p>
      <w:pPr>
        <w:pStyle w:val="Applicationdirecte"/>
        <w:rPr>
          <w:noProof/>
        </w:rPr>
      </w:pPr>
      <w:r>
        <w:rPr>
          <w:noProof/>
        </w:rPr>
        <w:t>Niniejsze rozporządzenie wiąże w całości i jest bezpośrednio stosowane we wszystkich państwach członkowskich.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Z dozwolonym przekroczeniem o 10 % bez wpływu na rekompensatę finansową wypłacaną przez Unię Europejską z tytułu dostępu.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Dz.U. L 343 z 8.12.2006, s. 4.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Rozporządzenie Rady (WE) nr 1801/2006 z dnia 30 listopada 2006 r. dotyczące zawarcia Umowy partnerskiej w sprawie połowów między Wspólnotą Europejską a Islamską Republiką Mauretańską (Dz.U. L 343 z 8.12.2006, s. 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Dz.U. C  z , s. 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Dz.U. L 347 z 28.12.2017, s. 81.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6F81A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CEA09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2E483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236D5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E405E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BC8BA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EFCEA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5C66B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09-30 14:11:5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4FE9084B-836C-44D9-866D-88BFD1477998"/>
    <w:docVar w:name="LW_COVERPAGE_TYPE" w:val="1"/>
    <w:docVar w:name="LW_CROSSREFERENCE" w:val="&lt;UNUSED&gt;"/>
    <w:docVar w:name="LW_DocType" w:val="COM"/>
    <w:docVar w:name="LW_EMISSION" w:val="1.10.2019"/>
    <w:docVar w:name="LW_EMISSION_ISODATE" w:val="2019-10-01"/>
    <w:docVar w:name="LW_EMISSION_LOCATION" w:val="BRX"/>
    <w:docVar w:name="LW_EMISSION_PREFIX" w:val="Bruksela, dnia "/>
    <w:docVar w:name="LW_EMISSION_SUFFIX" w:val=" r.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08"/>
    <w:docVar w:name="LW_REF.II.NEW.CP_YEAR" w:val="2019"/>
    <w:docVar w:name="LW_REF.INST.NEW" w:val="COM"/>
    <w:docVar w:name="LW_REF.INST.NEW_ADOPTED" w:val="final"/>
    <w:docVar w:name="LW_REF.INST.NEW_TEXT" w:val="(2019) 44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w sprawie przydzia\u322?u uprawnie\u324? do po\u322?owów z tytu\u322?u Protoko\u322?u ustalaj\u261?cego na okres maksymalnie jednego roku uprawnienia do po\u322?owów i rekompensat\u281? finansow\u261? przewidziane w Umowie o partnerstwie w sprawie po\u322?owów mi\u281?dzy Wspólnot\u261? Europejsk\u261? a Islamsk\u261? Republik\u261? Maureta\u324?sk\u261?"/>
    <w:docVar w:name="LW_TYPE.DOC.CP" w:val="ROZPORZ\u260?DZEN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67B4F1-CF56-4446-8BA1-F637F8B3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7</Pages>
  <Words>1435</Words>
  <Characters>9114</Characters>
  <Application>Microsoft Office Word</Application>
  <DocSecurity>0</DocSecurity>
  <Lines>222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2019-09-30T12:11:00Z</dcterms:created>
  <dcterms:modified xsi:type="dcterms:W3CDTF">2019-10-01T08:21:00Z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DQCStatus">
    <vt:lpwstr>Yellow (DQC version 03)</vt:lpwstr>
  </property>
</Properties>
</file>