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D64E6AE-C729-4333-A17F-C979F974ACCA" style="width:450.45pt;height:380.1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rPr>
          <w:noProof/>
        </w:rPr>
      </w:pPr>
      <w:r>
        <w:rPr>
          <w:noProof/>
        </w:rPr>
        <w:t xml:space="preserve">Vijeće je ovlastilo Europsku komisiju da u ime Europske unije u pregovorima dogovori obnovu Sporazuma i Protokola o utvrđivanju ribolovnih mogućnosti i financijskog doprinosa predviđenih Sporazumom o partnerstvu u ribarstvu između Europske zajednice i Islamske Republike Mauritanije. </w:t>
      </w:r>
    </w:p>
    <w:p>
      <w:pPr>
        <w:rPr>
          <w:noProof/>
        </w:rPr>
      </w:pPr>
      <w:r>
        <w:rPr>
          <w:noProof/>
        </w:rPr>
        <w:t>Do dovršetka pregovora o obnovi Sporazuma i njegova Protokola Komisija je u ime Europske unije u pregovorima dogovorila Sporazum u obliku razmjene pisama o produljenju, za razdoblje od najviše godinu dana, Protokola o utvrđivanju ribolovnih mogućnosti i financijskog doprinosa radi provedbe Sporazuma (dalje u tekstu „razmjena pisama”). Nakon tih pregovora razmjena pisama parafirana je 4. rujna 2019.</w:t>
      </w:r>
    </w:p>
    <w:p>
      <w:pPr>
        <w:rPr>
          <w:noProof/>
        </w:rPr>
      </w:pPr>
      <w:r>
        <w:rPr>
          <w:noProof/>
        </w:rPr>
        <w:t>Cilj je razmjene pisama Europskoj uniji i Islamskoj Republici Mauritaniji omogućiti nastavak suradnje radi promicanja politike održivog ribarstva i odgovornog iskorištavanja ribolovnih resursa u mauritanijskim vodama, a plovilima Unije omogućiti obavljanje ribolovnih aktivnosti u tim vodama.</w:t>
      </w:r>
    </w:p>
    <w:p>
      <w:pPr>
        <w:rPr>
          <w:noProof/>
        </w:rPr>
      </w:pPr>
      <w:r>
        <w:rPr>
          <w:noProof/>
        </w:rPr>
        <w:t>Protokolom se predviđaju ribolovne mogućnosti u sljedećim kategorijama: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kategorija 1 – ribarska plovila za lov rakova, osim jastoga i rakovica: 5 000 tona i 25 plovila,</w:t>
      </w:r>
    </w:p>
    <w:p>
      <w:pPr>
        <w:pStyle w:val="Tiret0"/>
        <w:rPr>
          <w:noProof/>
        </w:rPr>
      </w:pPr>
      <w:r>
        <w:rPr>
          <w:noProof/>
        </w:rPr>
        <w:t>kategorija 2 – koćarice koje nisu hladnjače i plovila s pridnenim parangalima za lov senegalskog oslića: 6 000 tona i 6 plovila,</w:t>
      </w:r>
    </w:p>
    <w:p>
      <w:pPr>
        <w:pStyle w:val="Tiret0"/>
        <w:rPr>
          <w:noProof/>
        </w:rPr>
      </w:pPr>
      <w:r>
        <w:rPr>
          <w:noProof/>
        </w:rPr>
        <w:t>kategorija 2.a – koćarice hladnjače za lov senegalskog oslića: (senegalski oslić – 3 500 tona, lignja – 1 450 tona i sipa – 600 tona),</w:t>
      </w:r>
    </w:p>
    <w:p>
      <w:pPr>
        <w:pStyle w:val="Tiret0"/>
        <w:rPr>
          <w:noProof/>
        </w:rPr>
      </w:pPr>
      <w:r>
        <w:rPr>
          <w:noProof/>
        </w:rPr>
        <w:t>kategorija 3 – plovila za lov pridnenih vrsta osim senegalskog oslića, s alatima koji nisu koće: 3 000 tona i 6 plovila,</w:t>
      </w:r>
    </w:p>
    <w:p>
      <w:pPr>
        <w:pStyle w:val="Tiret0"/>
        <w:rPr>
          <w:noProof/>
        </w:rPr>
      </w:pPr>
      <w:r>
        <w:rPr>
          <w:noProof/>
        </w:rPr>
        <w:t>kategorija 4 – tunolovci plivaričari: 12 500 tona (referentna tonaža) i 25 plovila,</w:t>
      </w:r>
    </w:p>
    <w:p>
      <w:pPr>
        <w:pStyle w:val="Tiret0"/>
        <w:rPr>
          <w:noProof/>
        </w:rPr>
      </w:pPr>
      <w:r>
        <w:rPr>
          <w:noProof/>
        </w:rPr>
        <w:t>kategorija 5 – tunolovci s ribarskim štapovima i plovila s parangalima: 7 500 tona (referentna tonaža) i 15 plovila,</w:t>
      </w:r>
    </w:p>
    <w:p>
      <w:pPr>
        <w:pStyle w:val="Tiret0"/>
        <w:rPr>
          <w:noProof/>
        </w:rPr>
      </w:pPr>
      <w:r>
        <w:rPr>
          <w:noProof/>
        </w:rPr>
        <w:t>kategorija 6 – koćarice hladnjače za pelagijski ribolov 225 000 tona (s dopuštenim prekoračenjem od najviše 10 %) i 19 plovila;</w:t>
      </w:r>
    </w:p>
    <w:p>
      <w:pPr>
        <w:pStyle w:val="Tiret0"/>
        <w:rPr>
          <w:noProof/>
        </w:rPr>
      </w:pPr>
      <w:r>
        <w:rPr>
          <w:noProof/>
        </w:rPr>
        <w:t xml:space="preserve">kategorija 7 – plovila za pelagijski ribolov koja nisu hladnjače: 15 000 tona (oduzeto od količine kategorije 6, ako se upotrebljavaju) i 2 plovila. </w:t>
      </w:r>
    </w:p>
    <w:p>
      <w:pPr>
        <w:rPr>
          <w:noProof/>
        </w:rPr>
      </w:pPr>
      <w:r>
        <w:rPr>
          <w:noProof/>
        </w:rPr>
        <w:t>Potrebno je utvrditi način raspodjele tih ribolovnih mogućnosti među državama članicama. Na temelju toga Komisija predlaže da Vijeće donese priloženi prijedlog uredbe.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REZULTATI SAVJETOVANJA S DIONICIMA I PROCJENE UČINAKA</w:t>
      </w:r>
    </w:p>
    <w:p>
      <w:pPr>
        <w:rPr>
          <w:noProof/>
        </w:rPr>
      </w:pPr>
      <w:r>
        <w:rPr>
          <w:noProof/>
        </w:rPr>
        <w:t>Provedeno je savjetovanje sa zainteresiranim stranama pri ocjenjivanju Protokola za 2012.-2014. Na tehničkim sastancima provedeno je i savjetovanje sa stručnjacima država članica. Ta su savjetovanja dovela do zaključka da postoji interes za obnovom Sporazuma o partnerstvu ribarstvu i sklapanjem Protokola o partnerstvu u ribarstvu s Islamskom Republikom Mauritanijom.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PRAVNI ELEMENTI PRIJEDLOGA</w:t>
      </w:r>
    </w:p>
    <w:p>
      <w:pPr>
        <w:spacing w:before="0" w:after="240"/>
        <w:rPr>
          <w:noProof/>
        </w:rPr>
      </w:pPr>
      <w:r>
        <w:rPr>
          <w:noProof/>
        </w:rPr>
        <w:t xml:space="preserve">Odabrana pravna osnova jest Ugovor o funkcioniranju Europske unije, a posebno njegov članak 43. stavak 3., kojim je utvrđeno da Vijeće, na prijedlog Komisije, donosi odluku o raspodjeli ribolovnih mogućnosti. </w:t>
      </w:r>
    </w:p>
    <w:p>
      <w:pPr>
        <w:rPr>
          <w:noProof/>
        </w:rPr>
      </w:pPr>
      <w:r>
        <w:rPr>
          <w:noProof/>
        </w:rPr>
        <w:t>Ovaj se postupak pokreće istodobno s postupcima koji se odnose na odluke Vijeća o odobravanju potpisivanja i privremene primjene te sklapanja Sporazuma u obliku razmjene pisama o produljenju za razdoblje od najviše godinu dana Protokola o utvrđivanju ribolovnih mogućnosti i financijskog doprinosa za provedbu Sporazuma.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rPr>
          <w:noProof/>
        </w:rPr>
      </w:pPr>
      <w:r>
        <w:rPr>
          <w:noProof/>
        </w:rPr>
        <w:t>Godišnji financijski doprinos za potrebe produljenja iznosi 61 625 000 EUR za razdoblje od najviše godinu dana na temelju:</w:t>
      </w:r>
    </w:p>
    <w:p>
      <w:pPr>
        <w:rPr>
          <w:noProof/>
        </w:rPr>
      </w:pPr>
      <w:r>
        <w:rPr>
          <w:noProof/>
        </w:rPr>
        <w:t>a) ukupnog dopuštenog ulova od 259 550 tona za ribolovne kategorije 1, 2, 2a, 3, 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 7 i referentne tonaže od 20 000 tona za ribolovne kategorije 4 i 5 iz Protokola, što odgovara iznosu za pristup od 57 500 000 EUR godišnje: i </w:t>
      </w:r>
    </w:p>
    <w:p>
      <w:pPr>
        <w:rPr>
          <w:noProof/>
        </w:rPr>
      </w:pPr>
      <w:r>
        <w:rPr>
          <w:noProof/>
        </w:rPr>
        <w:t>b) potpore za razvoj ribarstvene politike Islamske Republike Mauritanije u iznosu od 4 125 000 EUR godišnje. Ta je potpora u skladu s ciljevima nacionalne ribarstvene politike, u prvom redu s potrebama Islamske Republike Mauritanije u pogledu potpore znanstvenoj i tehničkoj suradnji, osposobljavanju, nadzoru ribolova, zaštiti okoliša i razvojnoj infrastrukturi.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2019/0208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UREDBE VIJEĆA</w:t>
      </w:r>
    </w:p>
    <w:p>
      <w:pPr>
        <w:pStyle w:val="Titreobjet"/>
        <w:rPr>
          <w:noProof/>
        </w:rPr>
      </w:pPr>
      <w:r>
        <w:rPr>
          <w:noProof/>
        </w:rPr>
        <w:t>o raspodjeli ribolovnih mogućnosti na temelju Protokola o sklapanju Protokola o utvrđivanju ribolovnih mogućnosti i financijskog doprinosa predviđenih Sporazumom o partnerstvu u ribarstvu između Europske zajednice i Islamske Republike Mauritanije za razdoblje od najviše godinu dana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 43., stavak 3.,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rPr>
          <w:noProof/>
        </w:rPr>
        <w:t xml:space="preserve">(1) </w:t>
      </w:r>
      <w:r>
        <w:rPr>
          <w:noProof/>
        </w:rPr>
        <w:tab/>
        <w:t>Sporazum o partnerstvu u ribarstvu između Europske zajednice i Islamske Republike Mauritanije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(dalje u tekstu „Sporazum”), odobren Uredbom Vijeća (EZ) br. 1801/2006</w:t>
      </w:r>
      <w:r>
        <w:rPr>
          <w:rStyle w:val="FootnoteReference"/>
          <w:noProof/>
        </w:rPr>
        <w:footnoteReference w:id="3"/>
      </w:r>
      <w:r>
        <w:rPr>
          <w:noProof/>
        </w:rPr>
        <w:t>, stupio je na snagu 8. kolovoza 2008. Protokol o utvrđivanju ribolovnih mogućnosti i financijskog doprinosa predviđenih Sporazumom (dalje u tekstu „Protokol”), koji je stupio na snagu istog dana za razdoblje od dvije godine, zamijenjen je nekoliko puta.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Prethodni Protokol uz Sporazum prestaje važiti 15. studenoga 2019.</w:t>
      </w:r>
    </w:p>
    <w:p>
      <w:pPr>
        <w:pStyle w:val="ManualConsidrant"/>
        <w:rPr>
          <w:noProof/>
        </w:rPr>
      </w:pPr>
      <w:r>
        <w:rPr>
          <w:noProof/>
        </w:rPr>
        <w:t xml:space="preserve">(3) </w:t>
      </w:r>
      <w:r>
        <w:rPr>
          <w:noProof/>
        </w:rPr>
        <w:tab/>
        <w:t>Do dovršetka pregovora o obnovi Sporazuma i njegova Protokola Komisija je u ime Europske unije u pregovorima dogovorila Sporazum u obliku razmjene pisama o produljenju Protokola o utvrđivanju ribolovnih mogućnosti i financijskog doprinosa predviđenih Sporazumom za razdoblje od najviše godinu dana (dalje u tekstu „Sporazum u obliku razmjene pisama”).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Vijeće je donijelo Odluku (UE)2019/[…]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o potpisivanju i privremenoj primjeni Sporazuma u obliku razmjene pisama o produljenju Protokola o utvrđivanju ribolovnih mogućnosti i financijskog doprinosa predviđenih Sporazumom o partnerstvu u ribarstvu između Europske zajednice i Islamske Republike Mauritanije, koji prestaje važiti 15. studenoga 2019.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Potrebno je utvrditi način raspodjele ribolovnih mogućnosti među državama članicama za razdoblje primjene produljenja Protokola.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U skladu s člankom 47. stavkom 2. Uredbe Europskog parlamenta i Vijeća (EZ) br. 2017/2403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ako se pokaže da ribolovne mogućnosti dodijeljene Uniji na temelju Protokola nisu u potpunosti iskorištene, Komisija o tome obavještava dotične države članice. Izostanak odgovora u roku koji utvrđuje Vijeće smatra se potvrdom da plovila </w:t>
      </w:r>
      <w:r>
        <w:rPr>
          <w:noProof/>
        </w:rPr>
        <w:lastRenderedPageBreak/>
        <w:t>dotične države članice ne iskorištavaju u potpunosti svoje ribolovne mogućnosti u zadanom razdoblju. Potrebno je utvrditi taj rok.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Ova bi se Uredba trebala primjenjivati od datuma potpisivanja Sporazuma u obliku razmjene pisama,</w:t>
      </w:r>
      <w:r>
        <w:rPr>
          <w:noProof/>
        </w:rPr>
        <w:tab/>
      </w:r>
    </w:p>
    <w:p>
      <w:pPr>
        <w:pStyle w:val="Formuledadoption"/>
        <w:rPr>
          <w:noProof/>
        </w:rPr>
      </w:pPr>
      <w:r>
        <w:rPr>
          <w:noProof/>
        </w:rPr>
        <w:t>DONIJELO JE OVU UREDBU: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Ribolovne mogućnosti utvrđene Protokolom o utvrđivanju ribolovnih mogućnosti i financijskog doprinosa predviđenih Sporazumom o partnerstvu u ribarstvu između Europske zajednice i Islamske Republike Mauritanije za razdoblje važenja Protokola raspodjeljuju se među državama članicama kako slijedi: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 xml:space="preserve">kategorija 1 – ribarska plovila za lov rakova, osim jastoga i rakovica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4 150 tona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Italija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600 tona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250 tona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U toj kategoriji u mauritanijskim vodama smije biti raspoređeno najviše 25 plovila u isto vrijeme.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 xml:space="preserve">kategorija 2 – koćarice koje nisu hladnjače i plovila s pridnenim parangalima za lov senegalskog oslića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left" w:pos="1298"/>
                <w:tab w:val="left" w:pos="4962"/>
              </w:tabs>
              <w:spacing w:before="0" w:after="0"/>
              <w:ind w:left="34"/>
              <w:rPr>
                <w:noProof/>
              </w:rPr>
            </w:pPr>
            <w:r>
              <w:rPr>
                <w:noProof/>
              </w:rPr>
              <w:t>6.000 tona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rPr>
          <w:noProof/>
        </w:rPr>
      </w:pPr>
      <w:r>
        <w:rPr>
          <w:noProof/>
        </w:rPr>
        <w:t xml:space="preserve">U toj kategoriji u mauritanijskim vodama smije biti raspoređeno najviše 6 plovila u isto vrijeme. </w:t>
      </w:r>
    </w:p>
    <w:p>
      <w:pPr>
        <w:pStyle w:val="Text1"/>
        <w:tabs>
          <w:tab w:val="right" w:pos="4962"/>
        </w:tabs>
        <w:spacing w:before="0" w:after="0"/>
        <w:rPr>
          <w:noProof/>
        </w:rPr>
      </w:pP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 xml:space="preserve">kategorija 3 – plovila za lov pridnenih vrsta osim senegalskog oslića, s alatima koji nisu koće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  <w:r>
        <w:rPr>
          <w:noProof/>
        </w:rPr>
        <w:t>Španjolska</w:t>
      </w:r>
      <w:r>
        <w:rPr>
          <w:noProof/>
        </w:rPr>
        <w:tab/>
        <w:t>3 000 tona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U toj kategoriji u mauritanijskim vodama smije biti raspoređeno najviše 6 plovila u isto vrijeme.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kategorija 4 – tunolovci plivaričari (12 500 tona – referentna tonaža)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Španjolska                     </w:t>
      </w:r>
      <w:r>
        <w:rPr>
          <w:noProof/>
        </w:rPr>
        <w:tab/>
        <w:t>17 godišnjih povlastica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Francuska</w:t>
      </w:r>
      <w:r>
        <w:rPr>
          <w:noProof/>
        </w:rPr>
        <w:tab/>
        <w:t>8 godišnjih povlastica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kategorija 5 – tunolovci s ribarskim štapovima i plovila s površinskim parangalima (7 500 tona – referentna tonaža)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Španjolska</w:t>
      </w:r>
      <w:r>
        <w:rPr>
          <w:noProof/>
        </w:rPr>
        <w:tab/>
        <w:t>14 godišnjih povlastica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lastRenderedPageBreak/>
        <w:t>Francuska</w:t>
      </w:r>
      <w:r>
        <w:rPr>
          <w:noProof/>
        </w:rPr>
        <w:tab/>
        <w:t>1 godišnja povlastica</w:t>
      </w:r>
    </w:p>
    <w:p>
      <w:pPr>
        <w:pStyle w:val="Point0"/>
        <w:rPr>
          <w:noProof/>
        </w:rPr>
      </w:pPr>
      <w:r>
        <w:t>(f)</w:t>
      </w:r>
      <w:r>
        <w:tab/>
      </w:r>
      <w:r>
        <w:rPr>
          <w:noProof/>
        </w:rPr>
        <w:t>kategorija 6 – koćarice hladnjače za pelagijski ribolov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Njemačka</w:t>
      </w:r>
      <w:r>
        <w:rPr>
          <w:noProof/>
        </w:rPr>
        <w:tab/>
        <w:t>12 560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Francuska</w:t>
      </w:r>
      <w:r>
        <w:rPr>
          <w:noProof/>
        </w:rPr>
        <w:tab/>
        <w:t>2 615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Latvija</w:t>
      </w:r>
      <w:r>
        <w:rPr>
          <w:noProof/>
        </w:rPr>
        <w:tab/>
        <w:t>53 913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Litva</w:t>
      </w:r>
      <w:r>
        <w:rPr>
          <w:noProof/>
        </w:rPr>
        <w:tab/>
        <w:t>57 642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Nizozemska</w:t>
      </w:r>
      <w:r>
        <w:rPr>
          <w:noProof/>
        </w:rPr>
        <w:tab/>
        <w:t>62 592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Poljska</w:t>
      </w:r>
      <w:r>
        <w:rPr>
          <w:noProof/>
        </w:rPr>
        <w:tab/>
        <w:t>26 112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Ujedinjena kraljevina</w:t>
      </w:r>
      <w:r>
        <w:rPr>
          <w:noProof/>
        </w:rPr>
        <w:tab/>
        <w:t>8 531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Irska</w:t>
      </w:r>
      <w:r>
        <w:rPr>
          <w:noProof/>
        </w:rPr>
        <w:tab/>
        <w:t>8 535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Za razdoblje u kojem je Protokol na snazi države članice dobivaju sljedeći broj tromjesečnih povlastica: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Njemačka</w:t>
      </w:r>
      <w:r>
        <w:rPr>
          <w:noProof/>
        </w:rPr>
        <w:tab/>
        <w:t>4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Francuska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Latvija</w:t>
      </w:r>
      <w:r>
        <w:rPr>
          <w:noProof/>
        </w:rPr>
        <w:tab/>
        <w:t>20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Litva</w:t>
      </w:r>
      <w:r>
        <w:rPr>
          <w:noProof/>
        </w:rPr>
        <w:tab/>
        <w:t>22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Nizozemska</w:t>
      </w:r>
      <w:r>
        <w:rPr>
          <w:noProof/>
        </w:rPr>
        <w:tab/>
        <w:t>16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Poljska</w:t>
      </w:r>
      <w:r>
        <w:rPr>
          <w:noProof/>
        </w:rPr>
        <w:tab/>
        <w:t>8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Ujedinjena Kraljevina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Irska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  <w:r>
        <w:rPr>
          <w:noProof/>
        </w:rPr>
        <w:t>Države članice obavještavaju Komisiju o tome mogu li se određene povlastice staviti na raspolaganje drugim državama članicama.</w:t>
      </w: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U toj kategoriji u mauritanijskim vodama smije biti raspoređeno najviše 19 plovila u isto vrijeme.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t>(g)</w:t>
      </w:r>
      <w:r>
        <w:tab/>
      </w:r>
      <w:r>
        <w:rPr>
          <w:noProof/>
        </w:rPr>
        <w:t>kategorija 7 – plovila za pelagijski ribolov koja nisu hladnjače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  <w:r>
        <w:rPr>
          <w:noProof/>
        </w:rPr>
        <w:t>Irska</w:t>
      </w:r>
      <w:r>
        <w:rPr>
          <w:noProof/>
        </w:rPr>
        <w:tab/>
        <w:t>15 000 tona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U slučaju da se te ribolovne mogućnosti ne iskoriste, prenose se u kategoriju 6 prema načinu raspodjele te kategorije. </w:t>
      </w:r>
    </w:p>
    <w:p>
      <w:pPr>
        <w:pStyle w:val="Point0"/>
        <w:rPr>
          <w:noProof/>
        </w:rPr>
      </w:pPr>
      <w:r>
        <w:t>(h)</w:t>
      </w:r>
      <w:r>
        <w:tab/>
      </w:r>
      <w:r>
        <w:rPr>
          <w:noProof/>
        </w:rPr>
        <w:t>kategorija 2.a – koćarice hladnjače za senegalskog oslića: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Španjolska: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Senegalski oslić </w:t>
      </w:r>
      <w:r>
        <w:rPr>
          <w:noProof/>
        </w:rPr>
        <w:tab/>
      </w:r>
      <w:r>
        <w:rPr>
          <w:noProof/>
        </w:rPr>
        <w:tab/>
        <w:t>3 500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>Lignja</w:t>
      </w:r>
      <w:r>
        <w:rPr>
          <w:noProof/>
        </w:rPr>
        <w:tab/>
      </w:r>
      <w:r>
        <w:rPr>
          <w:noProof/>
        </w:rPr>
        <w:tab/>
        <w:t>1 450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>Sipa</w:t>
      </w:r>
      <w:r>
        <w:rPr>
          <w:noProof/>
        </w:rPr>
        <w:tab/>
      </w:r>
      <w:r>
        <w:rPr>
          <w:noProof/>
        </w:rPr>
        <w:tab/>
        <w:t>600 tona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U toj kategoriji u mauritanijskim vodama smije biti raspoređeno najviše šest plovila u isto vrijeme.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Rok u kojem države članice moraju potvrditi da ne iskorištavaju u potpunosti ribolovne mogućnosti dodijeljene na temelju Sporazuma kako je utvrđeno člankom 47. stavkom 2. Uredbe (EU) br. 2017/2403 iznosi deset radnih dana od dana kada ih Komisija obavijesti da ribolovne mogućnosti nisu u potpunosti iskorištene.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Članak 2.</w:t>
      </w:r>
    </w:p>
    <w:p>
      <w:pPr>
        <w:rPr>
          <w:noProof/>
        </w:rPr>
      </w:pPr>
      <w:r>
        <w:rPr>
          <w:noProof/>
        </w:rPr>
        <w:t xml:space="preserve">Ova Odluka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Primjenjuje se od datuma potpisivanja Sporazuma u obliku razmjene pisama između Europske unije i Islamske Republike Mauritanije o produljenju Protokola o utvrđivanju ribolovnih mogućnosti i financijskog doprinosa predviđenih Sporazumom o partnerstvu u ribarstvu između Europske zajednice i Islamske Republike Mauritanije, koji prestaje važiti 15. studenoga 2019.</w:t>
      </w:r>
    </w:p>
    <w:p>
      <w:pPr>
        <w:pStyle w:val="Applicationdirecte"/>
        <w:rPr>
          <w:noProof/>
        </w:rPr>
      </w:pPr>
      <w:r>
        <w:rPr>
          <w:noProof/>
        </w:rPr>
        <w:t>Ova je Uredba u cijelosti obvezujuća i izravno se primjenjuje u svim državama članicama.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 dopuštenim prekoračenjem od 10 % koje ne utječe na financijski doprinos koji Europska unija plaća za pristup.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SL L 343, 8.12.2006., str. 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Uredba Vijeća (EZ) br. 1801/2006 od 30. studenoga 2006. o sklapanju Sporazuma o partnerstvu u ribarstvu između Europske zajednice i Islamske Republike Mauritanije (SL L 343, 8.12.2006., str. 1.).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SL C , , str. .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SL L 347, 28.12.2017., str. 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6F81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EA09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E483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36D5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405E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BC8BA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EFCEA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5C66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1 10:22:2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D64E6AE-C729-4333-A17F-C979F974ACCA"/>
    <w:docVar w:name="LW_COVERPAGE_TYPE" w:val="1"/>
    <w:docVar w:name="LW_CROSSREFERENCE" w:val="&lt;UNUSED&gt;"/>
    <w:docVar w:name="LW_DocType" w:val="COM"/>
    <w:docVar w:name="LW_EMISSION" w:val="1.10.2019."/>
    <w:docVar w:name="LW_EMISSION_ISODATE" w:val="2019-10-01"/>
    <w:docVar w:name="LW_EMISSION_LOCATION" w:val="BRX"/>
    <w:docVar w:name="LW_EMISSION_PREFIX" w:val="Bruxelle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8"/>
    <w:docVar w:name="LW_REF.II.NEW.CP_YEAR" w:val="2019"/>
    <w:docVar w:name="LW_REF.INST.NEW" w:val="COM"/>
    <w:docVar w:name="LW_REF.INST.NEW_ADOPTED" w:val="final"/>
    <w:docVar w:name="LW_REF.INST.NEW_TEXT" w:val="(2019) 4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raspodjeli ribolovnih mogu\u263?nosti na temelju Protokola o sklapanju Protokola o utvr\u273?ivanju ribolovnih mogu\u263?nosti i financijskog doprinosa predvi\u273?enih Sporazumom o partnerstvu u ribarstvu izme\u273?u Europske zajednice i Islamske Republike Mauritanije za razdoblje od najvi\u353?e godinu dana"/>
    <w:docVar w:name="LW_TYPE.DOC.CP" w:val="UREDB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61638F-E119-44A0-BCBD-97FD047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1411</Words>
  <Characters>8370</Characters>
  <Application>Microsoft Office Word</Application>
  <DocSecurity>0</DocSecurity>
  <Lines>204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2019-09-30T12:56:00Z</dcterms:created>
  <dcterms:modified xsi:type="dcterms:W3CDTF">2019-10-01T08:22:00Z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