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244DDA-4CD5-455F-A908-CFE381643EED" style="width:450.6pt;height:406.7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t>Motivi e obiettivi della proposta</w:t>
      </w:r>
    </w:p>
    <w:p>
      <w:pPr>
        <w:pBdr>
          <w:top w:val="nil"/>
          <w:left w:val="nil"/>
          <w:bottom w:val="nil"/>
          <w:right w:val="nil"/>
          <w:between w:val="nil"/>
          <w:bar w:val="nil"/>
        </w:pBdr>
        <w:spacing w:before="0" w:after="240"/>
        <w:rPr>
          <w:noProof/>
        </w:rPr>
      </w:pPr>
      <w:r>
        <w:rPr>
          <w:noProof/>
        </w:rPr>
        <w:t>In data 8 luglio 2019 il Consiglio ha adottato il mandato</w:t>
      </w:r>
      <w:r>
        <w:rPr>
          <w:rStyle w:val="FootnoteReference"/>
          <w:noProof/>
        </w:rPr>
        <w:footnoteReference w:id="1"/>
      </w:r>
      <w:r>
        <w:rPr>
          <w:noProof/>
        </w:rPr>
        <w:t xml:space="preserve"> che autorizza la Commissione europea ad avviare i negoziati per il rinnovo dell'accordo di partenariato nel settore della pesca tra l'UE e la Repubblica islamica di Mauritania e del relativo protocollo di attuazione che fissa le possibilità di pesca e la contropartita finanziaria, in scadenza il 15 novembre 2019.</w:t>
      </w:r>
    </w:p>
    <w:p>
      <w:pPr>
        <w:pBdr>
          <w:top w:val="nil"/>
          <w:left w:val="nil"/>
          <w:bottom w:val="nil"/>
          <w:right w:val="nil"/>
          <w:between w:val="nil"/>
          <w:bar w:val="nil"/>
        </w:pBdr>
        <w:spacing w:before="0" w:after="240"/>
        <w:rPr>
          <w:noProof/>
        </w:rPr>
      </w:pPr>
      <w:r>
        <w:rPr>
          <w:noProof/>
        </w:rPr>
        <w:t>Detto mandato dispone che, qualora i negoziati per un nuovo accordo di partenariato per una pesca sostenibile (APPS) e di un protocollo fra l'Unione europea e la Repubblica islamica di Mauritania richiedessero tempi più lunghi di quanto previsto e al fine di evitare un periodo prolungato di interruzione delle attività di pesca, la Commissione dovrebbe avere la possibilità di convenire con la Repubblica islamica di Mauritania una proroga del protocollo vigente per un periodo massimo di un anno, continuando nel contempo ad adoperarsi per addivenire a un accordo su un nuovo APPS e a un nuovo protocollo conforme agli obiettivi individuati nel mandato.</w:t>
      </w:r>
    </w:p>
    <w:p>
      <w:pPr>
        <w:pBdr>
          <w:top w:val="nil"/>
          <w:left w:val="nil"/>
          <w:bottom w:val="nil"/>
          <w:right w:val="nil"/>
          <w:between w:val="nil"/>
          <w:bar w:val="nil"/>
        </w:pBdr>
        <w:spacing w:before="0" w:after="240"/>
        <w:rPr>
          <w:noProof/>
        </w:rPr>
      </w:pPr>
      <w:r>
        <w:rPr>
          <w:noProof/>
        </w:rPr>
        <w:t>In occasione della prima tornata negoziale (2-4 settembre 2019) i negoziatori dell'Unione e della Repubblica islamica di Mauritania hanno convenuto che, trattandosi di una negoziazione complessa, sarebbero necessarie diverse tornate onde finalizzare i negoziati. Di conseguenza le parti si sono accordate per una proroga del mandato del protocollo vigente per un periodo massimo di un anno, conformemente al mandato del Consiglio. Tale proroga è definita da un accordo in forma di scambio di lettere, siglato il 4 settembre 2019 a Bruxelles.</w:t>
      </w:r>
    </w:p>
    <w:p>
      <w:pPr>
        <w:pBdr>
          <w:top w:val="nil"/>
          <w:left w:val="nil"/>
          <w:bottom w:val="nil"/>
          <w:right w:val="nil"/>
          <w:between w:val="nil"/>
          <w:bar w:val="nil"/>
        </w:pBdr>
        <w:spacing w:before="0" w:after="240"/>
        <w:rPr>
          <w:noProof/>
        </w:rPr>
      </w:pPr>
      <w:r>
        <w:rPr>
          <w:noProof/>
        </w:rPr>
        <w:t>Onde evitare l'interruzione delle attività di pesca per la flotta europea attiva nelle acque mauritane, è necessario che la decisione del Consiglio che approva tale accordo in forma di scambio di lettere sia adottata in tempo utile per consentire la firma delle parti prima del 15 novembre 2019, data di scadenza del protocollo vigente.</w:t>
      </w:r>
    </w:p>
    <w:p>
      <w:pPr>
        <w:pBdr>
          <w:top w:val="nil"/>
          <w:left w:val="nil"/>
          <w:bottom w:val="nil"/>
          <w:right w:val="nil"/>
          <w:between w:val="nil"/>
          <w:bar w:val="nil"/>
        </w:pBdr>
        <w:spacing w:before="0" w:after="240"/>
        <w:rPr>
          <w:noProof/>
        </w:rPr>
      </w:pPr>
      <w:r>
        <w:rPr>
          <w:noProof/>
        </w:rPr>
        <w:t>Su questa base, la Commissione propone che il Consiglio autorizzi la firma e l'applicazione provvisoria di tale scambio di lettere che consente la proroga del protocollo vigente per una durata massima di un anno.</w:t>
      </w:r>
    </w:p>
    <w:p>
      <w:pPr>
        <w:pBdr>
          <w:top w:val="nil"/>
          <w:left w:val="nil"/>
          <w:bottom w:val="nil"/>
          <w:right w:val="nil"/>
          <w:between w:val="nil"/>
          <w:bar w:val="nil"/>
        </w:pBdr>
        <w:spacing w:before="0" w:after="240"/>
        <w:rPr>
          <w:noProof/>
        </w:rPr>
      </w:pPr>
      <w:r>
        <w:rPr>
          <w:noProof/>
        </w:rPr>
        <w:t>L'obiettivo del protocollo è offrire alle navi dell'Unione europea possibilità di pesca nelle acque mauritane, tenendo conto delle valutazioni scientifiche disponibili e in particolare di quelle formulate dal Comitato per la pesca nell'Atlantico centro-orientale (COPACE), nel rispetto dei pareri scientifici e delle raccomandazioni della Commissione internazionale per la conservazione dei tonnidi dell'Atlantico (ICCAT) ed entro i limiti dell'eccedenza disponibile. L'obiettivo è altresì rafforzare la cooperazione tra l'Unione europea e la Repubblica islamica di Mauritania ai fini dell'istituzione di un quadro di partenariato per lo sviluppo di una politica di pesca sostenibile e lo sfruttamento responsabile delle risorse alieutiche nella zona di pesca della Repubblica islamica di Mauritania, nell'interesse delle due Parti.</w:t>
      </w:r>
    </w:p>
    <w:p>
      <w:pPr>
        <w:keepNext/>
        <w:pBdr>
          <w:top w:val="nil"/>
          <w:left w:val="nil"/>
          <w:bottom w:val="nil"/>
          <w:right w:val="nil"/>
          <w:between w:val="nil"/>
          <w:bar w:val="nil"/>
        </w:pBdr>
        <w:spacing w:before="0" w:after="240"/>
        <w:rPr>
          <w:noProof/>
        </w:rPr>
      </w:pPr>
      <w:r>
        <w:rPr>
          <w:noProof/>
        </w:rPr>
        <w:lastRenderedPageBreak/>
        <w:t>Il protocollo prevede possibilità di pesca nelle seguenti categorie:</w:t>
      </w:r>
    </w:p>
    <w:p>
      <w:pPr>
        <w:pBdr>
          <w:top w:val="nil"/>
          <w:left w:val="nil"/>
          <w:bottom w:val="nil"/>
          <w:right w:val="nil"/>
          <w:between w:val="nil"/>
          <w:bar w:val="nil"/>
        </w:pBdr>
        <w:spacing w:before="0" w:after="240"/>
        <w:rPr>
          <w:noProof/>
        </w:rPr>
      </w:pPr>
      <w:r>
        <w:rPr>
          <w:noProof/>
        </w:rPr>
        <w:t>–</w:t>
      </w:r>
      <w:r>
        <w:rPr>
          <w:noProof/>
        </w:rPr>
        <w:tab/>
        <w:t>Categoria 1 - Pescherecci per la pesca di crostacei, eccetto aragoste e granchi: 5 000 tonnellate e 25 navi;</w:t>
      </w:r>
    </w:p>
    <w:p>
      <w:pPr>
        <w:pBdr>
          <w:top w:val="nil"/>
          <w:left w:val="nil"/>
          <w:bottom w:val="nil"/>
          <w:right w:val="nil"/>
          <w:between w:val="nil"/>
          <w:bar w:val="nil"/>
        </w:pBdr>
        <w:spacing w:before="0" w:after="240"/>
        <w:rPr>
          <w:noProof/>
        </w:rPr>
      </w:pPr>
      <w:r>
        <w:rPr>
          <w:noProof/>
        </w:rPr>
        <w:t>–</w:t>
      </w:r>
      <w:r>
        <w:rPr>
          <w:noProof/>
        </w:rPr>
        <w:tab/>
        <w:t>Categoria 2 - Pescherecci da traino (non congelatori) e pescherecci con palangari di fondo per la pesca del nasello: 6 000 tonnellate e 6 navi;</w:t>
      </w:r>
    </w:p>
    <w:p>
      <w:pPr>
        <w:pBdr>
          <w:top w:val="nil"/>
          <w:left w:val="nil"/>
          <w:bottom w:val="nil"/>
          <w:right w:val="nil"/>
          <w:between w:val="nil"/>
          <w:bar w:val="nil"/>
        </w:pBdr>
        <w:spacing w:before="0" w:after="240"/>
        <w:rPr>
          <w:noProof/>
        </w:rPr>
      </w:pPr>
      <w:r>
        <w:rPr>
          <w:noProof/>
        </w:rPr>
        <w:t>–</w:t>
      </w:r>
      <w:r>
        <w:rPr>
          <w:noProof/>
        </w:rPr>
        <w:tab/>
        <w:t>Categoria 2 bis - Pescherecci da traino (congelatori) per la pesca del nasello: 3 500 tonnellate di nasello, 1 450 tonnellate di calamaro, 600 tonnellate di seppia per 6 navi;</w:t>
      </w:r>
    </w:p>
    <w:p>
      <w:pPr>
        <w:pBdr>
          <w:top w:val="nil"/>
          <w:left w:val="nil"/>
          <w:bottom w:val="nil"/>
          <w:right w:val="nil"/>
          <w:between w:val="nil"/>
          <w:bar w:val="nil"/>
        </w:pBdr>
        <w:spacing w:before="0" w:after="240"/>
        <w:rPr>
          <w:noProof/>
        </w:rPr>
      </w:pPr>
      <w:r>
        <w:rPr>
          <w:noProof/>
        </w:rPr>
        <w:t>–</w:t>
      </w:r>
      <w:r>
        <w:rPr>
          <w:noProof/>
        </w:rPr>
        <w:tab/>
        <w:t>Categoria 3 - Pescherecci adibiti alla cattura di specie demersali diverse dal nasello con attrezzi diversi dalle reti da traino: 3 000 tonnellate e 6 navi;</w:t>
      </w:r>
    </w:p>
    <w:p>
      <w:pPr>
        <w:pBdr>
          <w:top w:val="nil"/>
          <w:left w:val="nil"/>
          <w:bottom w:val="nil"/>
          <w:right w:val="nil"/>
          <w:between w:val="nil"/>
          <w:bar w:val="nil"/>
        </w:pBdr>
        <w:spacing w:before="0" w:after="240"/>
        <w:rPr>
          <w:noProof/>
        </w:rPr>
      </w:pPr>
      <w:r>
        <w:rPr>
          <w:noProof/>
        </w:rPr>
        <w:t>–</w:t>
      </w:r>
      <w:r>
        <w:rPr>
          <w:noProof/>
        </w:rPr>
        <w:tab/>
        <w:t>Categoria 4 - Tonniere con reti a circuizione: 12 500 tonnellate (quantitativo di riferimento) e 25 navi;</w:t>
      </w:r>
    </w:p>
    <w:p>
      <w:pPr>
        <w:pBdr>
          <w:top w:val="nil"/>
          <w:left w:val="nil"/>
          <w:bottom w:val="nil"/>
          <w:right w:val="nil"/>
          <w:between w:val="nil"/>
          <w:bar w:val="nil"/>
        </w:pBdr>
        <w:spacing w:before="0" w:after="240"/>
        <w:rPr>
          <w:noProof/>
        </w:rPr>
      </w:pPr>
      <w:r>
        <w:rPr>
          <w:noProof/>
        </w:rPr>
        <w:t>–</w:t>
      </w:r>
      <w:r>
        <w:rPr>
          <w:noProof/>
        </w:rPr>
        <w:tab/>
        <w:t>Categoria 5 - Tonniere con lenze e canne e pescherecci con palangari di superficie: 7 500 tonnellate (quantitativo di riferimento) e 15 navi;</w:t>
      </w:r>
    </w:p>
    <w:p>
      <w:pPr>
        <w:pBdr>
          <w:top w:val="nil"/>
          <w:left w:val="nil"/>
          <w:bottom w:val="nil"/>
          <w:right w:val="nil"/>
          <w:between w:val="nil"/>
          <w:bar w:val="nil"/>
        </w:pBdr>
        <w:spacing w:before="0" w:after="240"/>
        <w:rPr>
          <w:noProof/>
        </w:rPr>
      </w:pPr>
      <w:r>
        <w:rPr>
          <w:noProof/>
        </w:rPr>
        <w:t>–</w:t>
      </w:r>
      <w:r>
        <w:rPr>
          <w:noProof/>
        </w:rPr>
        <w:tab/>
        <w:t>Categoria 6 - Pescherecci da traino congelatori per la pesca pelagica: 225 000 tonnellate</w:t>
      </w:r>
      <w:r>
        <w:rPr>
          <w:rStyle w:val="FootnoteReference"/>
          <w:noProof/>
        </w:rPr>
        <w:footnoteReference w:id="2"/>
      </w:r>
      <w:r>
        <w:rPr>
          <w:noProof/>
        </w:rPr>
        <w:t xml:space="preserve"> e 19 navi;</w:t>
      </w:r>
    </w:p>
    <w:p>
      <w:pPr>
        <w:pBdr>
          <w:top w:val="nil"/>
          <w:left w:val="nil"/>
          <w:bottom w:val="nil"/>
          <w:right w:val="nil"/>
          <w:between w:val="nil"/>
          <w:bar w:val="nil"/>
        </w:pBdr>
        <w:spacing w:before="0" w:after="240"/>
        <w:rPr>
          <w:noProof/>
        </w:rPr>
      </w:pPr>
      <w:r>
        <w:rPr>
          <w:noProof/>
        </w:rPr>
        <w:t>–</w:t>
      </w:r>
      <w:r>
        <w:rPr>
          <w:noProof/>
        </w:rPr>
        <w:tab/>
        <w:t>Categoria 7 - Navi per la pesca pelagica fresca: 15 000 tonnellate (detratte dal volume della categoria 6 se utilizzate) e 2 navi.</w:t>
      </w:r>
    </w:p>
    <w:p>
      <w:pPr>
        <w:pStyle w:val="ManualHeading2"/>
        <w:rPr>
          <w:rFonts w:eastAsia="Arial Unicode MS"/>
          <w:noProof/>
          <w:color w:val="000000"/>
          <w:u w:color="000000"/>
          <w:bdr w:val="nil"/>
        </w:rPr>
      </w:pPr>
      <w:r>
        <w:rPr>
          <w:noProof/>
          <w:u w:color="000000"/>
          <w:bdr w:val="nil"/>
        </w:rPr>
        <w:t>•</w:t>
      </w:r>
      <w:r>
        <w:rPr>
          <w:noProof/>
          <w:u w:color="000000"/>
          <w:bdr w:val="nil"/>
        </w:rPr>
        <w:tab/>
        <w:t>Coerenza con le disposizioni vigenti nel settore normativo interessato</w:t>
      </w:r>
    </w:p>
    <w:p>
      <w:pPr>
        <w:pBdr>
          <w:top w:val="nil"/>
          <w:left w:val="nil"/>
          <w:bottom w:val="nil"/>
          <w:right w:val="nil"/>
          <w:between w:val="nil"/>
          <w:bar w:val="nil"/>
        </w:pBdr>
        <w:spacing w:before="0" w:after="240"/>
        <w:rPr>
          <w:noProof/>
        </w:rPr>
      </w:pPr>
      <w:r>
        <w:rPr>
          <w:noProof/>
        </w:rPr>
        <w:t>In linea con le priorità della riforma della politica della pesca</w:t>
      </w:r>
      <w:r>
        <w:rPr>
          <w:rStyle w:val="FootnoteReference"/>
          <w:noProof/>
        </w:rPr>
        <w:footnoteReference w:id="3"/>
      </w:r>
      <w:r>
        <w:rPr>
          <w:noProof/>
        </w:rPr>
        <w:t>, il protocollo offre possibilità di pesca alle navi dell'Unione nelle acque della Mauritania, sulla base dei migliori pareri scientifici disponibili e nel rispetto delle raccomandazioni dell'ICCAT. Il protocollo consentirà inoltre all'Unione europea e alla Repubblica islamica di Mauritania di collaborare più strettamente per promuovere lo sfruttamento responsabile delle risorse alieutiche nelle acque mauritane e di sostenere gli sforzi di tale paese volti a sviluppare il settore nazionale della pesca, nell'interesse di entrambe le Parti.</w:t>
      </w:r>
    </w:p>
    <w:p>
      <w:pPr>
        <w:pStyle w:val="ManualHeading2"/>
        <w:rPr>
          <w:rFonts w:eastAsia="Arial Unicode MS"/>
          <w:noProof/>
        </w:rPr>
      </w:pPr>
      <w:r>
        <w:rPr>
          <w:noProof/>
          <w:u w:color="000000"/>
          <w:bdr w:val="nil"/>
        </w:rPr>
        <w:t>•</w:t>
      </w:r>
      <w:r>
        <w:rPr>
          <w:noProof/>
          <w:u w:color="000000"/>
          <w:bdr w:val="nil"/>
        </w:rPr>
        <w:tab/>
        <w:t>Coerenza con le altre politiche dell'Unione</w:t>
      </w:r>
    </w:p>
    <w:p>
      <w:pPr>
        <w:pBdr>
          <w:top w:val="nil"/>
          <w:left w:val="nil"/>
          <w:bottom w:val="nil"/>
          <w:right w:val="nil"/>
          <w:between w:val="nil"/>
          <w:bar w:val="nil"/>
        </w:pBdr>
        <w:spacing w:before="0" w:after="240"/>
        <w:rPr>
          <w:noProof/>
        </w:rPr>
      </w:pPr>
      <w:r>
        <w:rPr>
          <w:noProof/>
        </w:rPr>
        <w:t>La negoziazione di un nuovo accordo di partenariato nel settore della pesca con la Repubblica islamica di Mauritania e del relativo protocollo di attuazione, di cui la presente proposta di proroga costituisce una fase, si colloca nel quadro dell'azione esterna dell'UE nei confronti dei paesi ACP e tiene conto, in particolare, degli obiettivi dell'Unione in materia di rispetto dei principi democratici e dei diritti dell'uomo.</w:t>
      </w:r>
    </w:p>
    <w:p>
      <w:pPr>
        <w:spacing w:before="0" w:after="240"/>
        <w:rPr>
          <w:noProof/>
        </w:rPr>
      </w:pPr>
      <w:r>
        <w:rPr>
          <w:noProof/>
        </w:rPr>
        <w:t>Sebbene su scala locale l'attività economica generata nel settore della pesca in Mauritania contribuirebbe ad affrontare alla radice le cause della migrazione irregolare.</w:t>
      </w:r>
    </w:p>
    <w:p>
      <w:pPr>
        <w:pStyle w:val="ManualHeading1"/>
        <w:rPr>
          <w:noProof/>
        </w:rPr>
      </w:pPr>
      <w:r>
        <w:rPr>
          <w:noProof/>
        </w:rPr>
        <w:lastRenderedPageBreak/>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keepNext/>
        <w:rPr>
          <w:noProof/>
        </w:rPr>
      </w:pPr>
      <w:r>
        <w:rPr>
          <w:noProof/>
        </w:rPr>
        <w:t>La base giuridica scelta è il trattato sul funzionamento dell'Unione europea che, all'articolo 43, paragrafo 2, stabilisce la politica comune della pesca e all'articolo 218, paragrafo 5, stabilisce la fase pertinente della procedura per la negoziazione e la conclusione di accordi tra l'Unione e i paesi terzi.</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u w:color="000000"/>
          <w:bdr w:val="nil"/>
        </w:rPr>
        <w:t>•</w:t>
      </w:r>
      <w:r>
        <w:rPr>
          <w:noProof/>
          <w:u w:color="000000"/>
          <w:bdr w:val="nil"/>
        </w:rPr>
        <w:tab/>
        <w:t>Sussidiarietà (per la competenza non esclusiva)</w:t>
      </w:r>
    </w:p>
    <w:p>
      <w:pPr>
        <w:pBdr>
          <w:top w:val="nil"/>
          <w:left w:val="nil"/>
          <w:bottom w:val="nil"/>
          <w:right w:val="nil"/>
          <w:between w:val="nil"/>
          <w:bar w:val="nil"/>
        </w:pBdr>
        <w:spacing w:before="0" w:after="240"/>
        <w:rPr>
          <w:rFonts w:eastAsia="Arial Unicode MS"/>
          <w:noProof/>
        </w:rPr>
      </w:pPr>
      <w:r>
        <w:rPr>
          <w:noProof/>
        </w:rPr>
        <w:t>La proposta è di competenza esclusiva dell'Unione europea.</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noProof/>
        </w:rPr>
      </w:pPr>
      <w:r>
        <w:rPr>
          <w:noProof/>
        </w:rPr>
        <w:t>La proposta è commisurata all'obiettivo di istituire un quadro di governance giuridica, ambientale, economica e sociale per le attività di pesca condotte dalle navi dell'Unione europea nelle acque dei paesi terzi, stabilito all'articolo 31 del regolamento sulla politica comune della pesca. Essa è conforme a tali disposizioni e alle disposizioni in materia di assistenza finanziaria ai paesi terzi di cui all'articolo 32 del medesimo regolamento.</w:t>
      </w:r>
    </w:p>
    <w:p>
      <w:pPr>
        <w:pBdr>
          <w:top w:val="nil"/>
          <w:left w:val="nil"/>
          <w:bottom w:val="nil"/>
          <w:right w:val="nil"/>
          <w:between w:val="nil"/>
          <w:bar w:val="nil"/>
        </w:pBdr>
        <w:spacing w:before="0" w:after="240"/>
        <w:rPr>
          <w:rFonts w:eastAsia="Arial Unicode MS"/>
          <w:noProof/>
        </w:rPr>
      </w:pPr>
      <w:r>
        <w:rPr>
          <w:noProof/>
        </w:rPr>
        <w:t>La proroga di un anno del quadro istituito dal protocollo che scade il 15 novembre 2019 è funzionale ai fini del processo di negoziazione con la finalità di garantire la continuità delle attività di pesca della flotta europea attiva nelle acque mauritane.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Le Parti interessate sono state consultate nell'ambito della valutazione del protocollo 2015-2019. Gli esperti degli Stati membri sono stati inoltre consultati in occasione di riunioni tecniche. Le consultazioni hanno evidenziato l'utilità di rinnovare il protocollo di pesca con la Repubblica islamica di Mauritania. La presente proposta di proroga del protocollo costituisce una fase del processo negoziale di tale rinnovo.</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Nell'ambito della valutazione sono stati consultati Stati membri, rappresentanti del settore, organizzazioni internazionali della società civile nonché l'amministrazione della pesca e rappresentanti della società civile della Repubblica islamica di Mauritania. Si sono svolte consultazioni anche nell'ambito del consiglio consultivo per la flotta oceanica.</w:t>
      </w:r>
    </w:p>
    <w:p>
      <w:pPr>
        <w:pStyle w:val="ManualHeading2"/>
        <w:rPr>
          <w:rFonts w:eastAsia="Arial Unicode MS"/>
          <w:noProof/>
          <w:u w:color="000000"/>
          <w:bdr w:val="nil"/>
        </w:rPr>
      </w:pPr>
      <w:r>
        <w:rPr>
          <w:noProof/>
          <w:u w:color="000000"/>
          <w:bdr w:val="nil"/>
        </w:rPr>
        <w:t>•</w:t>
      </w:r>
      <w:r>
        <w:rPr>
          <w:noProof/>
          <w:u w:color="000000"/>
          <w:bdr w:val="nil"/>
        </w:rPr>
        <w:tab/>
        <w:t>Ricorso al parere di esperti</w:t>
      </w:r>
    </w:p>
    <w:p>
      <w:pPr>
        <w:spacing w:before="0" w:after="240"/>
        <w:rPr>
          <w:noProof/>
        </w:rPr>
      </w:pPr>
      <w:r>
        <w:rPr>
          <w:noProof/>
        </w:rPr>
        <w:t>La Commissione si è avvalsa di un consulente indipendente per le valutazioni ex ante ed ex post, conformemente alle disposizioni di cui all'articolo 31, paragrafo 10, del regolamento sulla politica comune della pesca.</w:t>
      </w:r>
    </w:p>
    <w:p>
      <w:pPr>
        <w:pStyle w:val="ManualHeading1"/>
        <w:rPr>
          <w:noProof/>
        </w:rPr>
      </w:pPr>
      <w:r>
        <w:rPr>
          <w:noProof/>
        </w:rPr>
        <w:t>4.</w:t>
      </w:r>
      <w:r>
        <w:rPr>
          <w:noProof/>
        </w:rPr>
        <w:tab/>
        <w:t>INCIDENZA SUL BILANCIO</w:t>
      </w:r>
    </w:p>
    <w:p>
      <w:pPr>
        <w:rPr>
          <w:noProof/>
        </w:rPr>
      </w:pPr>
      <w:r>
        <w:rPr>
          <w:noProof/>
        </w:rPr>
        <w:t>La contropartita finanziaria annua dell'Unione europea, pari a 61 625 000 EUR, si basa su:</w:t>
      </w:r>
    </w:p>
    <w:p>
      <w:pPr>
        <w:rPr>
          <w:noProof/>
        </w:rPr>
      </w:pPr>
      <w:r>
        <w:rPr>
          <w:noProof/>
        </w:rPr>
        <w:t>a) un importo annuo per l'accesso alle risorse alieutiche per le categorie stabilite nel protocollo, fissato a 57 500 000 EUR l'anno per la durata della proroga del protocollo;</w:t>
      </w:r>
    </w:p>
    <w:p>
      <w:pPr>
        <w:rPr>
          <w:noProof/>
        </w:rPr>
      </w:pPr>
      <w:r>
        <w:rPr>
          <w:noProof/>
        </w:rPr>
        <w:lastRenderedPageBreak/>
        <w:t>b) un sostegno allo sviluppo della politica settoriale della pesca della Mauritania per un importo annuo pari a 4 125 000 EUR l'anno per tutta la durata della proroga del protocollo. Tale sostegno risponde agli obiettivi della politica nazionale in materia di gestione sostenibile delle risorse alieutiche continentali e marittime per tutta la durata del protocollo.</w:t>
      </w:r>
    </w:p>
    <w:p>
      <w:pPr>
        <w:rPr>
          <w:noProof/>
        </w:rPr>
      </w:pPr>
      <w:r>
        <w:rPr>
          <w:noProof/>
        </w:rPr>
        <w:t>L'importo annuo degli stanziamenti di impegno e di pagamento è stabilito nel corso della procedura annuale di bilancio, compresa la linea di riserva per i protocolli non ancora entrati in vigore all'inizio dell'anno</w:t>
      </w:r>
      <w:r>
        <w:rPr>
          <w:rStyle w:val="FootnoteReference"/>
          <w:noProof/>
        </w:rPr>
        <w:footnoteReference w:id="4"/>
      </w:r>
      <w:r>
        <w:rPr>
          <w:noProof/>
        </w:rPr>
        <w:t>.</w:t>
      </w:r>
    </w:p>
    <w:p>
      <w:pPr>
        <w:rPr>
          <w:noProof/>
        </w:rPr>
      </w:pPr>
      <w:r>
        <w:rPr>
          <w:noProof/>
        </w:rPr>
        <w:t>Lo scambio di lettere per la proroga stabilisce altresì una clausola di riduzione proporzionale qualora i negoziati per il rinnovo dell'accordo di partenariato e del relativo protocollo sfociassero nella firma che ne comporta l'applicazione prima della scadenza della proroga annuale oggetto dello scambio di lettere.</w:t>
      </w:r>
    </w:p>
    <w:p>
      <w:pPr>
        <w:rPr>
          <w:noProof/>
        </w:rPr>
      </w:pP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noProof/>
        </w:rPr>
      </w:pPr>
      <w:r>
        <w:rPr>
          <w:noProof/>
        </w:rPr>
        <w:t>Le modalità di monitoraggio sono contemplate dal protocollo la cui proroga costituisce l'oggetto dello scambio di lettere.</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2019/0209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 xml:space="preserve">relativa alla firma, a nome dell'Unione europea, e all'applicazione provvisoria dell'accordo in forma di scambio di lettere fra l'Unione europea e la Repubblica islamica di Mauritania relativo alla proroga del protocollo che fissa le possibilità di pesca e la contropartita finanziaria previste dall'accordo di partenariato nel settore della pesca tra la Comunità europea e la Repubblica islamica di Mauritania, </w:t>
      </w:r>
      <w:r>
        <w:rPr>
          <w:noProof/>
        </w:rPr>
        <w:br/>
        <w:t>in scadenza il 15 novembre 2019</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2, in combinato disposto con l'articolo 218, paragrafo 5,</w:t>
      </w:r>
    </w:p>
    <w:p>
      <w:pPr>
        <w:rPr>
          <w:noProof/>
        </w:rPr>
      </w:pPr>
      <w:r>
        <w:rPr>
          <w:noProof/>
        </w:rPr>
        <w:t>vista la proposta della Commissione europea,</w:t>
      </w:r>
    </w:p>
    <w:p>
      <w:pPr>
        <w:rPr>
          <w:noProof/>
        </w:rPr>
      </w:pPr>
      <w:r>
        <w:rPr>
          <w:noProof/>
        </w:rPr>
        <w:t>considerando quanto segue:</w:t>
      </w:r>
    </w:p>
    <w:p>
      <w:pPr>
        <w:ind w:left="709" w:hanging="709"/>
        <w:rPr>
          <w:noProof/>
        </w:rPr>
      </w:pPr>
      <w:r>
        <w:rPr>
          <w:noProof/>
        </w:rPr>
        <w:t>1)</w:t>
      </w:r>
      <w:r>
        <w:rPr>
          <w:noProof/>
        </w:rPr>
        <w:tab/>
        <w:t>L'accordo di partenariato nel settore della pesca fra la Comunità europea e la Repubblica islamica di Mauritania</w:t>
      </w:r>
      <w:r>
        <w:rPr>
          <w:rStyle w:val="FootnoteReference"/>
          <w:noProof/>
        </w:rPr>
        <w:footnoteReference w:id="5"/>
      </w:r>
      <w:r>
        <w:rPr>
          <w:noProof/>
        </w:rPr>
        <w:t xml:space="preserve"> (in appresso "l'accordo"), approvato mediante il regolamento (CE) n. 1801/2006 del Consiglio</w:t>
      </w:r>
      <w:r>
        <w:rPr>
          <w:rStyle w:val="FootnoteReference"/>
          <w:noProof/>
        </w:rPr>
        <w:footnoteReference w:id="6"/>
      </w:r>
      <w:r>
        <w:rPr>
          <w:noProof/>
        </w:rPr>
        <w:t>, è entrato in vigore l'8 agosto 2008. Il relativo protocollo che fissa le possibilità di pesca e la contropartita finanziaria previste dall'accordo (in appresso "il protocollo"), entrato in vigore il medesimo giorno per un periodo di due anni, è stato più volte sostituito.</w:t>
      </w:r>
    </w:p>
    <w:p>
      <w:pPr>
        <w:ind w:left="709" w:hanging="709"/>
        <w:rPr>
          <w:noProof/>
        </w:rPr>
      </w:pPr>
      <w:r>
        <w:rPr>
          <w:noProof/>
        </w:rPr>
        <w:t>2)</w:t>
      </w:r>
      <w:r>
        <w:rPr>
          <w:noProof/>
        </w:rPr>
        <w:tab/>
        <w:t>L'ultimo protocollo dell'accordo giunge a scadenza il 15 novembre 2019.</w:t>
      </w:r>
    </w:p>
    <w:p>
      <w:pPr>
        <w:ind w:left="709" w:hanging="709"/>
        <w:rPr>
          <w:noProof/>
        </w:rPr>
      </w:pPr>
      <w:r>
        <w:rPr>
          <w:noProof/>
        </w:rPr>
        <w:t>3)</w:t>
      </w:r>
      <w:r>
        <w:rPr>
          <w:noProof/>
        </w:rPr>
        <w:tab/>
        <w:t>L'8 luglio 2019 il Consiglio ha autorizzato la Commissione ad avviare i negoziati con Repubblica islamica di Mauritania per la conclusione di un nuovo accordo di partenariato per una pesca sostenibile e di un protocollo di attuazione di tale accordo.</w:t>
      </w:r>
    </w:p>
    <w:p>
      <w:pPr>
        <w:ind w:left="709" w:hanging="709"/>
        <w:rPr>
          <w:noProof/>
        </w:rPr>
      </w:pPr>
      <w:r>
        <w:rPr>
          <w:noProof/>
        </w:rPr>
        <w:t>3)</w:t>
      </w:r>
      <w:r>
        <w:rPr>
          <w:noProof/>
        </w:rPr>
        <w:tab/>
        <w:t>In attesa di finalizzare i negoziati per il rinnovo dell'accordo e del relativo protocollo, la Commissione ha negoziato, a nome dell'Unione europea, un accordo in forma di scambio di lettere relativo alla proroga per un periodo massimo di un anno del protocollo che fissa le possibilità di pesca e la contropartita finanziaria previste dall'accordo. Tali negoziati sono stati condotti a buon fine e lo scambio di lettere è stato siglato il 4 settembre 2019.</w:t>
      </w:r>
    </w:p>
    <w:p>
      <w:pPr>
        <w:ind w:left="709" w:hanging="709"/>
        <w:rPr>
          <w:noProof/>
        </w:rPr>
      </w:pPr>
      <w:r>
        <w:rPr>
          <w:noProof/>
        </w:rPr>
        <w:t>4)</w:t>
      </w:r>
      <w:r>
        <w:rPr>
          <w:noProof/>
        </w:rPr>
        <w:tab/>
        <w:t xml:space="preserve">Obiettivo dello scambio di lettere è consentire all'Unione europea e alla Repubblica islamica di Mauritania di continuare a collaborare al fine di promuovere </w:t>
      </w:r>
      <w:r>
        <w:rPr>
          <w:noProof/>
        </w:rPr>
        <w:lastRenderedPageBreak/>
        <w:t>una politica di pesca sostenibile e lo sfruttamento responsabile delle risorse alieutiche nelle acque mauritane nonché consentire ai pescherecci dell'Unione di esercitare le loro attività di pesca in dette acque.</w:t>
      </w:r>
    </w:p>
    <w:p>
      <w:pPr>
        <w:ind w:left="709" w:hanging="709"/>
        <w:rPr>
          <w:noProof/>
        </w:rPr>
      </w:pPr>
      <w:r>
        <w:rPr>
          <w:noProof/>
        </w:rPr>
        <w:t>5)</w:t>
      </w:r>
      <w:r>
        <w:rPr>
          <w:noProof/>
        </w:rPr>
        <w:tab/>
        <w:t>Di conseguenza è opportuno firmare l'accordo in forma di scambio di lettere a nome dell'Unione, con riserva della sua conclusione in una data successiva.</w:t>
      </w:r>
    </w:p>
    <w:p>
      <w:pPr>
        <w:ind w:left="709" w:hanging="709"/>
        <w:rPr>
          <w:noProof/>
        </w:rPr>
      </w:pPr>
      <w:r>
        <w:rPr>
          <w:noProof/>
        </w:rPr>
        <w:t>6)</w:t>
      </w:r>
      <w:r>
        <w:rPr>
          <w:noProof/>
        </w:rPr>
        <w:tab/>
        <w:t>Al fine di garantire la continuità delle attività di pesca delle navi dell'Unione nelle acque mauritane, è opportuno applicare l'accordo in forma di scambio di lettere in via provvisoria,</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firma dell'accordo in forma di scambio di lettere fra l'Unione europea e la Repubblica islamica di Mauritania relativo alla proroga del protocollo che fissa le possibilità di pesca e la contropartita finanziaria previste dall'accordo di partenariato nel settore della pesca tra la Comunità europea e la Repubblica islamica di Mauritania, in scadenza il 15 novembre 2019, (in appresso "l'accordo in forma di scambio di lettere") è approvata a nome dell'Unione, con riserva della conclusione di detto accordo.</w:t>
      </w:r>
    </w:p>
    <w:p>
      <w:pPr>
        <w:rPr>
          <w:noProof/>
        </w:rPr>
      </w:pPr>
      <w:r>
        <w:rPr>
          <w:noProof/>
        </w:rPr>
        <w:t>Il testo dell'accordo in forma di scambio di lettere è allegato alla presente decisione.</w:t>
      </w:r>
    </w:p>
    <w:p>
      <w:pPr>
        <w:pStyle w:val="Titrearticle"/>
        <w:rPr>
          <w:noProof/>
        </w:rPr>
      </w:pPr>
      <w:r>
        <w:rPr>
          <w:noProof/>
        </w:rPr>
        <w:t>Articolo 2</w:t>
      </w:r>
    </w:p>
    <w:p>
      <w:pPr>
        <w:rPr>
          <w:noProof/>
        </w:rPr>
      </w:pPr>
      <w:r>
        <w:rPr>
          <w:noProof/>
        </w:rPr>
        <w:t>Il Segretariato generale del Consiglio definisce lo strumento dei pieni poteri per la firma dell'accordo in forma di scambio di lettere, con riserva della sua conclusione, per la persona o le persone indicate dal negoziatore dello scambio di lettere stesso.</w:t>
      </w:r>
    </w:p>
    <w:p>
      <w:pPr>
        <w:pStyle w:val="Titrearticle"/>
        <w:rPr>
          <w:noProof/>
        </w:rPr>
      </w:pPr>
      <w:r>
        <w:rPr>
          <w:noProof/>
        </w:rPr>
        <w:t>Articolo 3</w:t>
      </w:r>
    </w:p>
    <w:p>
      <w:pPr>
        <w:keepNext/>
        <w:rPr>
          <w:noProof/>
        </w:rPr>
      </w:pPr>
      <w:r>
        <w:rPr>
          <w:noProof/>
        </w:rPr>
        <w:t>L'accordo in forma di scambio di lettere è applicabile in via provvisoria, conformemente al relativo paragrafo 6, a decorrere dal 16 novembre 2019 o da qualsiasi altra data successiva dalla data della firma, in attesa della sua entrata in vigore.</w:t>
      </w:r>
    </w:p>
    <w:p>
      <w:pPr>
        <w:pStyle w:val="Titrearticle"/>
        <w:rPr>
          <w:noProof/>
        </w:rPr>
      </w:pPr>
      <w:r>
        <w:rPr>
          <w:noProof/>
        </w:rPr>
        <w:t>Articolo 4</w:t>
      </w:r>
    </w:p>
    <w:p>
      <w:pPr>
        <w:keepNext/>
        <w:rPr>
          <w:noProof/>
        </w:rPr>
      </w:pPr>
      <w:r>
        <w:rPr>
          <w:noProof/>
        </w:rPr>
        <w:t xml:space="preserve">La presente decisione entra in vigore il giorno successivo alla pubblicazione nella </w:t>
      </w:r>
      <w:r>
        <w:rPr>
          <w:i/>
          <w:noProof/>
        </w:rPr>
        <w:t>Gazzetta ufficiale dell'Unione europea</w:t>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spacing w:before="0" w:after="200" w:line="276" w:lineRule="auto"/>
        <w:jc w:val="left"/>
        <w:rPr>
          <w:i/>
          <w:noProof/>
        </w:rPr>
      </w:pPr>
      <w:r>
        <w:rPr>
          <w:noProof/>
        </w:rPr>
        <w:br w:type="page"/>
      </w:r>
    </w:p>
    <w:p>
      <w:pPr>
        <w:jc w:val="center"/>
        <w:rPr>
          <w:b/>
          <w:noProof/>
          <w:u w:val="single"/>
        </w:rPr>
        <w:sectPr>
          <w:footnotePr>
            <w:numRestart w:val="eachPage"/>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SCHEDA FINANZIARIA LEGISLATIVA</w:t>
      </w:r>
    </w:p>
    <w:p>
      <w:pPr>
        <w:keepNext/>
        <w:tabs>
          <w:tab w:val="left" w:pos="850"/>
        </w:tabs>
        <w:spacing w:before="360"/>
        <w:ind w:left="850" w:hanging="850"/>
        <w:outlineLvl w:val="0"/>
        <w:rPr>
          <w:b/>
          <w:smallCaps/>
          <w:noProof/>
        </w:rPr>
      </w:pPr>
      <w:r>
        <w:rPr>
          <w:b/>
          <w:smallCaps/>
          <w:noProof/>
        </w:rPr>
        <w:t>1.</w:t>
      </w:r>
      <w:r>
        <w:rPr>
          <w:b/>
          <w:smallCaps/>
          <w:noProof/>
        </w:rPr>
        <w:tab/>
        <w:t>CONTESTO DELLA PROPOSTA/INIZIATIVA</w:t>
      </w:r>
    </w:p>
    <w:p>
      <w:pPr>
        <w:keepNext/>
        <w:tabs>
          <w:tab w:val="left" w:pos="850"/>
        </w:tabs>
        <w:outlineLvl w:val="1"/>
        <w:rPr>
          <w:b/>
          <w:noProof/>
        </w:rPr>
      </w:pPr>
      <w:r>
        <w:rPr>
          <w:b/>
          <w:noProof/>
        </w:rPr>
        <w:t>1.1.</w:t>
      </w:r>
      <w:r>
        <w:rPr>
          <w:b/>
          <w:noProof/>
        </w:rPr>
        <w:tab/>
        <w:t>Titolo della proposta/iniziativa</w:t>
      </w:r>
    </w:p>
    <w:p>
      <w:pPr>
        <w:pBdr>
          <w:top w:val="single" w:sz="4" w:space="1" w:color="auto"/>
          <w:left w:val="single" w:sz="4" w:space="4" w:color="auto"/>
          <w:bottom w:val="single" w:sz="4" w:space="1" w:color="auto"/>
          <w:right w:val="single" w:sz="4" w:space="4" w:color="auto"/>
        </w:pBdr>
        <w:ind w:left="850"/>
        <w:rPr>
          <w:noProof/>
        </w:rPr>
      </w:pPr>
      <w:r>
        <w:rPr>
          <w:noProof/>
        </w:rPr>
        <w:t>Proposta di decisione del Consiglio relativa alla firma, a nome dell'Unione, e all'applicazione provvisoria dell'accordo in forma di scambio di lettere relativo alla proroga del protocollo che fissa le possibilità di pesca e la contropartita finanziaria previste dall'accordo di partenariato nel settore della pesca tra la Comunità europea e la Repubblica islamica di Mauritania, in scadenza il 15 novembre 2019.</w:t>
      </w:r>
    </w:p>
    <w:p>
      <w:pPr>
        <w:keepNext/>
        <w:tabs>
          <w:tab w:val="left" w:pos="850"/>
        </w:tabs>
        <w:outlineLvl w:val="1"/>
        <w:rPr>
          <w:b/>
          <w:noProof/>
        </w:rPr>
      </w:pPr>
      <w:r>
        <w:rPr>
          <w:b/>
          <w:noProof/>
        </w:rPr>
        <w:t>1.2.</w:t>
      </w:r>
      <w:r>
        <w:rPr>
          <w:b/>
          <w:noProof/>
        </w:rPr>
        <w:tab/>
        <w:t>Settore/settori interessati</w:t>
      </w:r>
    </w:p>
    <w:p>
      <w:pPr>
        <w:pBdr>
          <w:top w:val="single" w:sz="4" w:space="1" w:color="auto"/>
          <w:left w:val="single" w:sz="4" w:space="4" w:color="auto"/>
          <w:bottom w:val="single" w:sz="4" w:space="1" w:color="auto"/>
          <w:right w:val="single" w:sz="4" w:space="4" w:color="auto"/>
        </w:pBdr>
        <w:ind w:left="850"/>
        <w:rPr>
          <w:noProof/>
        </w:rPr>
      </w:pPr>
      <w:r>
        <w:rPr>
          <w:noProof/>
        </w:rPr>
        <w:t>11 – Affari marittimi e pesca</w:t>
      </w:r>
    </w:p>
    <w:p>
      <w:pPr>
        <w:pBdr>
          <w:top w:val="single" w:sz="4" w:space="1" w:color="auto"/>
          <w:left w:val="single" w:sz="4" w:space="4" w:color="auto"/>
          <w:bottom w:val="single" w:sz="4" w:space="1" w:color="auto"/>
          <w:right w:val="single" w:sz="4" w:space="4" w:color="auto"/>
        </w:pBdr>
        <w:ind w:left="850"/>
        <w:rPr>
          <w:noProof/>
        </w:rPr>
      </w:pPr>
      <w:r>
        <w:rPr>
          <w:noProof/>
        </w:rPr>
        <w:t>11.03 – Contributi obbligatori alle organizzazioni regionali di gestione della pesca (ORGP) e ad altre organizzazioni internazionali e accordi di pesca sostenibile (APS)</w:t>
      </w:r>
    </w:p>
    <w:p>
      <w:pPr>
        <w:pBdr>
          <w:top w:val="single" w:sz="4" w:space="1" w:color="auto"/>
          <w:left w:val="single" w:sz="4" w:space="4" w:color="auto"/>
          <w:bottom w:val="single" w:sz="4" w:space="1" w:color="auto"/>
          <w:right w:val="single" w:sz="4" w:space="4" w:color="auto"/>
        </w:pBdr>
        <w:ind w:left="850"/>
        <w:rPr>
          <w:noProof/>
        </w:rPr>
      </w:pPr>
      <w:r>
        <w:rPr>
          <w:noProof/>
        </w:rPr>
        <w:t>11.03.01 - Istituzione di un contesto di governance per le attività di pesca condotte dai pescherecci dell'Unione nelle acque dei paesi terzi</w:t>
      </w:r>
    </w:p>
    <w:p>
      <w:pPr>
        <w:keepNext/>
        <w:tabs>
          <w:tab w:val="left" w:pos="850"/>
        </w:tabs>
        <w:outlineLvl w:val="1"/>
        <w:rPr>
          <w:b/>
          <w:noProof/>
        </w:rPr>
      </w:pPr>
      <w:r>
        <w:rPr>
          <w:b/>
          <w:noProof/>
        </w:rPr>
        <w:t>1.3.</w:t>
      </w:r>
      <w:r>
        <w:rPr>
          <w:b/>
          <w:noProof/>
        </w:rPr>
        <w:tab/>
        <w:t>La proposta/iniziativa riguarda:</w:t>
      </w:r>
    </w:p>
    <w:p>
      <w:pPr>
        <w:ind w:left="850"/>
        <w:rPr>
          <w:b/>
          <w:noProof/>
          <w:sz w:val="22"/>
        </w:rPr>
      </w:pPr>
      <w:r>
        <w:rPr>
          <w:noProof/>
          <w:sz w:val="22"/>
        </w:rPr>
        <w:sym w:font="Wingdings" w:char="F0A8"/>
      </w:r>
      <w:r>
        <w:rPr>
          <w:b/>
          <w:i/>
          <w:noProof/>
          <w:sz w:val="22"/>
        </w:rPr>
        <w:t xml:space="preserve"> </w:t>
      </w:r>
      <w:r>
        <w:rPr>
          <w:b/>
          <w:noProof/>
        </w:rPr>
        <w:t>una nuova azione</w:t>
      </w:r>
    </w:p>
    <w:p>
      <w:pPr>
        <w:ind w:left="850"/>
        <w:rPr>
          <w:noProof/>
          <w:sz w:val="22"/>
        </w:rPr>
      </w:pPr>
      <w:r>
        <w:rPr>
          <w:noProof/>
          <w:sz w:val="22"/>
        </w:rPr>
        <w:sym w:font="Wingdings" w:char="F0A8"/>
      </w:r>
      <w:r>
        <w:rPr>
          <w:i/>
          <w:noProof/>
          <w:sz w:val="22"/>
        </w:rPr>
        <w:t xml:space="preserve"> </w:t>
      </w:r>
      <w:r>
        <w:rPr>
          <w:b/>
          <w:noProof/>
        </w:rPr>
        <w:t>una nuova azione a seguito di un progetto pilota/un'azione preparatoria</w:t>
      </w:r>
      <w:r>
        <w:rPr>
          <w:rStyle w:val="FootnoteReference"/>
          <w:noProof/>
        </w:rPr>
        <w:footnoteReference w:id="7"/>
      </w:r>
    </w:p>
    <w:p>
      <w:pPr>
        <w:ind w:left="850"/>
        <w:rPr>
          <w:noProof/>
          <w:sz w:val="22"/>
        </w:rPr>
      </w:pPr>
      <w:r>
        <w:rPr>
          <w:b/>
          <w:noProof/>
        </w:rPr>
        <w:t>X la proroga di un'azione esistente</w:t>
      </w:r>
    </w:p>
    <w:p>
      <w:pPr>
        <w:ind w:left="850"/>
        <w:rPr>
          <w:noProof/>
        </w:rPr>
      </w:pPr>
      <w:r>
        <w:rPr>
          <w:noProof/>
          <w:sz w:val="22"/>
        </w:rPr>
        <w:sym w:font="Wingdings" w:char="F0A8"/>
      </w:r>
      <w:r>
        <w:rPr>
          <w:i/>
          <w:noProof/>
          <w:sz w:val="22"/>
        </w:rPr>
        <w:t xml:space="preserve"> </w:t>
      </w:r>
      <w:r>
        <w:rPr>
          <w:b/>
          <w:noProof/>
        </w:rPr>
        <w:t>la fusione o il riorientamento di una o più azioni verso un'altra/una nuova azione</w:t>
      </w:r>
    </w:p>
    <w:p>
      <w:pPr>
        <w:keepNext/>
        <w:tabs>
          <w:tab w:val="left" w:pos="850"/>
        </w:tabs>
        <w:outlineLvl w:val="1"/>
        <w:rPr>
          <w:b/>
          <w:bCs/>
          <w:noProof/>
          <w:szCs w:val="24"/>
        </w:rPr>
      </w:pPr>
      <w:r>
        <w:rPr>
          <w:b/>
          <w:noProof/>
        </w:rPr>
        <w:t>1.4.</w:t>
      </w:r>
      <w:r>
        <w:rPr>
          <w:b/>
          <w:noProof/>
        </w:rPr>
        <w:tab/>
        <w:t>Obiettivi</w:t>
      </w:r>
    </w:p>
    <w:p>
      <w:pPr>
        <w:keepNext/>
        <w:tabs>
          <w:tab w:val="left" w:pos="850"/>
        </w:tabs>
        <w:outlineLvl w:val="2"/>
        <w:rPr>
          <w:i/>
          <w:noProof/>
        </w:rPr>
      </w:pPr>
      <w:r>
        <w:rPr>
          <w:i/>
          <w:noProof/>
        </w:rPr>
        <w:t>1.4.1.</w:t>
      </w:r>
      <w:r>
        <w:rPr>
          <w:i/>
          <w:noProof/>
        </w:rPr>
        <w:tab/>
        <w:t>Obiettivi generali</w:t>
      </w:r>
    </w:p>
    <w:p>
      <w:pPr>
        <w:pBdr>
          <w:top w:val="single" w:sz="4" w:space="1" w:color="auto"/>
          <w:left w:val="single" w:sz="4" w:space="4" w:color="auto"/>
          <w:bottom w:val="single" w:sz="4" w:space="1" w:color="auto"/>
          <w:right w:val="single" w:sz="4" w:space="4" w:color="auto"/>
        </w:pBdr>
        <w:ind w:left="850"/>
        <w:rPr>
          <w:noProof/>
        </w:rPr>
      </w:pPr>
      <w:r>
        <w:rPr>
          <w:noProof/>
        </w:rPr>
        <w:t>La negoziazione e la conclusione di accordi di partenariato per una pesca sostenibile (APPS) con paesi terzi rispondono all'obiettivo generale di permettere l'accesso dei pescherecci dell'Unione europea alle zone di pesca di paesi terzi e di sviluppare con tali paesi relazioni di partenariato volte a promuovere lo sfruttamento sostenibile delle risorse alieutiche al di fuori delle acque dell'Unione.</w:t>
      </w:r>
    </w:p>
    <w:p>
      <w:pPr>
        <w:pBdr>
          <w:top w:val="single" w:sz="4" w:space="1" w:color="auto"/>
          <w:left w:val="single" w:sz="4" w:space="4" w:color="auto"/>
          <w:bottom w:val="single" w:sz="4" w:space="1" w:color="auto"/>
          <w:right w:val="single" w:sz="4" w:space="4" w:color="auto"/>
        </w:pBdr>
        <w:ind w:left="850"/>
        <w:rPr>
          <w:noProof/>
        </w:rPr>
      </w:pPr>
      <w:r>
        <w:rPr>
          <w:noProof/>
        </w:rPr>
        <w:t>Gli APPS garantiscono inoltre la coerenza fra i principi che regolano la politica comune della pesca e gli impegni derivanti da altre politiche europee (sfruttamento sostenibile delle risorse dei paesi terzi, lotta contro la pesca illegale, non dichiarata e non regolamentata - INN, integrazione dei paesi partner nell'economia globale, migliore gestione delle attività di pesca a livello politico e finanziario).</w:t>
      </w:r>
    </w:p>
    <w:p>
      <w:pPr>
        <w:keepNext/>
        <w:tabs>
          <w:tab w:val="left" w:pos="850"/>
        </w:tabs>
        <w:outlineLvl w:val="2"/>
        <w:rPr>
          <w:bCs/>
          <w:i/>
          <w:noProof/>
          <w:szCs w:val="24"/>
        </w:rPr>
      </w:pPr>
      <w:r>
        <w:rPr>
          <w:i/>
          <w:noProof/>
        </w:rPr>
        <w:t>1.4.2.</w:t>
      </w:r>
      <w:r>
        <w:rPr>
          <w:i/>
          <w:noProof/>
        </w:rPr>
        <w:tab/>
        <w:t>Obiettivi specifici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w:t>
      </w:r>
    </w:p>
    <w:p>
      <w:pPr>
        <w:pBdr>
          <w:top w:val="single" w:sz="4" w:space="1" w:color="auto"/>
          <w:left w:val="single" w:sz="4" w:space="4" w:color="auto"/>
          <w:bottom w:val="single" w:sz="4" w:space="1" w:color="auto"/>
          <w:right w:val="single" w:sz="4" w:space="4" w:color="auto"/>
        </w:pBdr>
        <w:ind w:left="850"/>
        <w:rPr>
          <w:noProof/>
        </w:rPr>
      </w:pPr>
      <w:r>
        <w:rPr>
          <w:noProof/>
        </w:rPr>
        <w:t>Contribuire alla pesca sostenibile nelle acque al di fuori dell'Unione, mantenere la presenza europea nelle attività di pesca d'altura e tutelare gli interessi del settore europeo della pesca e dei consumatori tramite la negoziazione e la conclusione di APPS con Stati costieri, in coerenza con altre politiche europee.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Attività ABM/ABB interessate</w:t>
      </w:r>
    </w:p>
    <w:p>
      <w:pPr>
        <w:pBdr>
          <w:top w:val="single" w:sz="4" w:space="1" w:color="auto"/>
          <w:left w:val="single" w:sz="4" w:space="4" w:color="auto"/>
          <w:bottom w:val="single" w:sz="4" w:space="1" w:color="auto"/>
          <w:right w:val="single" w:sz="4" w:space="4" w:color="auto"/>
        </w:pBdr>
        <w:ind w:left="850"/>
        <w:rPr>
          <w:noProof/>
        </w:rPr>
      </w:pPr>
      <w:r>
        <w:rPr>
          <w:noProof/>
        </w:rPr>
        <w:t>Affari marittimi e pesca: istituzione di un contesto di governance per le attività di pesca condotte dai pescherecci dell'Unione europea nelle acque dei paesi terzi (APS) (linea di bilancio 11.03.01).</w:t>
      </w:r>
    </w:p>
    <w:p>
      <w:pPr>
        <w:keepNext/>
        <w:tabs>
          <w:tab w:val="left" w:pos="850"/>
        </w:tabs>
        <w:outlineLvl w:val="2"/>
        <w:rPr>
          <w:i/>
          <w:noProof/>
        </w:rPr>
      </w:pPr>
      <w:r>
        <w:rPr>
          <w:i/>
          <w:noProof/>
        </w:rPr>
        <w:t>1.4.3.</w:t>
      </w:r>
      <w:r>
        <w:rPr>
          <w:i/>
          <w:noProof/>
        </w:rPr>
        <w:tab/>
        <w:t>Risultati e incidenza previsti</w:t>
      </w:r>
    </w:p>
    <w:p>
      <w:pPr>
        <w:ind w:left="850"/>
        <w:rPr>
          <w:i/>
          <w:noProof/>
          <w:sz w:val="20"/>
        </w:rPr>
      </w:pPr>
      <w:r>
        <w:rPr>
          <w:i/>
          <w:noProof/>
          <w:sz w:val="20"/>
        </w:rPr>
        <w:t>Precisare gli effetti che la proposta/iniziativa dovrebbe avere sui beneficiari/gruppi interessati</w:t>
      </w:r>
    </w:p>
    <w:p>
      <w:pPr>
        <w:pBdr>
          <w:top w:val="single" w:sz="4" w:space="1" w:color="auto"/>
          <w:left w:val="single" w:sz="4" w:space="4" w:color="auto"/>
          <w:bottom w:val="single" w:sz="4" w:space="1" w:color="auto"/>
          <w:right w:val="single" w:sz="4" w:space="4" w:color="auto"/>
        </w:pBdr>
        <w:ind w:left="850"/>
        <w:rPr>
          <w:noProof/>
        </w:rPr>
      </w:pPr>
      <w:r>
        <w:rPr>
          <w:noProof/>
        </w:rPr>
        <w:t>La proroga del protocollo dell'APP vigente consente di evitare l'interruzione delle attività di pesca delle navi europee alla scadenza del protocollo il 15 novembre 2019. Essa vige per un periodo massimo di un anno, in attesa della finalizzazione dei negoziati per il rinnovo dell'APP.</w:t>
      </w:r>
    </w:p>
    <w:p>
      <w:pPr>
        <w:pBdr>
          <w:top w:val="single" w:sz="4" w:space="1" w:color="auto"/>
          <w:left w:val="single" w:sz="4" w:space="4" w:color="auto"/>
          <w:bottom w:val="single" w:sz="4" w:space="1" w:color="auto"/>
          <w:right w:val="single" w:sz="4" w:space="4" w:color="auto"/>
        </w:pBdr>
        <w:ind w:left="850"/>
        <w:rPr>
          <w:noProof/>
        </w:rPr>
      </w:pPr>
      <w:r>
        <w:rPr>
          <w:noProof/>
        </w:rPr>
        <w:t>Il protocollo consente di istituire un partenariato strategico nel settore della pesca tra l'Unione europea e la Repubblica islamica di Mauritania. Il protocollo contribuisce inoltre a una miglior gestione e conservazione delle risorse alieutiche tramite un sostegno finanziario (sostegno settoriale) all'attuazione dei programmi adottati a livello nazionale dal paese partner, in particolare per quanto riguarda la sorveglianza e la lotta contro la pesca illegale e il sostegno al settore della pesca artigianale.</w:t>
      </w:r>
    </w:p>
    <w:p>
      <w:pPr>
        <w:keepNext/>
        <w:tabs>
          <w:tab w:val="left" w:pos="850"/>
        </w:tabs>
        <w:outlineLvl w:val="2"/>
        <w:rPr>
          <w:i/>
          <w:noProof/>
          <w:szCs w:val="24"/>
        </w:rPr>
      </w:pPr>
      <w:r>
        <w:rPr>
          <w:i/>
          <w:noProof/>
        </w:rPr>
        <w:t>1.4.4.</w:t>
      </w:r>
      <w:r>
        <w:rPr>
          <w:i/>
          <w:noProof/>
        </w:rPr>
        <w:tab/>
        <w:t>Indicatori di prestazione</w:t>
      </w:r>
    </w:p>
    <w:p>
      <w:pPr>
        <w:ind w:left="850"/>
        <w:rPr>
          <w:i/>
          <w:noProof/>
          <w:sz w:val="20"/>
        </w:rPr>
      </w:pPr>
      <w:r>
        <w:rPr>
          <w:i/>
          <w:noProof/>
          <w:sz w:val="20"/>
        </w:rPr>
        <w:t>Precisare gli indicatori con cui monitorare progressi e risultati</w:t>
      </w:r>
    </w:p>
    <w:p>
      <w:pPr>
        <w:pBdr>
          <w:top w:val="single" w:sz="4" w:space="1" w:color="auto"/>
          <w:left w:val="single" w:sz="4" w:space="4" w:color="auto"/>
          <w:bottom w:val="single" w:sz="4" w:space="1" w:color="auto"/>
          <w:right w:val="single" w:sz="4" w:space="4" w:color="auto"/>
        </w:pBdr>
        <w:ind w:left="850"/>
        <w:rPr>
          <w:noProof/>
        </w:rPr>
      </w:pPr>
      <w:r>
        <w:rPr>
          <w:noProof/>
        </w:rPr>
        <w:t>Tasso di utilizzo delle possibilità di pesca (percentuale annua delle autorizzazioni di pesca utilizzate rispetto alla disponibilità offerta dal protocollo).</w:t>
      </w:r>
    </w:p>
    <w:p>
      <w:pPr>
        <w:pBdr>
          <w:top w:val="single" w:sz="4" w:space="1" w:color="auto"/>
          <w:left w:val="single" w:sz="4" w:space="4" w:color="auto"/>
          <w:bottom w:val="single" w:sz="4" w:space="1" w:color="auto"/>
          <w:right w:val="single" w:sz="4" w:space="4" w:color="auto"/>
        </w:pBdr>
        <w:ind w:left="850"/>
        <w:rPr>
          <w:noProof/>
        </w:rPr>
      </w:pPr>
      <w:r>
        <w:rPr>
          <w:noProof/>
        </w:rPr>
        <w:t>Dati relativi alle catture (raccolta e analisi) e al valore commerciale dell'accordo.</w:t>
      </w:r>
    </w:p>
    <w:p>
      <w:pPr>
        <w:pBdr>
          <w:top w:val="single" w:sz="4" w:space="1" w:color="auto"/>
          <w:left w:val="single" w:sz="4" w:space="4" w:color="auto"/>
          <w:bottom w:val="single" w:sz="4" w:space="1" w:color="auto"/>
          <w:right w:val="single" w:sz="4" w:space="4" w:color="auto"/>
        </w:pBdr>
        <w:ind w:left="850"/>
        <w:rPr>
          <w:noProof/>
        </w:rPr>
      </w:pPr>
      <w:r>
        <w:rPr>
          <w:noProof/>
        </w:rPr>
        <w:t>Contributo all'occupazione e al valore aggiunto nell'Unione nonché alla stabilizzazione del mercato dell'Unione (a livello aggregato con altri APPS).</w:t>
      </w:r>
    </w:p>
    <w:p>
      <w:pPr>
        <w:pBdr>
          <w:top w:val="single" w:sz="4" w:space="1" w:color="auto"/>
          <w:left w:val="single" w:sz="4" w:space="4" w:color="auto"/>
          <w:bottom w:val="single" w:sz="4" w:space="1" w:color="auto"/>
          <w:right w:val="single" w:sz="4" w:space="4" w:color="auto"/>
        </w:pBdr>
        <w:ind w:left="850"/>
        <w:rPr>
          <w:noProof/>
        </w:rPr>
      </w:pPr>
      <w:r>
        <w:rPr>
          <w:noProof/>
        </w:rPr>
        <w:t>Contributo al miglioramento della ricerca, del monitoraggio e del controllo delle attività di pesca da parte del paese partner e allo sviluppo del settore della pesca, in particolare della pesca artigianale.</w:t>
      </w:r>
    </w:p>
    <w:p>
      <w:pPr>
        <w:keepNext/>
        <w:outlineLvl w:val="1"/>
        <w:rPr>
          <w:b/>
          <w:noProof/>
        </w:rPr>
      </w:pPr>
      <w:r>
        <w:rPr>
          <w:b/>
          <w:noProof/>
        </w:rPr>
        <w:t>1.5.</w:t>
      </w:r>
      <w:r>
        <w:rPr>
          <w:b/>
          <w:noProof/>
        </w:rPr>
        <w:tab/>
        <w:t>Motivazione della proposta/iniziativa</w:t>
      </w:r>
    </w:p>
    <w:p>
      <w:pPr>
        <w:keepNext/>
        <w:tabs>
          <w:tab w:val="left" w:pos="850"/>
        </w:tabs>
        <w:outlineLvl w:val="2"/>
        <w:rPr>
          <w:i/>
          <w:noProof/>
        </w:rPr>
      </w:pPr>
      <w:r>
        <w:rPr>
          <w:i/>
          <w:noProof/>
        </w:rPr>
        <w:t>1.5.1.</w:t>
      </w:r>
      <w:r>
        <w:rPr>
          <w:i/>
          <w:noProof/>
        </w:rPr>
        <w:tab/>
        <w:t>Necessità nel breve e lungo termine, compreso un calendario dettagliato per fasi di attuazione dell'iniziativa</w:t>
      </w:r>
    </w:p>
    <w:p>
      <w:pPr>
        <w:pBdr>
          <w:top w:val="single" w:sz="4" w:space="1" w:color="auto"/>
          <w:left w:val="single" w:sz="4" w:space="4" w:color="auto"/>
          <w:bottom w:val="single" w:sz="4" w:space="1" w:color="auto"/>
          <w:right w:val="single" w:sz="4" w:space="4" w:color="auto"/>
        </w:pBdr>
        <w:ind w:left="850"/>
        <w:rPr>
          <w:noProof/>
        </w:rPr>
      </w:pPr>
      <w:r>
        <w:rPr>
          <w:noProof/>
        </w:rPr>
        <w:t>È previsto che lo scambio di lettere che proroga il protocollo si applichi in via provvisoria a decorrere dalla data della firma, a decorrere dal 16 novembre 2019 o da altra data successiva alla firma, al fine di evitare l'interruzione delle operazioni di pesca condotte nell'ambito del protocollo vigente.</w:t>
      </w:r>
    </w:p>
    <w:p>
      <w:pPr>
        <w:keepNext/>
        <w:tabs>
          <w:tab w:val="left" w:pos="850"/>
        </w:tabs>
        <w:outlineLvl w:val="2"/>
        <w:rPr>
          <w:bCs/>
          <w:i/>
          <w:noProof/>
          <w:szCs w:val="24"/>
        </w:rPr>
      </w:pPr>
      <w:r>
        <w:rPr>
          <w:i/>
          <w:noProof/>
        </w:rPr>
        <w:t>1.5.2.</w:t>
      </w:r>
      <w:r>
        <w:rPr>
          <w:i/>
          <w:noProof/>
        </w:rPr>
        <w:tab/>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Bdr>
          <w:top w:val="single" w:sz="4" w:space="1" w:color="auto"/>
          <w:left w:val="single" w:sz="4" w:space="4" w:color="auto"/>
          <w:bottom w:val="single" w:sz="4" w:space="1" w:color="auto"/>
          <w:right w:val="single" w:sz="4" w:space="4" w:color="auto"/>
        </w:pBdr>
        <w:ind w:left="850"/>
        <w:rPr>
          <w:noProof/>
        </w:rPr>
      </w:pPr>
      <w:r>
        <w:rPr>
          <w:noProof/>
        </w:rPr>
        <w:t>Se l'Unione non concludesse un nuovo protocollo, le sue navi non potrebbero operare, in quanto una clausola dell'accordo esclude l'esercizio di attività di pesca al di fuori di un quadro definito da un protocollo dell'accordo. Esiste pertanto un chiaro valore aggiunto per la flotta europea d'altura. Il protocollo definisce inoltre un quadro per una cooperazione rafforzata tra l'Unione e la Repubblica islamica di Mauritania.</w:t>
      </w:r>
    </w:p>
    <w:p>
      <w:pPr>
        <w:keepNext/>
        <w:tabs>
          <w:tab w:val="left" w:pos="850"/>
        </w:tabs>
        <w:outlineLvl w:val="2"/>
        <w:rPr>
          <w:i/>
          <w:noProof/>
        </w:rPr>
      </w:pPr>
      <w:r>
        <w:rPr>
          <w:i/>
          <w:noProof/>
        </w:rPr>
        <w:t>1.5.3.</w:t>
      </w:r>
      <w:r>
        <w:rPr>
          <w:i/>
          <w:noProof/>
        </w:rPr>
        <w:tab/>
        <w:t>Insegnamenti tratti da esperienze analoghe</w:t>
      </w:r>
    </w:p>
    <w:p>
      <w:pPr>
        <w:pBdr>
          <w:top w:val="single" w:sz="4" w:space="1" w:color="auto"/>
          <w:left w:val="single" w:sz="4" w:space="4" w:color="auto"/>
          <w:bottom w:val="single" w:sz="4" w:space="1" w:color="auto"/>
          <w:right w:val="single" w:sz="4" w:space="4" w:color="auto"/>
        </w:pBdr>
        <w:ind w:left="850"/>
        <w:rPr>
          <w:noProof/>
        </w:rPr>
      </w:pPr>
      <w:r>
        <w:rPr>
          <w:noProof/>
        </w:rPr>
        <w:t xml:space="preserve">Sulla base dell'analisi delle catture storiche praticate nella zona di pesca della Repubblica islamica di Mauritania e delle catture recenti effettuate nel quadro di protocolli simili nella regione nonché delle valutazioni e dei pareri scientifici disponibili, le Parti hanno fissato possibilità di pesca espresse in termini di limiti di cattura (TAC) o in un quantitativo di riferimento per le categorie citate nella relazione </w:t>
      </w:r>
      <w:r>
        <w:rPr>
          <w:i/>
          <w:noProof/>
        </w:rPr>
        <w:t>supra</w:t>
      </w:r>
      <w:r>
        <w:rPr>
          <w:noProof/>
        </w:rPr>
        <w:t>. Il sostegno settoriale tiene conto delle esigenze in termini di rafforzamento delle capacità dell'amministrazione responsabile della pesca della Repubblica islamica di Mauritania e delle priorità della strategia nazionale in materia di pesca, che comprende in particolare la ricerca scientifica e le attività di controllo e monitoraggio delle attività di pesca.</w:t>
      </w:r>
    </w:p>
    <w:p>
      <w:pPr>
        <w:keepNext/>
        <w:tabs>
          <w:tab w:val="left" w:pos="850"/>
        </w:tabs>
        <w:outlineLvl w:val="2"/>
        <w:rPr>
          <w:i/>
          <w:noProof/>
        </w:rPr>
      </w:pPr>
      <w:r>
        <w:rPr>
          <w:i/>
          <w:noProof/>
        </w:rPr>
        <w:t>1.5.4.</w:t>
      </w:r>
      <w:r>
        <w:rPr>
          <w:i/>
          <w:noProof/>
        </w:rPr>
        <w:tab/>
        <w:t>Compatibilità con il quadro finanziario pluriennale ed eventuali sinergie con altri strumenti pertinenti</w:t>
      </w:r>
    </w:p>
    <w:p>
      <w:pPr>
        <w:pBdr>
          <w:top w:val="single" w:sz="4" w:space="1" w:color="auto"/>
          <w:left w:val="single" w:sz="4" w:space="4" w:color="auto"/>
          <w:bottom w:val="single" w:sz="4" w:space="1" w:color="auto"/>
          <w:right w:val="single" w:sz="4" w:space="4" w:color="auto"/>
        </w:pBdr>
        <w:ind w:left="850"/>
        <w:rPr>
          <w:noProof/>
        </w:rPr>
      </w:pPr>
      <w:r>
        <w:rPr>
          <w:noProof/>
        </w:rPr>
        <w:t>I fondi assegnati a titolo di contropartita finanziaria per l'accesso nell'ambito dell'APP costituiscono entrate fruibili nel bilancio nazionale della Repubblica islamica di Mauritania. Tuttavia, i fondi destinati al sostegno settoriale sono assegnati (generalmente mediante iscrizione nella legge finanziaria annuale) al ministero della Pesca, il che costituisce una condizione per la conclusione e la sorveglianza degli APPS. Tali risorse finanziarie sono compatibili con altre fonti di finanziamento provenienti da altri finanziatori internazionali per l'attuazione di progetti e/o programmi realizzati a livello nazionale nel settore della pesca.</w:t>
      </w:r>
    </w:p>
    <w:p>
      <w:pPr>
        <w:keepNext/>
        <w:tabs>
          <w:tab w:val="left" w:pos="850"/>
        </w:tabs>
        <w:outlineLvl w:val="2"/>
        <w:rPr>
          <w:i/>
          <w:noProof/>
        </w:rPr>
      </w:pPr>
      <w:r>
        <w:rPr>
          <w:i/>
          <w:noProof/>
        </w:rPr>
        <w:t>1.5.5.</w:t>
      </w:r>
      <w:r>
        <w:rPr>
          <w:i/>
          <w:noProof/>
        </w:rPr>
        <w:tab/>
        <w:t>Valutazione delle varie opzioni di finanziamento disponibili, comprese le possibilità di riassegnazione</w:t>
      </w:r>
    </w:p>
    <w:p>
      <w:pPr>
        <w:pBdr>
          <w:top w:val="single" w:sz="4" w:space="1" w:color="auto"/>
          <w:left w:val="single" w:sz="4" w:space="4" w:color="auto"/>
          <w:bottom w:val="single" w:sz="4" w:space="1" w:color="auto"/>
          <w:right w:val="single" w:sz="4" w:space="4" w:color="auto"/>
        </w:pBdr>
        <w:ind w:left="850"/>
        <w:rPr>
          <w:noProof/>
        </w:rPr>
      </w:pPr>
      <w:r>
        <w:rPr>
          <w:noProof/>
        </w:rPr>
        <w:t>n.p.</w:t>
      </w:r>
    </w:p>
    <w:p>
      <w:pPr>
        <w:ind w:left="850"/>
        <w:rPr>
          <w:noProof/>
        </w:rPr>
      </w:pPr>
    </w:p>
    <w:p>
      <w:pPr>
        <w:keepNext/>
        <w:outlineLvl w:val="1"/>
        <w:rPr>
          <w:b/>
          <w:bCs/>
          <w:noProof/>
          <w:szCs w:val="24"/>
        </w:rPr>
      </w:pPr>
      <w:r>
        <w:rPr>
          <w:b/>
          <w:noProof/>
        </w:rPr>
        <w:t>Durata e incidenza finanziaria della proposta/iniziativa</w:t>
      </w:r>
    </w:p>
    <w:p>
      <w:pPr>
        <w:ind w:left="850"/>
        <w:rPr>
          <w:b/>
          <w:noProof/>
        </w:rPr>
      </w:pPr>
      <w:r>
        <w:rPr>
          <w:b/>
          <w:noProof/>
        </w:rPr>
        <w:t>X durata limitata</w:t>
      </w:r>
    </w:p>
    <w:p>
      <w:pPr>
        <w:tabs>
          <w:tab w:val="num" w:pos="1134"/>
        </w:tabs>
        <w:ind w:left="1134" w:hanging="283"/>
        <w:rPr>
          <w:noProof/>
        </w:rPr>
      </w:pPr>
      <w:r>
        <w:rPr>
          <w:noProof/>
        </w:rPr>
        <w:sym w:font="Wingdings" w:char="F0A8"/>
      </w:r>
      <w:r>
        <w:rPr>
          <w:noProof/>
        </w:rPr>
        <w:tab/>
        <w:t>In vigore dal 2019 al 2024</w:t>
      </w:r>
    </w:p>
    <w:p>
      <w:pPr>
        <w:tabs>
          <w:tab w:val="num" w:pos="1134"/>
        </w:tabs>
        <w:ind w:left="1134" w:hanging="283"/>
        <w:rPr>
          <w:noProof/>
        </w:rPr>
      </w:pPr>
      <w:r>
        <w:rPr>
          <w:noProof/>
        </w:rPr>
        <w:t>X</w:t>
      </w:r>
      <w:r>
        <w:rPr>
          <w:noProof/>
        </w:rPr>
        <w:tab/>
        <w:t>Incidenza finanziaria nel 2020 per gli stanziamenti di impegno e dal 2019 al 2021 per gli stanziamenti di pagamento</w:t>
      </w:r>
    </w:p>
    <w:p>
      <w:pPr>
        <w:ind w:left="850"/>
        <w:rPr>
          <w:noProof/>
        </w:rPr>
      </w:pPr>
      <w:r>
        <w:rPr>
          <w:noProof/>
        </w:rPr>
        <w:sym w:font="Wingdings" w:char="F0A8"/>
      </w:r>
      <w:r>
        <w:rPr>
          <w:noProof/>
        </w:rPr>
        <w:tab/>
      </w:r>
      <w:r>
        <w:rPr>
          <w:b/>
          <w:noProof/>
        </w:rPr>
        <w:t>durata illimitata</w:t>
      </w:r>
    </w:p>
    <w:p>
      <w:pPr>
        <w:tabs>
          <w:tab w:val="num" w:pos="1134"/>
        </w:tabs>
        <w:ind w:left="1134" w:hanging="283"/>
        <w:rPr>
          <w:rFonts w:eastAsia="Times New Roman"/>
          <w:noProof/>
        </w:rPr>
      </w:pPr>
      <w:r>
        <w:rPr>
          <w:noProof/>
        </w:rPr>
        <w:t>Attuazione con un periodo di avviamento dal AAAA al AAAA</w:t>
      </w:r>
    </w:p>
    <w:p>
      <w:pPr>
        <w:tabs>
          <w:tab w:val="num" w:pos="1134"/>
        </w:tabs>
        <w:ind w:left="1134" w:hanging="283"/>
        <w:rPr>
          <w:rFonts w:eastAsia="Times New Roman"/>
          <w:noProof/>
        </w:rPr>
      </w:pPr>
      <w:r>
        <w:rPr>
          <w:noProof/>
        </w:rPr>
        <w:t>e successivo funzionamento a pieno ritmo</w:t>
      </w:r>
    </w:p>
    <w:p>
      <w:pPr>
        <w:keepNext/>
        <w:outlineLvl w:val="1"/>
        <w:rPr>
          <w:b/>
          <w:noProof/>
          <w:vertAlign w:val="superscript"/>
        </w:rPr>
      </w:pPr>
      <w:r>
        <w:rPr>
          <w:b/>
          <w:noProof/>
        </w:rPr>
        <w:t>Modalità di gestione previste</w:t>
      </w:r>
      <w:r>
        <w:rPr>
          <w:rStyle w:val="FootnoteReference"/>
          <w:noProof/>
        </w:rPr>
        <w:footnoteReference w:id="8"/>
      </w:r>
    </w:p>
    <w:p>
      <w:pPr>
        <w:ind w:left="850"/>
        <w:rPr>
          <w:noProof/>
        </w:rPr>
      </w:pPr>
      <w:r>
        <w:rPr>
          <w:b/>
          <w:noProof/>
        </w:rPr>
        <w:t>X Gestione diretta</w:t>
      </w:r>
      <w:r>
        <w:rPr>
          <w:noProof/>
        </w:rPr>
        <w:t xml:space="preserve"> a opera della Commissione</w:t>
      </w:r>
    </w:p>
    <w:p>
      <w:pPr>
        <w:tabs>
          <w:tab w:val="num" w:pos="1134"/>
        </w:tabs>
        <w:ind w:left="1134" w:hanging="283"/>
        <w:rPr>
          <w:noProof/>
        </w:rPr>
      </w:pPr>
      <w:r>
        <w:rPr>
          <w:b/>
          <w:noProof/>
        </w:rPr>
        <w:t>X</w:t>
      </w:r>
      <w:r>
        <w:rPr>
          <w:noProof/>
        </w:rPr>
        <w:t xml:space="preserve"> a opera dei suoi servizi, compreso il suo personale presso le delegazioni dell'Unione</w:t>
      </w:r>
    </w:p>
    <w:p>
      <w:pPr>
        <w:tabs>
          <w:tab w:val="num" w:pos="1134"/>
        </w:tabs>
        <w:ind w:left="1134" w:hanging="283"/>
        <w:rPr>
          <w:noProof/>
        </w:rPr>
      </w:pPr>
      <w:r>
        <w:rPr>
          <w:noProof/>
        </w:rPr>
        <w:sym w:font="Wingdings" w:char="F0A8"/>
      </w:r>
      <w:r>
        <w:rPr>
          <w:noProof/>
        </w:rPr>
        <w:tab/>
        <w:t>a opera delle agenzie esecutive</w:t>
      </w:r>
    </w:p>
    <w:p>
      <w:pPr>
        <w:ind w:left="850"/>
        <w:rPr>
          <w:noProof/>
        </w:rPr>
      </w:pPr>
      <w:r>
        <w:rPr>
          <w:noProof/>
        </w:rPr>
        <w:sym w:font="Wingdings" w:char="F0A8"/>
      </w:r>
      <w:r>
        <w:rPr>
          <w:b/>
          <w:i/>
          <w:noProof/>
        </w:rPr>
        <w:t xml:space="preserve"> </w:t>
      </w:r>
      <w:r>
        <w:rPr>
          <w:b/>
          <w:noProof/>
        </w:rPr>
        <w:t>Gestione concorrente</w:t>
      </w:r>
      <w:r>
        <w:rPr>
          <w:noProof/>
        </w:rPr>
        <w:t xml:space="preserve"> con gli Stati membri</w:t>
      </w:r>
    </w:p>
    <w:p>
      <w:pPr>
        <w:ind w:left="850"/>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tabs>
          <w:tab w:val="num" w:pos="1134"/>
        </w:tabs>
        <w:ind w:left="1134" w:hanging="283"/>
        <w:rPr>
          <w:rFonts w:eastAsia="Times New Roman"/>
          <w:noProof/>
        </w:rPr>
      </w:pPr>
      <w:r>
        <w:rPr>
          <w:noProof/>
        </w:rPr>
        <w:sym w:font="Wingdings" w:char="F0A8"/>
      </w:r>
      <w:r>
        <w:rPr>
          <w:noProof/>
        </w:rPr>
        <w:t xml:space="preserve"> a paesi terzi o organismi da questi designati</w:t>
      </w:r>
    </w:p>
    <w:p>
      <w:pPr>
        <w:tabs>
          <w:tab w:val="num" w:pos="1134"/>
        </w:tabs>
        <w:ind w:left="1134" w:hanging="283"/>
        <w:rPr>
          <w:rFonts w:eastAsia="Times New Roman"/>
          <w:noProof/>
        </w:rPr>
      </w:pPr>
      <w:r>
        <w:rPr>
          <w:noProof/>
        </w:rPr>
        <w:sym w:font="Wingdings" w:char="F0A8"/>
      </w:r>
      <w:r>
        <w:rPr>
          <w:noProof/>
        </w:rPr>
        <w:t xml:space="preserve"> a organizzazioni internazionali e loro agenzie (specificare)</w:t>
      </w:r>
    </w:p>
    <w:p>
      <w:pPr>
        <w:tabs>
          <w:tab w:val="num" w:pos="1134"/>
        </w:tabs>
        <w:ind w:left="1134" w:hanging="283"/>
        <w:rPr>
          <w:rFonts w:eastAsia="Times New Roman"/>
          <w:noProof/>
        </w:rPr>
      </w:pPr>
      <w:r>
        <w:rPr>
          <w:noProof/>
        </w:rPr>
        <w:sym w:font="Wingdings" w:char="F0A8"/>
      </w:r>
      <w:r>
        <w:rPr>
          <w:noProof/>
        </w:rPr>
        <w:t xml:space="preserve"> alla BEI e al Fondo europeo per gli investimenti</w:t>
      </w:r>
    </w:p>
    <w:p>
      <w:pPr>
        <w:tabs>
          <w:tab w:val="num" w:pos="1134"/>
        </w:tabs>
        <w:ind w:left="1134" w:hanging="283"/>
        <w:rPr>
          <w:rFonts w:eastAsia="Times New Roman"/>
          <w:noProof/>
        </w:rPr>
      </w:pPr>
      <w:r>
        <w:rPr>
          <w:noProof/>
        </w:rPr>
        <w:sym w:font="Wingdings" w:char="F0A8"/>
      </w:r>
      <w:r>
        <w:rPr>
          <w:noProof/>
        </w:rPr>
        <w:t xml:space="preserve"> agli organismi di cui agli articoli 70 e 71 del regolamento finanziario</w:t>
      </w:r>
    </w:p>
    <w:p>
      <w:pPr>
        <w:tabs>
          <w:tab w:val="num" w:pos="1134"/>
        </w:tabs>
        <w:ind w:left="1134" w:hanging="283"/>
        <w:rPr>
          <w:rFonts w:eastAsia="Times New Roman"/>
          <w:noProof/>
        </w:rPr>
      </w:pPr>
      <w:r>
        <w:rPr>
          <w:noProof/>
        </w:rPr>
        <w:sym w:font="Wingdings" w:char="F0A8"/>
      </w:r>
      <w:r>
        <w:rPr>
          <w:noProof/>
        </w:rPr>
        <w:t xml:space="preserve"> a organismi di diritto pubblico</w:t>
      </w:r>
    </w:p>
    <w:p>
      <w:pPr>
        <w:tabs>
          <w:tab w:val="num" w:pos="1134"/>
        </w:tabs>
        <w:ind w:left="1134" w:hanging="283"/>
        <w:rPr>
          <w:rFonts w:eastAsia="Times New Roman"/>
          <w:noProof/>
        </w:rPr>
      </w:pPr>
      <w:r>
        <w:rPr>
          <w:noProof/>
        </w:rPr>
        <w:sym w:font="Wingdings" w:char="F0A8"/>
      </w:r>
      <w:r>
        <w:rPr>
          <w:noProof/>
        </w:rPr>
        <w:t xml:space="preserve"> a organismi di diritto privato investiti di attribuzioni di servizio pubblico nella misura in cui sono dotati di sufficienti garanzie finanziarie</w:t>
      </w:r>
    </w:p>
    <w:p>
      <w:pPr>
        <w:tabs>
          <w:tab w:val="num" w:pos="1134"/>
        </w:tabs>
        <w:ind w:left="1134" w:hanging="283"/>
        <w:rPr>
          <w:rFonts w:eastAsia="Times New Roman"/>
          <w:noProof/>
        </w:rPr>
      </w:pPr>
      <w:r>
        <w:rPr>
          <w:noProof/>
        </w:rPr>
        <w:sym w:font="Wingdings" w:char="F0A8"/>
      </w:r>
      <w:r>
        <w:rPr>
          <w:noProof/>
        </w:rPr>
        <w:t xml:space="preserve"> a organismi di diritto privato di uno Stato membro preposti all'attuazione di un partenariato pubblico-privato e che sono dotati di sufficienti garanzie finanziarie</w:t>
      </w:r>
    </w:p>
    <w:p>
      <w:pPr>
        <w:tabs>
          <w:tab w:val="num" w:pos="1134"/>
        </w:tabs>
        <w:ind w:left="1134" w:hanging="283"/>
        <w:rPr>
          <w:rFonts w:eastAsia="Times New Roman"/>
          <w:noProof/>
        </w:rPr>
      </w:pPr>
      <w:r>
        <w:rPr>
          <w:noProof/>
        </w:rPr>
        <w:sym w:font="Wingdings" w:char="F0A8"/>
      </w:r>
      <w:r>
        <w:rPr>
          <w:noProof/>
        </w:rPr>
        <w:t xml:space="preserve"> alle persone incaricate di attuare azioni specifiche della PESC a norma del titolo V del TUE e indicate nel pertinente atto di base</w:t>
      </w:r>
    </w:p>
    <w:p>
      <w:pPr>
        <w:tabs>
          <w:tab w:val="num" w:pos="1134"/>
        </w:tabs>
        <w:ind w:left="1134" w:hanging="283"/>
        <w:rPr>
          <w:rFonts w:eastAsia="Times New Roman"/>
          <w:i/>
          <w:noProof/>
          <w:sz w:val="18"/>
          <w:u w:val="single"/>
        </w:rPr>
      </w:pPr>
      <w:r>
        <w:rPr>
          <w:i/>
          <w:noProof/>
          <w:sz w:val="18"/>
        </w:rPr>
        <w:t>Se è indicata più di una modalità, fornire ulteriori informazioni alla voce "Osservazioni"</w:t>
      </w:r>
    </w:p>
    <w:p>
      <w:pPr>
        <w:rPr>
          <w:noProof/>
        </w:rPr>
      </w:pPr>
      <w:r>
        <w:rPr>
          <w:noProof/>
        </w:rPr>
        <w:t>Osservazioni</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smallCaps/>
          <w:noProof/>
        </w:rPr>
      </w:pPr>
      <w:r>
        <w:rPr>
          <w:b/>
          <w:smallCaps/>
          <w:noProof/>
        </w:rPr>
        <w:t>2.</w:t>
      </w:r>
      <w:r>
        <w:rPr>
          <w:b/>
          <w:smallCaps/>
          <w:noProof/>
        </w:rPr>
        <w:tab/>
        <w:t>MISURE DI GESTIONE</w:t>
      </w:r>
    </w:p>
    <w:p>
      <w:pPr>
        <w:keepNext/>
        <w:outlineLvl w:val="1"/>
        <w:rPr>
          <w:b/>
          <w:noProof/>
        </w:rPr>
      </w:pPr>
      <w:r>
        <w:rPr>
          <w:b/>
          <w:noProof/>
        </w:rPr>
        <w:t>2.1.</w:t>
      </w:r>
      <w:r>
        <w:rPr>
          <w:b/>
          <w:noProof/>
        </w:rPr>
        <w:tab/>
        <w:t>Disposizioni in materia di monitoraggio e di relazioni</w:t>
      </w:r>
    </w:p>
    <w:p>
      <w:pPr>
        <w:ind w:left="850"/>
        <w:rPr>
          <w:i/>
          <w:noProof/>
          <w:sz w:val="20"/>
        </w:rPr>
      </w:pPr>
      <w:r>
        <w:rPr>
          <w:i/>
          <w:noProof/>
          <w:sz w:val="20"/>
        </w:rPr>
        <w:t>Precisare frequenza e condizioni</w:t>
      </w:r>
    </w:p>
    <w:p>
      <w:pPr>
        <w:pBdr>
          <w:top w:val="single" w:sz="4" w:space="1" w:color="auto"/>
          <w:left w:val="single" w:sz="4" w:space="4" w:color="auto"/>
          <w:bottom w:val="single" w:sz="4" w:space="1" w:color="auto"/>
          <w:right w:val="single" w:sz="4" w:space="4" w:color="auto"/>
        </w:pBdr>
        <w:ind w:left="850"/>
        <w:rPr>
          <w:noProof/>
        </w:rPr>
      </w:pPr>
      <w:r>
        <w:rPr>
          <w:noProof/>
        </w:rPr>
        <w:t>La Commissione (DG MARE, in collaborazione con il proprio responsabile della pesca nel paese a Nouakchott) garantirà una sorveglianza regolare dell'attuazione del protocollo per quanto riguarda l'uso, da parte degli operatori, delle possibilità di pesca, i dati relativi alle catture e il rispetto della condizionalità del sostegno settoriale.</w:t>
      </w:r>
    </w:p>
    <w:p>
      <w:pPr>
        <w:pBdr>
          <w:top w:val="single" w:sz="4" w:space="1" w:color="auto"/>
          <w:left w:val="single" w:sz="4" w:space="4" w:color="auto"/>
          <w:bottom w:val="single" w:sz="4" w:space="1" w:color="auto"/>
          <w:right w:val="single" w:sz="4" w:space="4" w:color="auto"/>
        </w:pBdr>
        <w:ind w:left="850"/>
        <w:rPr>
          <w:noProof/>
        </w:rPr>
      </w:pPr>
      <w:r>
        <w:rPr>
          <w:noProof/>
        </w:rPr>
        <w:t>L'APP prevede inoltre almeno una riunione annuale della commissione mista nel corso della quale la Commissione e la Repubblica islamica di Mauritania facciano il punto sull'attuazione dell'accordo e del relativo protocollo e apportino, se necessario, adeguamenti alla programmazione ed eventualmente alla contropartita finanziaria.</w:t>
      </w:r>
    </w:p>
    <w:p>
      <w:pPr>
        <w:keepNext/>
        <w:outlineLvl w:val="1"/>
        <w:rPr>
          <w:b/>
          <w:noProof/>
        </w:rPr>
      </w:pPr>
      <w:r>
        <w:rPr>
          <w:b/>
          <w:noProof/>
        </w:rPr>
        <w:t>2.2.</w:t>
      </w:r>
      <w:r>
        <w:rPr>
          <w:b/>
          <w:noProof/>
        </w:rPr>
        <w:tab/>
        <w:t>Sistema di gestione e di controllo</w:t>
      </w:r>
    </w:p>
    <w:p>
      <w:pPr>
        <w:keepNext/>
        <w:tabs>
          <w:tab w:val="left" w:pos="850"/>
        </w:tabs>
        <w:outlineLvl w:val="2"/>
        <w:rPr>
          <w:i/>
          <w:noProof/>
        </w:rPr>
      </w:pPr>
      <w:r>
        <w:rPr>
          <w:i/>
          <w:noProof/>
        </w:rPr>
        <w:t>2.2.1.</w:t>
      </w:r>
      <w:r>
        <w:rPr>
          <w:i/>
          <w:noProof/>
        </w:rPr>
        <w:tab/>
        <w:t>Giustificazione della o delle modalità di gestione, del meccanismo o dei meccanismi di attuazione del finanziamento, delle modalità di pagamento e della strategia di controllo proposti</w:t>
      </w:r>
    </w:p>
    <w:p>
      <w:pPr>
        <w:pBdr>
          <w:top w:val="single" w:sz="4" w:space="1" w:color="auto"/>
          <w:left w:val="single" w:sz="4" w:space="4" w:color="auto"/>
          <w:bottom w:val="single" w:sz="4" w:space="1" w:color="auto"/>
          <w:right w:val="single" w:sz="4" w:space="4" w:color="auto"/>
        </w:pBdr>
        <w:ind w:left="850"/>
        <w:rPr>
          <w:noProof/>
        </w:rPr>
      </w:pPr>
      <w:r>
        <w:rPr>
          <w:noProof/>
        </w:rPr>
        <w:t>Il rischio individuato è che gli armatori dell'UE non facciano pieno utilizzo delle possibilità di pesca e che i fondi destinati al finanziamento della politica settoriale della pesca della Repubblica islamica di Mauritania siano sottoutilizzati o utilizzati in ritardo.</w:t>
      </w:r>
    </w:p>
    <w:p>
      <w:pPr>
        <w:keepNext/>
        <w:tabs>
          <w:tab w:val="left" w:pos="850"/>
        </w:tabs>
        <w:outlineLvl w:val="2"/>
        <w:rPr>
          <w:bCs/>
          <w:i/>
          <w:noProof/>
          <w:szCs w:val="24"/>
        </w:rPr>
      </w:pPr>
      <w:r>
        <w:rPr>
          <w:i/>
          <w:noProof/>
        </w:rPr>
        <w:t>2.2.2.</w:t>
      </w:r>
      <w:r>
        <w:rPr>
          <w:i/>
          <w:noProof/>
        </w:rPr>
        <w:tab/>
        <w:t>Informazioni concernenti i rischi individuati e il sistema o i sistemi di controllo interno per ridurli</w:t>
      </w:r>
    </w:p>
    <w:p>
      <w:pPr>
        <w:pBdr>
          <w:top w:val="single" w:sz="4" w:space="1" w:color="auto"/>
          <w:left w:val="single" w:sz="4" w:space="4" w:color="auto"/>
          <w:bottom w:val="single" w:sz="4" w:space="1" w:color="auto"/>
          <w:right w:val="single" w:sz="4" w:space="4" w:color="auto"/>
        </w:pBdr>
        <w:ind w:left="850"/>
        <w:rPr>
          <w:noProof/>
        </w:rPr>
      </w:pPr>
      <w:r>
        <w:rPr>
          <w:noProof/>
        </w:rPr>
        <w:t>Si intende promuovere un dialogo approfondito sulla programmazione e sull'attuazione della politica settoriale prevista dall'accordo e dal protocollo. Anche l'analisi congiunta dei risultati rientra tra le modalità di controllo.</w:t>
      </w:r>
    </w:p>
    <w:p>
      <w:pPr>
        <w:pBdr>
          <w:top w:val="single" w:sz="4" w:space="1" w:color="auto"/>
          <w:left w:val="single" w:sz="4" w:space="4" w:color="auto"/>
          <w:bottom w:val="single" w:sz="4" w:space="1" w:color="auto"/>
          <w:right w:val="single" w:sz="4" w:space="4" w:color="auto"/>
        </w:pBdr>
        <w:ind w:left="850"/>
        <w:rPr>
          <w:noProof/>
        </w:rPr>
      </w:pPr>
      <w:r>
        <w:rPr>
          <w:noProof/>
        </w:rPr>
        <w:t>L'accordo e il protocollo contengono inoltre clausole specifiche per la loro sospensione, a particolari condizioni e in circostanze determinate.</w:t>
      </w:r>
    </w:p>
    <w:p>
      <w:pPr>
        <w:keepNext/>
        <w:tabs>
          <w:tab w:val="left" w:pos="850"/>
        </w:tabs>
        <w:outlineLvl w:val="2"/>
        <w:rPr>
          <w:i/>
          <w:noProof/>
        </w:rPr>
      </w:pPr>
      <w:r>
        <w:rPr>
          <w:noProof/>
        </w:rPr>
        <w:br w:type="page"/>
      </w:r>
      <w:r>
        <w:rPr>
          <w:i/>
          <w:noProof/>
        </w:rPr>
        <w:t>2.2.3.</w:t>
      </w:r>
      <w:r>
        <w:rPr>
          <w:i/>
          <w:noProof/>
        </w:rPr>
        <w:tab/>
        <w:t>Stima e giustificazione del rapporto costo/efficacia dei controlli (rapporto "costi del controllo ÷ valore dei fondi gestiti") e valutazione dei livelli di rischio di errore previsti (al pagamento e alla chiusura)</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noProof/>
        </w:rPr>
      </w:pPr>
      <w:r>
        <w:rPr>
          <w:b/>
          <w:noProof/>
        </w:rPr>
        <w:t>2.3.</w:t>
      </w:r>
      <w:r>
        <w:rPr>
          <w:b/>
          <w:noProof/>
        </w:rPr>
        <w:tab/>
        <w:t>Misure di prevenzione delle frodi e delle irregolarità</w:t>
      </w:r>
    </w:p>
    <w:p>
      <w:pPr>
        <w:ind w:left="850"/>
        <w:rPr>
          <w:i/>
          <w:noProof/>
          <w:sz w:val="20"/>
        </w:rPr>
      </w:pPr>
      <w:r>
        <w:rPr>
          <w:i/>
          <w:noProof/>
          <w:sz w:val="20"/>
        </w:rPr>
        <w:t>Precisare le misure di prevenzione e tutela in vigore o previste, ad esempio strategia antifrode</w:t>
      </w:r>
    </w:p>
    <w:p>
      <w:pPr>
        <w:pBdr>
          <w:top w:val="single" w:sz="4" w:space="1" w:color="auto"/>
          <w:left w:val="single" w:sz="4" w:space="4" w:color="auto"/>
          <w:bottom w:val="single" w:sz="4" w:space="1" w:color="auto"/>
          <w:right w:val="single" w:sz="4" w:space="4" w:color="auto"/>
        </w:pBdr>
        <w:ind w:left="850"/>
        <w:rPr>
          <w:noProof/>
        </w:rPr>
      </w:pPr>
      <w:r>
        <w:rPr>
          <w:noProof/>
        </w:rPr>
        <w:t>La Commissione si impegna a promuovere un dialogo politico e una concertazione regolare con la Repubblica islamica di Mauritania al fine di migliorare la gestione dell'accordo e del protocollo e rafforzare il contributo dell'Unione alla gestione sostenibile delle risorse. Tutti i pagamenti effettuati dalla Commissione nell'ambito di un APP sono soggetti alle norme e alle procedure finanziarie e di bilancio generalmente applicate dalla Commissione. In particolare, i conti bancari dei paesi terzi sui quali sono versati gli importi della contropartita finanziaria sono identificati in modo esaustivo. Il protocollo stabilisce che la contropartita finanziaria è versata su un conto del Tesoro pubblico aperto presso la banca centrale di Mauritania.</w:t>
      </w: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smallCaps/>
          <w:noProof/>
        </w:rPr>
      </w:pPr>
      <w:r>
        <w:rPr>
          <w:b/>
          <w:smallCaps/>
          <w:noProof/>
        </w:rPr>
        <w:t>3.</w:t>
      </w:r>
      <w:r>
        <w:rPr>
          <w:b/>
          <w:smallCaps/>
          <w:noProof/>
        </w:rPr>
        <w:tab/>
        <w:t>INCIDENZA FINANZIARIA PREVISTA DELLA PROPOSTA/INIZIATIVA</w:t>
      </w:r>
    </w:p>
    <w:p>
      <w:pPr>
        <w:keepNext/>
        <w:outlineLvl w:val="1"/>
        <w:rPr>
          <w:b/>
          <w:noProof/>
        </w:rPr>
      </w:pPr>
      <w:r>
        <w:rPr>
          <w:b/>
          <w:noProof/>
        </w:rPr>
        <w:t>3.1.</w:t>
      </w:r>
      <w:r>
        <w:rPr>
          <w:b/>
          <w:noProof/>
        </w:rPr>
        <w:tab/>
        <w:t>Rubrica/rubriche del quadro finanziario pluriennale e linea/linee di bilancio di spesa interessate</w:t>
      </w:r>
    </w:p>
    <w:p>
      <w:pPr>
        <w:tabs>
          <w:tab w:val="num" w:pos="1134"/>
        </w:tabs>
        <w:ind w:left="1134" w:hanging="283"/>
        <w:rPr>
          <w:noProof/>
        </w:rPr>
      </w:pPr>
      <w:r>
        <w:rPr>
          <w:noProof/>
        </w:rPr>
        <w:t>Linee di bilancio esistenti</w:t>
      </w:r>
    </w:p>
    <w:p>
      <w:pPr>
        <w:ind w:left="850"/>
        <w:rPr>
          <w:i/>
          <w:noProof/>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r>
              <w:rPr>
                <w:rStyle w:val="FootnoteReference"/>
                <w:noProof/>
              </w:rPr>
              <w:footnoteReference w:id="9"/>
            </w:r>
          </w:p>
        </w:tc>
        <w:tc>
          <w:tcPr>
            <w:tcW w:w="1076" w:type="dxa"/>
            <w:vAlign w:val="center"/>
          </w:tcPr>
          <w:p>
            <w:pPr>
              <w:jc w:val="center"/>
              <w:rPr>
                <w:noProof/>
              </w:rPr>
            </w:pPr>
            <w:r>
              <w:rPr>
                <w:noProof/>
                <w:sz w:val="18"/>
              </w:rPr>
              <w:t>di paesi EFTA</w:t>
            </w:r>
            <w:r>
              <w:rPr>
                <w:rStyle w:val="FootnoteReference"/>
                <w:noProof/>
              </w:rPr>
              <w:footnoteReference w:id="10"/>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rPr>
              <w:footnoteReference w:id="11"/>
            </w:r>
          </w:p>
          <w:p>
            <w:pPr>
              <w:spacing w:before="0" w:after="0"/>
              <w:jc w:val="center"/>
              <w:rPr>
                <w:noProof/>
                <w:sz w:val="18"/>
              </w:rPr>
            </w:pP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Istituzione di un contesto di governance per le attività di pesca condotte dai pescherecci dell'Unione europea nelle acque dei paesi terzi (APS)</w:t>
            </w:r>
          </w:p>
        </w:tc>
        <w:tc>
          <w:tcPr>
            <w:tcW w:w="1080" w:type="dxa"/>
            <w:vAlign w:val="center"/>
          </w:tcPr>
          <w:p>
            <w:pPr>
              <w:jc w:val="center"/>
              <w:rPr>
                <w:noProof/>
                <w:color w:val="0000FF"/>
              </w:rPr>
            </w:pPr>
            <w:r>
              <w:rPr>
                <w:noProof/>
                <w:sz w:val="22"/>
              </w:rPr>
              <w:t>Diss.</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tabs>
          <w:tab w:val="num" w:pos="1134"/>
        </w:tabs>
        <w:ind w:left="1134" w:hanging="283"/>
        <w:rPr>
          <w:noProof/>
        </w:rPr>
      </w:pPr>
      <w:r>
        <w:rPr>
          <w:noProof/>
        </w:rPr>
        <w:t>Nuove linee di bilancio di cui è chiesta la creazione</w:t>
      </w:r>
    </w:p>
    <w:p>
      <w:pPr>
        <w:ind w:left="850"/>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p>
        </w:tc>
        <w:tc>
          <w:tcPr>
            <w:tcW w:w="107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SÌ/NO</w:t>
            </w:r>
          </w:p>
        </w:tc>
        <w:tc>
          <w:tcPr>
            <w:tcW w:w="1080" w:type="dxa"/>
            <w:vAlign w:val="center"/>
          </w:tcPr>
          <w:p>
            <w:pPr>
              <w:jc w:val="center"/>
              <w:rPr>
                <w:noProof/>
                <w:color w:val="0000FF"/>
                <w:sz w:val="20"/>
                <w:szCs w:val="20"/>
              </w:rPr>
            </w:pPr>
            <w:r>
              <w:rPr>
                <w:noProof/>
                <w:sz w:val="20"/>
              </w:rPr>
              <w:t>SÌ/NO</w:t>
            </w:r>
          </w:p>
        </w:tc>
        <w:tc>
          <w:tcPr>
            <w:tcW w:w="1084" w:type="dxa"/>
            <w:vAlign w:val="center"/>
          </w:tcPr>
          <w:p>
            <w:pPr>
              <w:jc w:val="center"/>
              <w:rPr>
                <w:noProof/>
                <w:color w:val="0000FF"/>
                <w:sz w:val="20"/>
                <w:szCs w:val="20"/>
              </w:rPr>
            </w:pPr>
            <w:r>
              <w:rPr>
                <w:noProof/>
                <w:sz w:val="20"/>
              </w:rPr>
              <w:t>SÌ/NO</w:t>
            </w:r>
          </w:p>
        </w:tc>
        <w:tc>
          <w:tcPr>
            <w:tcW w:w="1320" w:type="dxa"/>
            <w:vAlign w:val="center"/>
          </w:tcPr>
          <w:p>
            <w:pPr>
              <w:jc w:val="center"/>
              <w:rPr>
                <w:noProof/>
                <w:sz w:val="20"/>
                <w:szCs w:val="20"/>
              </w:rPr>
            </w:pPr>
            <w:r>
              <w:rPr>
                <w:noProof/>
                <w:sz w:val="20"/>
              </w:rPr>
              <w:t>SÌ/NO</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noProof/>
        </w:rPr>
      </w:pPr>
      <w:r>
        <w:rPr>
          <w:b/>
          <w:noProof/>
        </w:rPr>
        <w:t>3.2.</w:t>
      </w:r>
      <w:r>
        <w:rPr>
          <w:b/>
          <w:noProof/>
        </w:rPr>
        <w:tab/>
        <w:t>Incidenza finanziaria prevista della proposta sugli stanziamenti</w:t>
      </w:r>
    </w:p>
    <w:p>
      <w:pPr>
        <w:keepNext/>
        <w:tabs>
          <w:tab w:val="left" w:pos="850"/>
        </w:tabs>
        <w:outlineLvl w:val="2"/>
        <w:rPr>
          <w:i/>
          <w:noProof/>
        </w:rPr>
      </w:pPr>
      <w:r>
        <w:rPr>
          <w:i/>
          <w:noProof/>
        </w:rPr>
        <w:t>3.2.1.</w:t>
      </w:r>
      <w:r>
        <w:rPr>
          <w:i/>
          <w:noProof/>
        </w:rPr>
        <w:tab/>
        <w:t>Sintesi dell'incidenza prevista sugli stanziamenti operativi</w:t>
      </w:r>
    </w:p>
    <w:p>
      <w:pPr>
        <w:tabs>
          <w:tab w:val="num" w:pos="1134"/>
        </w:tabs>
        <w:ind w:left="1134" w:hanging="283"/>
        <w:rPr>
          <w:noProof/>
        </w:rPr>
      </w:pPr>
      <w:r>
        <w:rPr>
          <w:noProof/>
        </w:rPr>
        <w:sym w:font="Wingdings" w:char="F0A8"/>
      </w:r>
      <w:r>
        <w:rPr>
          <w:noProof/>
        </w:rPr>
        <w:tab/>
        <w:t>La proposta/iniziativa non comporta l'utilizzo di stanziamenti operativi</w:t>
      </w:r>
    </w:p>
    <w:p>
      <w:pPr>
        <w:tabs>
          <w:tab w:val="num" w:pos="1134"/>
        </w:tabs>
        <w:ind w:left="1134" w:hanging="283"/>
        <w:rPr>
          <w:rFonts w:eastAsia="Times New Roman"/>
          <w:noProof/>
        </w:rPr>
      </w:pPr>
      <w:r>
        <w:rPr>
          <w:noProof/>
        </w:rPr>
        <w:t>X</w:t>
      </w:r>
      <w:r>
        <w:rPr>
          <w:noProof/>
        </w:rPr>
        <w:tab/>
        <w:t>La proposta/iniziativa comporta l'utilizzo di stanziamenti operativi, come spiegato di seguito</w:t>
      </w:r>
    </w:p>
    <w:p>
      <w:pPr>
        <w:jc w:val="right"/>
        <w:rPr>
          <w:noProof/>
          <w:sz w:val="18"/>
          <w:szCs w:val="18"/>
        </w:rPr>
      </w:pPr>
      <w:r>
        <w:rPr>
          <w:noProof/>
          <w:sz w:val="18"/>
        </w:rPr>
        <w:t>Milioni di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pPr>
              <w:spacing w:before="60" w:after="60"/>
              <w:jc w:val="center"/>
              <w:rPr>
                <w:noProof/>
                <w:sz w:val="22"/>
              </w:rPr>
            </w:pPr>
            <w:r>
              <w:rPr>
                <w:noProof/>
                <w:sz w:val="22"/>
              </w:rPr>
              <w:t>Numero</w:t>
            </w:r>
          </w:p>
          <w:p>
            <w:pPr>
              <w:spacing w:before="60" w:after="60"/>
              <w:jc w:val="center"/>
              <w:rPr>
                <w:noProof/>
              </w:rPr>
            </w:pPr>
            <w:r>
              <w:rPr>
                <w:noProof/>
                <w:sz w:val="22"/>
              </w:rPr>
              <w:t>2</w:t>
            </w:r>
          </w:p>
        </w:tc>
        <w:tc>
          <w:tcPr>
            <w:tcW w:w="7817" w:type="dxa"/>
            <w:vAlign w:val="center"/>
          </w:tcPr>
          <w:p>
            <w:pPr>
              <w:spacing w:before="60" w:after="60"/>
              <w:rPr>
                <w:noProof/>
              </w:rPr>
            </w:pPr>
            <w:r>
              <w:rPr>
                <w:noProof/>
              </w:rPr>
              <w:t>Crescita sostenibile: risorse naturali</w:t>
            </w:r>
          </w:p>
        </w:tc>
      </w:tr>
    </w:tbl>
    <w:p>
      <w:pPr>
        <w:rPr>
          <w:noProof/>
          <w:sz w:val="16"/>
        </w:rPr>
      </w:pPr>
    </w:p>
    <w:tbl>
      <w:tblPr>
        <w:tblW w:w="104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46"/>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1746"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 xml:space="preserve">Stanziamenti operativi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Linea di bilancio</w:t>
            </w:r>
            <w:r>
              <w:rPr>
                <w:rStyle w:val="FootnoteReference"/>
                <w:noProof/>
              </w:rPr>
              <w:footnoteReference w:id="12"/>
            </w:r>
            <w:r>
              <w:rPr>
                <w:noProof/>
              </w:rPr>
              <w:t xml:space="preserve"> </w:t>
            </w:r>
            <w:r>
              <w:rPr>
                <w:noProof/>
                <w:sz w:val="20"/>
              </w:rPr>
              <w:t>11.0301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61,625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61,625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57,500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4,125</w:t>
            </w:r>
          </w:p>
        </w:tc>
        <w:tc>
          <w:tcPr>
            <w:tcW w:w="1746" w:type="dxa"/>
            <w:vAlign w:val="center"/>
          </w:tcPr>
          <w:p>
            <w:pPr>
              <w:spacing w:before="20" w:after="20"/>
              <w:jc w:val="right"/>
              <w:rPr>
                <w:b/>
                <w:noProof/>
                <w:sz w:val="20"/>
              </w:rPr>
            </w:pPr>
            <w:r>
              <w:rPr>
                <w:b/>
                <w:noProof/>
                <w:sz w:val="20"/>
              </w:rPr>
              <w:t>61,625</w:t>
            </w:r>
          </w:p>
        </w:tc>
      </w:tr>
      <w:tr>
        <w:tc>
          <w:tcPr>
            <w:tcW w:w="3960" w:type="dxa"/>
            <w:vMerge w:val="restart"/>
            <w:vAlign w:val="center"/>
          </w:tcPr>
          <w:p>
            <w:pPr>
              <w:rPr>
                <w:noProof/>
              </w:rPr>
            </w:pPr>
            <w:r>
              <w:rPr>
                <w:noProof/>
                <w:sz w:val="20"/>
              </w:rPr>
              <w:t>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1"/>
              </w:rPr>
            </w:pPr>
            <w:r>
              <w:rPr>
                <w:noProof/>
                <w:sz w:val="21"/>
              </w:rPr>
              <w:t>Stanziamenti amministrativi finanziati dalla dotazione di programmi specifici</w:t>
            </w:r>
            <w:r>
              <w:rPr>
                <w:rStyle w:val="FootnoteReference"/>
                <w:noProof/>
              </w:rPr>
              <w:footnoteReference w:id="13"/>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TOTALE degli stanziamenti</w:t>
            </w:r>
            <w:r>
              <w:rPr>
                <w:noProof/>
                <w:sz w:val="22"/>
              </w:rPr>
              <w:br/>
            </w:r>
            <w:r>
              <w:rPr>
                <w:b/>
                <w:noProof/>
                <w:sz w:val="22"/>
              </w:rPr>
              <w:t>per la DG MARE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61,625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61,625</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57,500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4,125</w:t>
            </w:r>
          </w:p>
        </w:tc>
        <w:tc>
          <w:tcPr>
            <w:tcW w:w="1746" w:type="dxa"/>
            <w:vAlign w:val="center"/>
          </w:tcPr>
          <w:p>
            <w:pPr>
              <w:spacing w:before="20" w:after="20"/>
              <w:jc w:val="right"/>
              <w:rPr>
                <w:b/>
                <w:noProof/>
                <w:sz w:val="20"/>
              </w:rPr>
            </w:pPr>
            <w:r>
              <w:rPr>
                <w:b/>
                <w:noProof/>
                <w:sz w:val="20"/>
              </w:rPr>
              <w:t>61,625</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61,625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61,625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57,500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4,125</w:t>
            </w:r>
          </w:p>
        </w:tc>
        <w:tc>
          <w:tcPr>
            <w:tcW w:w="1732" w:type="dxa"/>
            <w:vAlign w:val="center"/>
          </w:tcPr>
          <w:p>
            <w:pPr>
              <w:spacing w:before="20" w:after="20"/>
              <w:jc w:val="right"/>
              <w:rPr>
                <w:b/>
                <w:noProof/>
                <w:sz w:val="20"/>
              </w:rPr>
            </w:pPr>
            <w:r>
              <w:rPr>
                <w:b/>
                <w:noProof/>
                <w:sz w:val="20"/>
              </w:rPr>
              <w:t>61,625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TOTALE degli stanziamenti amministrativi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TOTALE degli stanziamenti </w:t>
            </w:r>
            <w:r>
              <w:rPr>
                <w:noProof/>
                <w:sz w:val="22"/>
              </w:rPr>
              <w:br/>
            </w:r>
            <w:r>
              <w:rPr>
                <w:b/>
                <w:noProof/>
                <w:sz w:val="22"/>
              </w:rPr>
              <w:t>per la RUBRICA &lt;2.&gt;</w:t>
            </w:r>
            <w:r>
              <w:rPr>
                <w:noProof/>
                <w:sz w:val="22"/>
              </w:rPr>
              <w:b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61,625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32" w:type="dxa"/>
          </w:tcPr>
          <w:p>
            <w:pPr>
              <w:spacing w:before="20" w:after="20"/>
              <w:jc w:val="right"/>
              <w:rPr>
                <w:b/>
                <w:noProof/>
                <w:sz w:val="20"/>
              </w:rPr>
            </w:pPr>
            <w:r>
              <w:rPr>
                <w:b/>
                <w:noProof/>
                <w:sz w:val="20"/>
              </w:rPr>
              <w:t>61,625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57,500</w:t>
            </w:r>
          </w:p>
        </w:tc>
        <w:tc>
          <w:tcPr>
            <w:tcW w:w="868" w:type="dxa"/>
          </w:tcPr>
          <w:p>
            <w:pPr>
              <w:spacing w:before="20" w:after="20"/>
              <w:jc w:val="right"/>
              <w:rPr>
                <w:noProof/>
                <w:sz w:val="20"/>
              </w:rPr>
            </w:pPr>
          </w:p>
        </w:tc>
        <w:tc>
          <w:tcPr>
            <w:tcW w:w="868" w:type="dxa"/>
          </w:tcPr>
          <w:p>
            <w:pPr>
              <w:spacing w:before="20" w:after="20"/>
              <w:jc w:val="right"/>
              <w:rPr>
                <w:noProof/>
                <w:sz w:val="20"/>
              </w:rPr>
            </w:pPr>
            <w:r>
              <w:rPr>
                <w:noProof/>
                <w:sz w:val="20"/>
              </w:rPr>
              <w:t>4,125</w:t>
            </w:r>
          </w:p>
        </w:tc>
        <w:tc>
          <w:tcPr>
            <w:tcW w:w="1732" w:type="dxa"/>
          </w:tcPr>
          <w:p>
            <w:pPr>
              <w:spacing w:before="20" w:after="20"/>
              <w:jc w:val="right"/>
              <w:rPr>
                <w:b/>
                <w:noProof/>
                <w:sz w:val="20"/>
              </w:rPr>
            </w:pPr>
            <w:r>
              <w:rPr>
                <w:b/>
                <w:noProof/>
                <w:sz w:val="20"/>
              </w:rPr>
              <w:t>61,625</w:t>
            </w:r>
          </w:p>
        </w:tc>
      </w:tr>
    </w:tbl>
    <w:p>
      <w:pPr>
        <w:spacing w:after="40"/>
        <w:rPr>
          <w:b/>
          <w:noProof/>
          <w:sz w:val="22"/>
          <w:u w:val="single"/>
        </w:rPr>
      </w:pPr>
      <w:r>
        <w:rPr>
          <w:b/>
          <w:noProof/>
          <w:sz w:val="22"/>
          <w:u w:val="single"/>
        </w:rPr>
        <w:t>Se la proposta/iniziativa incide su più rubriche operative, ricopiare nella sezione sotto</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TOTALE degli stanziamenti operativi (tutte le rubriche operative)</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TOTALE degli stanziamenti amministrativi finanziati dalla dotazione di programmi specifici (tutte le rubriche operative)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TOTALE degli stanziamenti </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61,625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77" w:type="dxa"/>
            <w:tcBorders>
              <w:right w:val="single" w:sz="4" w:space="0" w:color="auto"/>
            </w:tcBorders>
          </w:tcPr>
          <w:p>
            <w:pPr>
              <w:spacing w:before="20" w:after="20"/>
              <w:jc w:val="right"/>
              <w:rPr>
                <w:b/>
                <w:noProof/>
                <w:sz w:val="20"/>
              </w:rPr>
            </w:pPr>
            <w:r>
              <w:rPr>
                <w:b/>
                <w:noProof/>
                <w:sz w:val="20"/>
              </w:rPr>
              <w:t>61,625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tcPr>
          <w:p>
            <w:pPr>
              <w:spacing w:before="20" w:after="20"/>
              <w:jc w:val="right"/>
              <w:rPr>
                <w:noProof/>
                <w:sz w:val="20"/>
              </w:rPr>
            </w:pPr>
            <w:r>
              <w:rPr>
                <w:noProof/>
                <w:sz w:val="20"/>
              </w:rPr>
              <w:t>57,500</w:t>
            </w:r>
          </w:p>
        </w:tc>
        <w:tc>
          <w:tcPr>
            <w:tcW w:w="868" w:type="dxa"/>
            <w:tcBorders>
              <w:bottom w:val="single" w:sz="4" w:space="0" w:color="auto"/>
            </w:tcBorders>
          </w:tcPr>
          <w:p>
            <w:pPr>
              <w:spacing w:before="20" w:after="20"/>
              <w:jc w:val="right"/>
              <w:rPr>
                <w:noProof/>
                <w:sz w:val="20"/>
              </w:rPr>
            </w:pPr>
          </w:p>
        </w:tc>
        <w:tc>
          <w:tcPr>
            <w:tcW w:w="868" w:type="dxa"/>
            <w:tcBorders>
              <w:bottom w:val="single" w:sz="4" w:space="0" w:color="auto"/>
            </w:tcBorders>
          </w:tcPr>
          <w:p>
            <w:pPr>
              <w:spacing w:before="20" w:after="20"/>
              <w:jc w:val="right"/>
              <w:rPr>
                <w:noProof/>
                <w:sz w:val="20"/>
              </w:rPr>
            </w:pPr>
            <w:r>
              <w:rPr>
                <w:noProof/>
                <w:sz w:val="20"/>
              </w:rPr>
              <w:t>4,125</w:t>
            </w:r>
          </w:p>
        </w:tc>
        <w:tc>
          <w:tcPr>
            <w:tcW w:w="1777" w:type="dxa"/>
            <w:tcBorders>
              <w:bottom w:val="single" w:sz="4" w:space="0" w:color="auto"/>
              <w:right w:val="single" w:sz="4" w:space="0" w:color="auto"/>
            </w:tcBorders>
          </w:tcPr>
          <w:p>
            <w:pPr>
              <w:spacing w:before="20" w:after="20"/>
              <w:jc w:val="right"/>
              <w:rPr>
                <w:b/>
                <w:noProof/>
                <w:sz w:val="20"/>
              </w:rPr>
            </w:pPr>
            <w:r>
              <w:rPr>
                <w:b/>
                <w:noProof/>
                <w:sz w:val="20"/>
              </w:rPr>
              <w:t>61,625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left"/>
        <w:rPr>
          <w:noProof/>
          <w:sz w:val="20"/>
        </w:rPr>
      </w:pPr>
      <w:r>
        <w:rPr>
          <w:noProof/>
        </w:rPr>
        <w:t>Sezione da compilare utilizzando i "dati di bilancio di natura amministrativa" che saranno introdotti nell'</w:t>
      </w:r>
      <w:hyperlink r:id="rId13">
        <w:r>
          <w:rPr>
            <w:noProof/>
            <w:color w:val="0000FF"/>
            <w:u w:val="single"/>
          </w:rPr>
          <w:t>allegato della scheda finanziaria legislativa</w:t>
        </w:r>
      </w:hyperlink>
      <w:r>
        <w:rPr>
          <w:noProof/>
        </w:rPr>
        <w:t xml:space="preserve"> (allegato V delle norme interne), caricato su DECIDE a fini di consultazione interservizi.</w:t>
      </w:r>
    </w:p>
    <w:p>
      <w:pPr>
        <w:jc w:val="right"/>
        <w:rPr>
          <w:noProof/>
          <w:sz w:val="20"/>
        </w:rPr>
      </w:pPr>
      <w:r>
        <w:rPr>
          <w:noProof/>
          <w:sz w:val="20"/>
        </w:rPr>
        <w:t>Milioni di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1777" w:type="dxa"/>
            <w:vAlign w:val="center"/>
          </w:tcPr>
          <w:p>
            <w:pPr>
              <w:jc w:val="center"/>
              <w:rPr>
                <w:b/>
                <w:noProof/>
                <w:sz w:val="20"/>
              </w:rPr>
            </w:pPr>
            <w:r>
              <w:rPr>
                <w:b/>
                <w:noProof/>
                <w:sz w:val="20"/>
              </w:rPr>
              <w:t>TOTALE</w:t>
            </w:r>
          </w:p>
        </w:tc>
      </w:tr>
      <w:tr>
        <w:trPr>
          <w:gridAfter w:val="6"/>
          <w:wAfter w:w="6475"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Risorse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TOTALE DG</w:t>
            </w:r>
            <w:r>
              <w:rPr>
                <w:noProof/>
                <w:sz w:val="22"/>
              </w:rPr>
              <w:t xml:space="preserve"> MARE</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Milioni di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tcPr>
          <w:p>
            <w:pPr>
              <w:spacing w:before="20" w:after="20"/>
              <w:jc w:val="right"/>
              <w:rPr>
                <w:noProof/>
                <w:sz w:val="20"/>
              </w:rPr>
            </w:pPr>
            <w:r>
              <w:rPr>
                <w:noProof/>
                <w:sz w:val="20"/>
              </w:rPr>
              <w:t>61,625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77" w:type="dxa"/>
          </w:tcPr>
          <w:p>
            <w:pPr>
              <w:spacing w:before="20" w:after="20"/>
              <w:jc w:val="right"/>
              <w:rPr>
                <w:b/>
                <w:noProof/>
                <w:sz w:val="20"/>
              </w:rPr>
            </w:pPr>
            <w:r>
              <w:rPr>
                <w:b/>
                <w:noProof/>
                <w:sz w:val="20"/>
              </w:rPr>
              <w:t>61,625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tcPr>
          <w:p>
            <w:pPr>
              <w:spacing w:before="20" w:after="20"/>
              <w:jc w:val="right"/>
              <w:rPr>
                <w:noProof/>
                <w:sz w:val="20"/>
              </w:rPr>
            </w:pPr>
            <w:r>
              <w:rPr>
                <w:noProof/>
                <w:sz w:val="20"/>
              </w:rPr>
              <w:t>57,500</w:t>
            </w:r>
          </w:p>
        </w:tc>
        <w:tc>
          <w:tcPr>
            <w:tcW w:w="868" w:type="dxa"/>
          </w:tcPr>
          <w:p>
            <w:pPr>
              <w:spacing w:before="20" w:after="20"/>
              <w:jc w:val="right"/>
              <w:rPr>
                <w:noProof/>
                <w:sz w:val="20"/>
              </w:rPr>
            </w:pPr>
          </w:p>
        </w:tc>
        <w:tc>
          <w:tcPr>
            <w:tcW w:w="868" w:type="dxa"/>
          </w:tcPr>
          <w:p>
            <w:pPr>
              <w:spacing w:before="20" w:after="20"/>
              <w:jc w:val="right"/>
              <w:rPr>
                <w:noProof/>
                <w:sz w:val="20"/>
              </w:rPr>
            </w:pPr>
            <w:r>
              <w:rPr>
                <w:noProof/>
                <w:sz w:val="20"/>
              </w:rPr>
              <w:t>4,125</w:t>
            </w:r>
          </w:p>
        </w:tc>
        <w:tc>
          <w:tcPr>
            <w:tcW w:w="1777" w:type="dxa"/>
          </w:tcPr>
          <w:p>
            <w:pPr>
              <w:spacing w:before="20" w:after="20"/>
              <w:jc w:val="right"/>
              <w:rPr>
                <w:b/>
                <w:noProof/>
                <w:sz w:val="20"/>
              </w:rPr>
            </w:pPr>
            <w:r>
              <w:rPr>
                <w:b/>
                <w:noProof/>
                <w:sz w:val="20"/>
              </w:rPr>
              <w:t>61,625</w:t>
            </w:r>
          </w:p>
        </w:tc>
      </w:tr>
    </w:tbl>
    <w:p>
      <w:pPr>
        <w:rPr>
          <w:noProof/>
        </w:rPr>
      </w:pPr>
    </w:p>
    <w:p>
      <w:pPr>
        <w:keepNext/>
        <w:tabs>
          <w:tab w:val="left" w:pos="850"/>
        </w:tabs>
        <w:outlineLvl w:val="2"/>
        <w:rPr>
          <w:i/>
          <w:noProof/>
        </w:rPr>
      </w:pPr>
      <w:r>
        <w:rPr>
          <w:i/>
          <w:noProof/>
        </w:rPr>
        <w:t>3.2.2.</w:t>
      </w:r>
      <w:r>
        <w:rPr>
          <w:i/>
          <w:noProof/>
        </w:rPr>
        <w:tab/>
        <w:t>Risultati previsti finanziati con gli stanziamenti operativi</w:t>
      </w:r>
    </w:p>
    <w:p>
      <w:pPr>
        <w:keepNext/>
        <w:jc w:val="right"/>
        <w:rPr>
          <w:noProof/>
          <w:sz w:val="20"/>
        </w:rPr>
      </w:pPr>
      <w:r>
        <w:rPr>
          <w:noProof/>
          <w:sz w:val="20"/>
        </w:rPr>
        <w:t>Stanziamenti di impegno in milioni di EUR (al terzo decimale)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720"/>
        <w:gridCol w:w="180"/>
        <w:gridCol w:w="720"/>
        <w:gridCol w:w="900"/>
      </w:tblGrid>
      <w:tr>
        <w:trPr>
          <w:gridAfter w:val="1"/>
          <w:wAfter w:w="900" w:type="dxa"/>
          <w:jc w:val="center"/>
        </w:trPr>
        <w:tc>
          <w:tcPr>
            <w:tcW w:w="1423" w:type="dxa"/>
            <w:vMerge w:val="restart"/>
            <w:vAlign w:val="center"/>
          </w:tcPr>
          <w:p>
            <w:pPr>
              <w:ind w:right="-29"/>
              <w:jc w:val="center"/>
              <w:rPr>
                <w:b/>
                <w:noProof/>
                <w:sz w:val="18"/>
              </w:rPr>
            </w:pPr>
            <w:r>
              <w:rPr>
                <w:b/>
                <w:noProof/>
                <w:sz w:val="18"/>
              </w:rPr>
              <w:t>Specificare gli obiettivi e i risultati</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Anno</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Anno</w:t>
            </w:r>
            <w:r>
              <w:rPr>
                <w:noProof/>
                <w:sz w:val="22"/>
              </w:rPr>
              <w:br/>
            </w:r>
            <w:r>
              <w:rPr>
                <w:b/>
                <w:noProof/>
                <w:sz w:val="18"/>
              </w:rPr>
              <w:t>2021</w:t>
            </w:r>
          </w:p>
        </w:tc>
        <w:tc>
          <w:tcPr>
            <w:tcW w:w="1620" w:type="dxa"/>
            <w:gridSpan w:val="3"/>
            <w:tcBorders>
              <w:left w:val="nil"/>
              <w:bottom w:val="nil"/>
            </w:tcBorders>
            <w:vAlign w:val="center"/>
          </w:tcPr>
          <w:p>
            <w:pPr>
              <w:ind w:right="-29"/>
              <w:jc w:val="center"/>
              <w:rPr>
                <w:noProof/>
                <w:sz w:val="18"/>
                <w:szCs w:val="18"/>
              </w:rPr>
            </w:pPr>
            <w:r>
              <w:rPr>
                <w:b/>
                <w:noProof/>
                <w:sz w:val="18"/>
              </w:rPr>
              <w:t>TOTALE</w:t>
            </w:r>
          </w:p>
        </w:tc>
      </w:tr>
      <w:tr>
        <w:trPr>
          <w:gridAfter w:val="12"/>
          <w:wAfter w:w="7865" w:type="dxa"/>
          <w:trHeight w:val="465"/>
          <w:jc w:val="center"/>
        </w:trPr>
        <w:tc>
          <w:tcPr>
            <w:tcW w:w="1423" w:type="dxa"/>
            <w:vMerge/>
            <w:vAlign w:val="center"/>
          </w:tcPr>
          <w:p>
            <w:pPr>
              <w:ind w:right="-29"/>
              <w:jc w:val="center"/>
              <w:rPr>
                <w:noProof/>
                <w:sz w:val="18"/>
                <w:szCs w:val="18"/>
              </w:rPr>
            </w:pP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rPr>
              <w:footnoteReference w:id="15"/>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xml:space="preserve">- Accesso </w:t>
            </w:r>
          </w:p>
        </w:tc>
        <w:tc>
          <w:tcPr>
            <w:tcW w:w="720" w:type="dxa"/>
          </w:tcPr>
          <w:p>
            <w:pPr>
              <w:ind w:right="-29"/>
              <w:jc w:val="center"/>
              <w:rPr>
                <w:noProof/>
                <w:sz w:val="18"/>
                <w:szCs w:val="18"/>
              </w:rPr>
            </w:pPr>
            <w:r>
              <w:rPr>
                <w:noProof/>
                <w:sz w:val="18"/>
                <w:szCs w:val="18"/>
              </w:rPr>
              <w:t>Annuale</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57,5</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57,5</w:t>
            </w:r>
          </w:p>
          <w:p>
            <w:pPr>
              <w:ind w:right="-29"/>
              <w:jc w:val="center"/>
              <w:rPr>
                <w:noProof/>
                <w:sz w:val="18"/>
                <w:szCs w:val="18"/>
              </w:rPr>
            </w:pPr>
            <w:r>
              <w:rPr>
                <w:noProof/>
                <w:sz w:val="18"/>
                <w:szCs w:val="18"/>
              </w:rPr>
              <w:t>4,125</w:t>
            </w:r>
          </w:p>
          <w:p>
            <w:pPr>
              <w:ind w:right="-29"/>
              <w:jc w:val="center"/>
              <w:rPr>
                <w:noProof/>
                <w:sz w:val="18"/>
                <w:szCs w:val="18"/>
              </w:rPr>
            </w:pPr>
          </w:p>
          <w:p>
            <w:pPr>
              <w:ind w:right="-29"/>
              <w:jc w:val="center"/>
              <w:rPr>
                <w:noProof/>
                <w:sz w:val="18"/>
                <w:szCs w:val="18"/>
              </w:rPr>
            </w:pPr>
            <w:r>
              <w:rPr>
                <w:noProof/>
                <w:sz w:val="18"/>
                <w:szCs w:val="18"/>
              </w:rPr>
              <w:t>61,625</w:t>
            </w:r>
          </w:p>
        </w:tc>
      </w:tr>
      <w:tr>
        <w:trPr>
          <w:trHeight w:hRule="exact" w:val="369"/>
          <w:jc w:val="center"/>
        </w:trPr>
        <w:tc>
          <w:tcPr>
            <w:tcW w:w="1423" w:type="dxa"/>
          </w:tcPr>
          <w:p>
            <w:pPr>
              <w:ind w:right="-29"/>
              <w:jc w:val="center"/>
              <w:rPr>
                <w:noProof/>
                <w:sz w:val="18"/>
                <w:szCs w:val="18"/>
              </w:rPr>
            </w:pPr>
            <w:r>
              <w:rPr>
                <w:noProof/>
                <w:sz w:val="18"/>
              </w:rPr>
              <w:t>- Settoriale</w:t>
            </w:r>
          </w:p>
        </w:tc>
        <w:tc>
          <w:tcPr>
            <w:tcW w:w="720" w:type="dxa"/>
          </w:tcPr>
          <w:p>
            <w:pPr>
              <w:ind w:right="-29"/>
              <w:jc w:val="center"/>
              <w:rPr>
                <w:noProof/>
                <w:sz w:val="18"/>
                <w:szCs w:val="18"/>
              </w:rPr>
            </w:pPr>
            <w:r>
              <w:rPr>
                <w:noProof/>
                <w:sz w:val="18"/>
                <w:szCs w:val="18"/>
              </w:rPr>
              <w:t>Annuale</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4,125</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4,125</w:t>
            </w: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61,625</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61,625</w:t>
            </w: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TOTALI</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61,625</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61,625</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i/>
          <w:noProof/>
        </w:rPr>
      </w:pPr>
      <w:r>
        <w:rPr>
          <w:i/>
          <w:noProof/>
        </w:rPr>
        <w:t>3.2.3.</w:t>
      </w:r>
      <w:r>
        <w:rPr>
          <w:i/>
          <w:noProof/>
        </w:rPr>
        <w:tab/>
        <w:t>Sintesi dell'incidenza prevista sugli stanziamenti amministrativi</w:t>
      </w:r>
    </w:p>
    <w:p>
      <w:pPr>
        <w:tabs>
          <w:tab w:val="num" w:pos="1134"/>
        </w:tabs>
        <w:ind w:left="1134" w:hanging="283"/>
        <w:rPr>
          <w:noProof/>
        </w:rPr>
      </w:pPr>
      <w:r>
        <w:rPr>
          <w:noProof/>
        </w:rPr>
        <w:t>X</w:t>
      </w:r>
      <w:r>
        <w:rPr>
          <w:noProof/>
        </w:rPr>
        <w:tab/>
        <w:t>La proposta/iniziativa non comporta l'utilizzo di stanziamenti amministrativi</w:t>
      </w:r>
    </w:p>
    <w:p>
      <w:pPr>
        <w:tabs>
          <w:tab w:val="num" w:pos="1134"/>
        </w:tabs>
        <w:ind w:left="1134" w:hanging="283"/>
        <w:rPr>
          <w:rFonts w:eastAsia="Times New Roman"/>
          <w:noProof/>
        </w:rPr>
      </w:pPr>
      <w:r>
        <w:rPr>
          <w:noProof/>
        </w:rPr>
        <w:sym w:font="Wingdings" w:char="F0A8"/>
      </w:r>
      <w:r>
        <w:rPr>
          <w:noProof/>
        </w:rPr>
        <w:tab/>
        <w:t>La proposta/iniziativa comporta l'utilizzo di stanziamenti amministrativi, come spiegato di seguito</w:t>
      </w:r>
    </w:p>
    <w:p>
      <w:pPr>
        <w:jc w:val="right"/>
        <w:rPr>
          <w:noProof/>
          <w:sz w:val="20"/>
        </w:rPr>
      </w:pPr>
      <w:r>
        <w:rPr>
          <w:noProof/>
          <w:sz w:val="20"/>
        </w:rPr>
        <w:t>Milioni di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 xml:space="preserve">N </w:t>
            </w:r>
            <w:r>
              <w:rPr>
                <w:rStyle w:val="FootnoteReference"/>
                <w:noProof/>
              </w:rPr>
              <w:footnoteReference w:id="16"/>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noProof/>
              </w:rPr>
              <w:footnoteReference w:id="17"/>
            </w:r>
            <w:r>
              <w:rPr>
                <w:noProof/>
                <w:sz w:val="22"/>
              </w:rPr>
              <w:br/>
            </w:r>
            <w:r>
              <w:rPr>
                <w:b/>
                <w:noProof/>
                <w:sz w:val="16"/>
              </w:rPr>
              <w:t>del quadro finanziario pluriennale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w:t>
            </w:r>
            <w:r>
              <w:rPr>
                <w:noProof/>
                <w:sz w:val="22"/>
              </w:rPr>
              <w:br/>
            </w:r>
            <w:r>
              <w:rPr>
                <w:b/>
                <w:noProof/>
                <w:sz w:val="16"/>
              </w:rPr>
              <w:t>esclusa la 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p>
    <w:p>
      <w:pPr>
        <w:keepNext/>
        <w:outlineLvl w:val="3"/>
        <w:rPr>
          <w:noProof/>
        </w:rPr>
      </w:pPr>
      <w:r>
        <w:rPr>
          <w:noProof/>
        </w:rPr>
        <w:t>3.2.3.1.</w:t>
      </w:r>
      <w:r>
        <w:rPr>
          <w:noProof/>
        </w:rPr>
        <w:tab/>
        <w:t>Fabbisogno previsto di risorse umane</w:t>
      </w:r>
    </w:p>
    <w:p>
      <w:pPr>
        <w:tabs>
          <w:tab w:val="num" w:pos="1134"/>
        </w:tabs>
        <w:ind w:left="1134" w:hanging="283"/>
        <w:rPr>
          <w:noProof/>
        </w:rPr>
      </w:pPr>
      <w:r>
        <w:rPr>
          <w:noProof/>
        </w:rPr>
        <w:t>X</w:t>
      </w:r>
      <w:r>
        <w:rPr>
          <w:noProof/>
        </w:rPr>
        <w:tab/>
        <w:t>La proposta/iniziativa non comporta l'utilizzo di risorse umane.</w:t>
      </w:r>
    </w:p>
    <w:p>
      <w:pPr>
        <w:tabs>
          <w:tab w:val="num" w:pos="1134"/>
        </w:tabs>
        <w:ind w:left="1134" w:hanging="283"/>
        <w:rPr>
          <w:rFonts w:eastAsia="Times New Roman"/>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600" w:type="dxa"/>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sz w:val="16"/>
              </w:rPr>
              <w:t>Posti della tabella dell'organico (funzionari e agenti temporanei)</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(in sede e negli uffici di rappresentanza della Commissione)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noProof/>
              </w:rPr>
              <w:t xml:space="preserve"> </w:t>
            </w:r>
            <w:r>
              <w:rPr>
                <w:b/>
                <w:noProof/>
                <w:sz w:val="16"/>
              </w:rPr>
              <w:t>Personale esterno (in equivalenti a tempo pieno: ETP)</w:t>
            </w:r>
            <w:r>
              <w:rPr>
                <w:rStyle w:val="FootnoteReference"/>
                <w:noProof/>
              </w:rPr>
              <w:footnoteReference w:id="18"/>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(AC, END e INT della dotazione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 JPD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9"/>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in sede</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nelle delegazioni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(AC, END, INT -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(AC, END, INT -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Altre linee di bilancio (specificare)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TOTALE</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è il settore o il titolo di bilancio interessato.</w:t>
      </w:r>
    </w:p>
    <w:p>
      <w:pPr>
        <w:ind w:left="850"/>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rPr>
              <w:t>Attuazione del protocollo (pagamenti, accesso alle acque mauritane da parte delle navi dell'Unione, trattamento delle autorizzazioni di pesca), preparazione e follow-up delle riunioni della commissione mista, preparazione del rinnovo del protocollo, valutazione esterna, procedure legislative, negoziati.</w:t>
            </w:r>
          </w:p>
        </w:tc>
      </w:tr>
      <w:tr>
        <w:tc>
          <w:tcPr>
            <w:tcW w:w="3240" w:type="dxa"/>
          </w:tcPr>
          <w:p>
            <w:pPr>
              <w:spacing w:before="60" w:after="60"/>
              <w:rPr>
                <w:noProof/>
                <w:sz w:val="20"/>
              </w:rPr>
            </w:pPr>
            <w:r>
              <w:rPr>
                <w:noProof/>
                <w:sz w:val="20"/>
              </w:rPr>
              <w:t>Personale esterno</w:t>
            </w:r>
          </w:p>
        </w:tc>
        <w:tc>
          <w:tcPr>
            <w:tcW w:w="7200" w:type="dxa"/>
          </w:tcPr>
          <w:p>
            <w:pPr>
              <w:rPr>
                <w:noProof/>
                <w:sz w:val="20"/>
              </w:rPr>
            </w:pPr>
            <w:r>
              <w:rPr>
                <w:noProof/>
              </w:rPr>
              <w:t>Attuazione del protocollo: contatti con le autorità della Mauritania per l'accesso delle navi dell'Unione alle acque mauritane, trattamento delle autorizzazioni di pesca, preparazione e follow-up delle riunioni della commissione mista, in particolare attuazione del sostegno settoriale.</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r>
        <w:rPr>
          <w:i/>
          <w:noProof/>
        </w:rPr>
        <w:t>3.2.4.</w:t>
      </w:r>
      <w:r>
        <w:rPr>
          <w:i/>
          <w:noProof/>
        </w:rPr>
        <w:tab/>
        <w:t>Compatibilità con il quadro finanziario pluriennale attuale</w:t>
      </w:r>
    </w:p>
    <w:p>
      <w:pPr>
        <w:ind w:left="850"/>
        <w:rPr>
          <w:noProof/>
        </w:rPr>
      </w:pPr>
      <w:r>
        <w:rPr>
          <w:noProof/>
        </w:rPr>
        <w:t>La proposta/iniziativa:</w:t>
      </w:r>
    </w:p>
    <w:p>
      <w:pPr>
        <w:tabs>
          <w:tab w:val="num" w:pos="1134"/>
        </w:tabs>
        <w:ind w:left="1134" w:hanging="283"/>
        <w:rPr>
          <w:rFonts w:eastAsia="Times New Roman"/>
          <w:noProof/>
        </w:rPr>
      </w:pPr>
      <w:r>
        <w:rPr>
          <w:noProof/>
        </w:rPr>
        <w:t>X</w:t>
      </w:r>
      <w:r>
        <w:rPr>
          <w:noProof/>
        </w:rPr>
        <w:tab/>
        <w:t>può essere interamente finanziata mediante riassegnazione all'interno della pertinente rubrica del quadro finanziario pluriennale (QFP)</w:t>
      </w:r>
    </w:p>
    <w:p>
      <w:pPr>
        <w:pBdr>
          <w:top w:val="single" w:sz="4" w:space="1" w:color="auto"/>
          <w:left w:val="single" w:sz="4" w:space="4" w:color="auto"/>
          <w:bottom w:val="single" w:sz="4" w:space="1" w:color="auto"/>
          <w:right w:val="single" w:sz="4" w:space="4" w:color="auto"/>
        </w:pBdr>
        <w:ind w:left="850"/>
        <w:rPr>
          <w:noProof/>
          <w:sz w:val="20"/>
        </w:rPr>
      </w:pPr>
      <w:r>
        <w:rPr>
          <w:noProof/>
          <w:sz w:val="20"/>
        </w:rPr>
        <w:t>Riguarda l'utilizzo della linea di riserva (capitolo 40).</w:t>
      </w:r>
    </w:p>
    <w:p>
      <w:pPr>
        <w:tabs>
          <w:tab w:val="num" w:pos="1134"/>
        </w:tabs>
        <w:ind w:left="1134" w:hanging="283"/>
        <w:rPr>
          <w:rFonts w:eastAsia="Times New Roman"/>
          <w:noProof/>
        </w:rPr>
      </w:pPr>
      <w:r>
        <w:rPr>
          <w:noProof/>
        </w:rPr>
        <w:sym w:font="Wingdings" w:char="F0A8"/>
      </w:r>
      <w:r>
        <w:rPr>
          <w:noProof/>
        </w:rPr>
        <w:tab/>
        <w:t>comporta l'uso del margine non assegnato della pertinente rubrica del QFP e/o l'uso degli strumenti speciali definiti nel regolamento QFP.</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gli importi corrispondenti e gli strumenti proposti</w:t>
      </w:r>
    </w:p>
    <w:p>
      <w:pPr>
        <w:tabs>
          <w:tab w:val="num" w:pos="1134"/>
        </w:tabs>
        <w:ind w:left="1134" w:hanging="283"/>
        <w:rPr>
          <w:rFonts w:eastAsia="Times New Roman"/>
          <w:noProof/>
        </w:rPr>
      </w:pPr>
      <w:r>
        <w:rPr>
          <w:noProof/>
        </w:rPr>
        <w:sym w:font="Wingdings" w:char="F0A8"/>
      </w:r>
      <w:r>
        <w:rPr>
          <w:noProof/>
        </w:rPr>
        <w:tab/>
        <w:t>comporta una revisione del QFP</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e gli importi corrispondenti</w:t>
      </w:r>
    </w:p>
    <w:p>
      <w:pPr>
        <w:keepNext/>
        <w:tabs>
          <w:tab w:val="left" w:pos="850"/>
        </w:tabs>
        <w:outlineLvl w:val="2"/>
        <w:rPr>
          <w:i/>
          <w:noProof/>
        </w:rPr>
      </w:pPr>
      <w:r>
        <w:rPr>
          <w:i/>
          <w:noProof/>
        </w:rPr>
        <w:t>3.2.5.</w:t>
      </w:r>
      <w:r>
        <w:rPr>
          <w:i/>
          <w:noProof/>
        </w:rPr>
        <w:tab/>
        <w:t>Partecipazione di terzi al finanziamento</w:t>
      </w:r>
    </w:p>
    <w:p>
      <w:pPr>
        <w:ind w:left="850"/>
        <w:rPr>
          <w:noProof/>
        </w:rPr>
      </w:pPr>
      <w:r>
        <w:rPr>
          <w:noProof/>
        </w:rPr>
        <w:t>La proposta/iniziativa:</w:t>
      </w:r>
    </w:p>
    <w:p>
      <w:pPr>
        <w:tabs>
          <w:tab w:val="num" w:pos="1134"/>
        </w:tabs>
        <w:ind w:left="1134" w:hanging="283"/>
        <w:rPr>
          <w:rFonts w:eastAsia="Times New Roman"/>
          <w:noProof/>
        </w:rPr>
      </w:pPr>
      <w:r>
        <w:rPr>
          <w:noProof/>
        </w:rPr>
        <w:t>X</w:t>
      </w:r>
      <w:r>
        <w:rPr>
          <w:noProof/>
        </w:rPr>
        <w:tab/>
        <w:t>non prevede cofinanziamenti da terzi</w:t>
      </w:r>
    </w:p>
    <w:p>
      <w:pPr>
        <w:tabs>
          <w:tab w:val="num" w:pos="1134"/>
        </w:tabs>
        <w:ind w:left="1134" w:hanging="283"/>
        <w:rPr>
          <w:rFonts w:eastAsia="Times New Roman"/>
          <w:noProof/>
        </w:rPr>
      </w:pPr>
      <w:r>
        <w:rPr>
          <w:noProof/>
        </w:rPr>
        <w:sym w:font="Wingdings" w:char="F0A8"/>
      </w:r>
      <w:r>
        <w:rPr>
          <w:noProof/>
        </w:rPr>
        <w:tab/>
        <w:t>prevede il cofinanziamento da terzi indicato di seguito:</w:t>
      </w:r>
    </w:p>
    <w:p>
      <w:pPr>
        <w:jc w:val="right"/>
        <w:rPr>
          <w:noProof/>
          <w:sz w:val="20"/>
        </w:rPr>
      </w:pPr>
      <w:r>
        <w:rPr>
          <w:noProof/>
          <w:sz w:val="20"/>
        </w:rPr>
        <w:t>Stanziamenti in milioni di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r>
              <w:rPr>
                <w:rStyle w:val="FootnoteReference"/>
                <w:noProof/>
              </w:rPr>
              <w:footnoteReference w:id="20"/>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keepNext/>
        <w:outlineLvl w:val="1"/>
        <w:rPr>
          <w:b/>
          <w:noProof/>
        </w:rPr>
      </w:pPr>
      <w:r>
        <w:rPr>
          <w:noProof/>
        </w:rPr>
        <w:br w:type="page"/>
      </w:r>
      <w:r>
        <w:rPr>
          <w:b/>
          <w:noProof/>
        </w:rPr>
        <w:t>3.3.</w:t>
      </w:r>
      <w:r>
        <w:rPr>
          <w:b/>
          <w:noProof/>
        </w:rPr>
        <w:tab/>
        <w:t>Incidenza prevista sulle entrate</w:t>
      </w:r>
    </w:p>
    <w:p>
      <w:pPr>
        <w:tabs>
          <w:tab w:val="num" w:pos="1134"/>
        </w:tabs>
        <w:ind w:left="1134" w:hanging="283"/>
        <w:rPr>
          <w:rFonts w:eastAsia="Times New Roman"/>
          <w:noProof/>
        </w:rPr>
      </w:pPr>
      <w:r>
        <w:rPr>
          <w:noProof/>
        </w:rPr>
        <w:t>X</w:t>
      </w:r>
      <w:r>
        <w:rPr>
          <w:noProof/>
        </w:rPr>
        <w:tab/>
        <w:t>La proposta/iniziativa non ha incidenza finanziaria sulle entrate</w:t>
      </w:r>
    </w:p>
    <w:p>
      <w:pPr>
        <w:tabs>
          <w:tab w:val="num" w:pos="1134"/>
        </w:tabs>
        <w:ind w:left="1134" w:hanging="283"/>
        <w:rPr>
          <w:rFonts w:eastAsia="Times New Roman"/>
          <w:noProof/>
        </w:rPr>
      </w:pPr>
      <w:r>
        <w:rPr>
          <w:noProof/>
        </w:rPr>
        <w:sym w:font="Wingdings" w:char="F0A8"/>
      </w:r>
      <w:r>
        <w:rPr>
          <w:noProof/>
        </w:rPr>
        <w:tab/>
        <w:t>La proposta/iniziativa ha la seguente incidenza finanziaria:</w:t>
      </w:r>
    </w:p>
    <w:p>
      <w:pPr>
        <w:numPr>
          <w:ilvl w:val="2"/>
          <w:numId w:val="0"/>
        </w:numPr>
        <w:tabs>
          <w:tab w:val="num" w:pos="2126"/>
        </w:tabs>
        <w:ind w:left="2126" w:hanging="709"/>
        <w:rPr>
          <w:noProof/>
        </w:rPr>
      </w:pPr>
      <w:r>
        <w:rPr>
          <w:noProof/>
        </w:rPr>
        <w:sym w:font="Wingdings" w:char="F0A8"/>
      </w:r>
      <w:r>
        <w:rPr>
          <w:noProof/>
        </w:rPr>
        <w:tab/>
        <w:t>sulle risorse proprie</w:t>
      </w:r>
    </w:p>
    <w:p>
      <w:pPr>
        <w:numPr>
          <w:ilvl w:val="2"/>
          <w:numId w:val="0"/>
        </w:numPr>
        <w:tabs>
          <w:tab w:val="num" w:pos="2126"/>
        </w:tabs>
        <w:ind w:left="2126" w:hanging="709"/>
        <w:rPr>
          <w:rFonts w:eastAsia="Times New Roman"/>
          <w:noProof/>
        </w:rPr>
      </w:pPr>
      <w:r>
        <w:rPr>
          <w:noProof/>
        </w:rPr>
        <w:sym w:font="Wingdings" w:char="F0A8"/>
      </w:r>
      <w:r>
        <w:rPr>
          <w:noProof/>
        </w:rPr>
        <w:tab/>
        <w:t>su altre entrate</w:t>
      </w:r>
    </w:p>
    <w:p>
      <w:pPr>
        <w:numPr>
          <w:ilvl w:val="2"/>
          <w:numId w:val="0"/>
        </w:numPr>
        <w:tabs>
          <w:tab w:val="num" w:pos="2126"/>
        </w:tabs>
        <w:ind w:left="2126" w:hanging="709"/>
        <w:rPr>
          <w:rFonts w:eastAsia="Times New Roman"/>
          <w:noProof/>
        </w:rPr>
      </w:pPr>
      <w:r>
        <w:rPr>
          <w:noProof/>
        </w:rPr>
        <w:t>- indicare se le entrate sono destinate a linee di spesa specifiche </w:t>
      </w:r>
      <w:r>
        <w:rPr>
          <w:noProof/>
        </w:rPr>
        <w:sym w:font="Wingdings" w:char="F0A8"/>
      </w:r>
      <w:r>
        <w:rPr>
          <w:noProof/>
        </w:rPr>
        <w:tab/>
      </w:r>
    </w:p>
    <w:p>
      <w:pPr>
        <w:ind w:left="4320"/>
        <w:rPr>
          <w:i/>
          <w:noProof/>
          <w:sz w:val="20"/>
        </w:rPr>
      </w:pPr>
      <w:r>
        <w:rPr>
          <w:noProof/>
        </w:rPr>
        <w:t xml:space="preserve"> Milioni di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325" w:type="dxa"/>
            <w:vMerge w:val="restart"/>
            <w:vAlign w:val="center"/>
          </w:tcPr>
          <w:p>
            <w:pPr>
              <w:jc w:val="center"/>
              <w:rPr>
                <w:noProof/>
                <w:sz w:val="18"/>
              </w:rPr>
            </w:pPr>
            <w:r>
              <w:rPr>
                <w:noProof/>
                <w:sz w:val="18"/>
              </w:rPr>
              <w:t>Stanziamenti disponibili per l'esercizio in corso</w:t>
            </w:r>
          </w:p>
        </w:tc>
        <w:tc>
          <w:tcPr>
            <w:tcW w:w="7151" w:type="dxa"/>
            <w:gridSpan w:val="7"/>
            <w:vAlign w:val="center"/>
          </w:tcPr>
          <w:p>
            <w:pPr>
              <w:jc w:val="center"/>
              <w:rPr>
                <w:noProof/>
                <w:sz w:val="18"/>
              </w:rPr>
            </w:pPr>
            <w:r>
              <w:rPr>
                <w:noProof/>
                <w:sz w:val="18"/>
              </w:rPr>
              <w:t>Incidenza della proposta/iniziativa</w:t>
            </w:r>
            <w:r>
              <w:rPr>
                <w:rStyle w:val="FootnoteReference"/>
                <w:noProof/>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Per quanto riguarda le entrate con destinazione specifica, precisare la o le linee di spesa interessate</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Altre osservazioni (ad es. formula/metodo per calcolare l'incidenza sulle entrate o altre informazioni)</w:t>
      </w:r>
    </w:p>
    <w:p>
      <w:pPr>
        <w:pBdr>
          <w:top w:val="single" w:sz="4" w:space="1" w:color="auto"/>
          <w:left w:val="single" w:sz="4" w:space="4" w:color="auto"/>
          <w:bottom w:val="single" w:sz="4" w:space="1" w:color="auto"/>
          <w:right w:val="single" w:sz="4" w:space="4" w:color="auto"/>
        </w:pBdr>
        <w:ind w:left="850"/>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del Consiglio dell'8 luglio 2019 che autorizza l'avvio di negoziati con Repubblica islamica di Mauritania per la conclusione di un accordo di partenariato per una pesca sostenibile e di un protocollo di attuazione di tale accordo (ST 10231 2019 INIT).</w:t>
      </w:r>
    </w:p>
  </w:footnote>
  <w:footnote w:id="2">
    <w:p>
      <w:pPr>
        <w:pStyle w:val="FootnoteText"/>
      </w:pPr>
      <w:r>
        <w:rPr>
          <w:rStyle w:val="FootnoteReference"/>
        </w:rPr>
        <w:footnoteRef/>
      </w:r>
      <w:r>
        <w:tab/>
        <w:t>Con un superamento autorizzato massimo del 10 % senza incidenza sulla contropartita finanziaria versata dall'Unione europea per l'accesso.</w:t>
      </w:r>
    </w:p>
  </w:footnote>
  <w:footnote w:id="3">
    <w:p>
      <w:pPr>
        <w:pStyle w:val="FootnoteText"/>
      </w:pPr>
      <w:r>
        <w:rPr>
          <w:rStyle w:val="FootnoteReference"/>
        </w:rPr>
        <w:footnoteRef/>
      </w:r>
      <w:r>
        <w:tab/>
        <w:t>GU L 354 del 28.12.2013, pag. 22.</w:t>
      </w:r>
    </w:p>
  </w:footnote>
  <w:footnote w:id="4">
    <w:p>
      <w:pPr>
        <w:pStyle w:val="FootnoteText"/>
      </w:pPr>
      <w:r>
        <w:rPr>
          <w:rStyle w:val="FootnoteReference"/>
        </w:rPr>
        <w:footnoteRef/>
      </w:r>
      <w:r>
        <w:tab/>
        <w:t>Conformemente all'accordo interistituzionale sulla cooperazione in materia di bilancio (GU C 373 del 20.12.2013, pag. 1).</w:t>
      </w:r>
    </w:p>
  </w:footnote>
  <w:footnote w:id="5">
    <w:p>
      <w:pPr>
        <w:pStyle w:val="FootnoteText"/>
      </w:pPr>
      <w:r>
        <w:rPr>
          <w:rStyle w:val="FootnoteReference"/>
        </w:rPr>
        <w:footnoteRef/>
      </w:r>
      <w:r>
        <w:tab/>
        <w:t>GU L 343 dell'8.12.2006, pag. 4.</w:t>
      </w:r>
    </w:p>
  </w:footnote>
  <w:footnote w:id="6">
    <w:p>
      <w:pPr>
        <w:pStyle w:val="FootnoteText"/>
      </w:pPr>
      <w:r>
        <w:rPr>
          <w:rStyle w:val="FootnoteReference"/>
        </w:rPr>
        <w:footnoteRef/>
      </w:r>
      <w:r>
        <w:tab/>
        <w:t>Regolamento (CE) n. 1801/2006 del Consiglio, del 30 novembre 2006, relativo alla conclusione di un accordo di partenariato nel settore della pesca tra la Comunità europea e la Repubblica islamica di Mauritania (GU L 343 dell'8.12.2006, pag. 1).</w:t>
      </w:r>
    </w:p>
    <w:p>
      <w:pPr>
        <w:pStyle w:val="FootnoteText"/>
      </w:pPr>
    </w:p>
    <w:p>
      <w:pPr>
        <w:pStyle w:val="FootnoteText"/>
      </w:pPr>
    </w:p>
    <w:p>
      <w:pPr>
        <w:pStyle w:val="FootnoteText"/>
      </w:pPr>
    </w:p>
    <w:p>
      <w:pPr>
        <w:pStyle w:val="FootnoteText"/>
      </w:pPr>
    </w:p>
    <w:p>
      <w:pPr>
        <w:pStyle w:val="FootnoteText"/>
      </w:pPr>
    </w:p>
  </w:footnote>
  <w:footnote w:id="7">
    <w:p>
      <w:pPr>
        <w:pStyle w:val="FootnoteText"/>
        <w:rPr>
          <w:szCs w:val="24"/>
        </w:rPr>
      </w:pPr>
      <w:r>
        <w:rPr>
          <w:rStyle w:val="FootnoteReference"/>
        </w:rPr>
        <w:footnoteRef/>
      </w:r>
      <w:r>
        <w:tab/>
        <w:t>A norma dell'articolo 58, paragrafo 2, lettera a) o b), del regolamento finanziario.</w:t>
      </w:r>
    </w:p>
  </w:footnote>
  <w:footnote w:id="8">
    <w:p>
      <w:pPr>
        <w:pStyle w:val="FootnoteText"/>
        <w:jc w:val="left"/>
        <w:rPr>
          <w:szCs w:val="24"/>
          <w:lang w:val="fr-FR"/>
        </w:rPr>
      </w:pPr>
      <w:r>
        <w:rPr>
          <w:rStyle w:val="FootnoteReference"/>
        </w:rPr>
        <w:footnoteRef/>
      </w:r>
      <w:r>
        <w:tab/>
        <w:t xml:space="preserve">Le spiegazioni sulle modalità di gestione e i riferimenti al regolamento finanziario sono disponibili sul sito BudgWeb: </w:t>
      </w:r>
      <w:hyperlink r:id="rId1">
        <w:r>
          <w:rPr>
            <w:rStyle w:val="Hyperlink"/>
          </w:rPr>
          <w:t>https://myintracomm.ec.europa.eu/budgweb/FR/man/budgmanag/Pages/budgmanag.aspx</w:t>
        </w:r>
      </w:hyperlink>
    </w:p>
  </w:footnote>
  <w:footnote w:id="9">
    <w:p>
      <w:pPr>
        <w:pStyle w:val="FootnoteText"/>
        <w:rPr>
          <w:szCs w:val="24"/>
        </w:rPr>
      </w:pPr>
      <w:r>
        <w:rPr>
          <w:rStyle w:val="FootnoteReference"/>
        </w:rPr>
        <w:footnoteRef/>
      </w:r>
      <w:r>
        <w:tab/>
        <w:t>= stanziamenti dissociati / Non diss. = stanziamenti non dissociati.</w:t>
      </w:r>
    </w:p>
  </w:footnote>
  <w:footnote w:id="10">
    <w:p>
      <w:pPr>
        <w:pStyle w:val="FootnoteText"/>
        <w:rPr>
          <w:szCs w:val="24"/>
        </w:rPr>
      </w:pPr>
      <w:r>
        <w:rPr>
          <w:rStyle w:val="FootnoteReference"/>
        </w:rPr>
        <w:footnoteRef/>
      </w:r>
      <w:r>
        <w:tab/>
        <w:t>EFTA: Associazione europea di libero scambio.</w:t>
      </w:r>
    </w:p>
  </w:footnote>
  <w:footnote w:id="11">
    <w:p>
      <w:pPr>
        <w:pStyle w:val="FootnoteText"/>
        <w:rPr>
          <w:szCs w:val="24"/>
        </w:rPr>
      </w:pPr>
      <w:r>
        <w:rPr>
          <w:rStyle w:val="FootnoteReference"/>
        </w:rPr>
        <w:footnoteRef/>
      </w:r>
      <w:r>
        <w:tab/>
        <w:t>Paesi candidati e, se del caso, potenziali candidati dei Balcani occidentali.</w:t>
      </w:r>
    </w:p>
  </w:footnote>
  <w:footnote w:id="12">
    <w:p>
      <w:pPr>
        <w:pStyle w:val="FootnoteText"/>
        <w:rPr>
          <w:sz w:val="18"/>
          <w:szCs w:val="18"/>
        </w:rPr>
      </w:pPr>
      <w:r>
        <w:rPr>
          <w:rStyle w:val="FootnoteReference"/>
        </w:rPr>
        <w:footnoteRef/>
      </w:r>
      <w:r>
        <w:tab/>
      </w:r>
      <w:r>
        <w:rPr>
          <w:sz w:val="18"/>
        </w:rPr>
        <w:t>Secondo la nomenclatura di bilancio ufficiale.</w:t>
      </w:r>
    </w:p>
  </w:footnote>
  <w:footnote w:id="13">
    <w:p>
      <w:pPr>
        <w:pStyle w:val="FootnoteText"/>
        <w:rPr>
          <w:szCs w:val="24"/>
        </w:rPr>
      </w:pPr>
      <w:r>
        <w:rPr>
          <w:rStyle w:val="FootnoteReference"/>
        </w:rPr>
        <w:footnoteRef/>
      </w:r>
      <w:r>
        <w:tab/>
      </w:r>
      <w:r>
        <w:rPr>
          <w:sz w:val="18"/>
        </w:rPr>
        <w:t>Assistenza tecnica e/o amministrativa e spese di sostegno all'attuazione di programmi e/o azioni dell'UE (ex linee "BA"), ricerca indiretta, ricerca diretta.</w:t>
      </w:r>
    </w:p>
  </w:footnote>
  <w:footnote w:id="14">
    <w:p>
      <w:pPr>
        <w:pStyle w:val="FootnoteText"/>
        <w:rPr>
          <w:szCs w:val="24"/>
        </w:rPr>
      </w:pPr>
      <w:r>
        <w:rPr>
          <w:rStyle w:val="FootnoteReference"/>
        </w:rPr>
        <w:footnoteRef/>
      </w:r>
      <w:r>
        <w:tab/>
        <w:t>I risultati sono i prodotti e servizi da fornire (ad esempio: numero di scambi di studenti finanziati, numero di km di strade costruiti, ecc.).</w:t>
      </w:r>
    </w:p>
  </w:footnote>
  <w:footnote w:id="15">
    <w:p>
      <w:pPr>
        <w:pStyle w:val="FootnoteText"/>
        <w:rPr>
          <w:szCs w:val="24"/>
        </w:rPr>
      </w:pPr>
      <w:r>
        <w:rPr>
          <w:rStyle w:val="FootnoteReference"/>
        </w:rPr>
        <w:footnoteRef/>
      </w:r>
      <w:r>
        <w:tab/>
        <w:t>Come descritto nella sezione 1.4.2. "Obiettivo/obiettivi specifici…".</w:t>
      </w:r>
    </w:p>
  </w:footnote>
  <w:footnote w:id="16">
    <w:p>
      <w:pPr>
        <w:pStyle w:val="FootnoteText"/>
        <w:rPr>
          <w:sz w:val="18"/>
          <w:szCs w:val="18"/>
        </w:rPr>
      </w:pPr>
      <w:r>
        <w:rPr>
          <w:rStyle w:val="FootnoteReference"/>
        </w:rPr>
        <w:footnoteRef/>
      </w:r>
      <w:r>
        <w:tab/>
      </w:r>
      <w:r>
        <w:rPr>
          <w:sz w:val="18"/>
        </w:rPr>
        <w:t>L'anno N è l'anno in cui inizia a essere attuata la proposta/iniziativa. Sostituire "N" con il primo anno di attuazione previsto (ad es.: 2021) e così per gli anni a seguire.</w:t>
      </w:r>
    </w:p>
  </w:footnote>
  <w:footnote w:id="17">
    <w:p>
      <w:pPr>
        <w:pStyle w:val="FootnoteText"/>
        <w:rPr>
          <w:szCs w:val="24"/>
        </w:rPr>
      </w:pPr>
      <w:r>
        <w:rPr>
          <w:rStyle w:val="FootnoteReference"/>
        </w:rPr>
        <w:footnoteRef/>
      </w:r>
      <w:r>
        <w:tab/>
      </w:r>
      <w:r>
        <w:rPr>
          <w:sz w:val="18"/>
        </w:rPr>
        <w:t>Assistenza tecnica e/o amministrativa e spese di sostegno all'attuazione di programmi e/o azioni dell'UE (ex linee "BA"), ricerca indiretta, ricerca diretta.</w:t>
      </w:r>
    </w:p>
  </w:footnote>
  <w:footnote w:id="18">
    <w:p>
      <w:pPr>
        <w:pStyle w:val="FootnoteText"/>
        <w:rPr>
          <w:szCs w:val="24"/>
        </w:rPr>
      </w:pPr>
      <w:r>
        <w:rPr>
          <w:rStyle w:val="FootnoteReference"/>
        </w:rPr>
        <w:footnoteRef/>
      </w:r>
      <w:r>
        <w:tab/>
        <w:t>AC = agente contrattuale; AL = agente locale; END = esperto nazionale distaccato; INT = personale interinale (intérimaire); JPD = giovane professionista in delegazione.</w:t>
      </w:r>
    </w:p>
  </w:footnote>
  <w:footnote w:id="19">
    <w:p>
      <w:pPr>
        <w:pStyle w:val="FootnoteText"/>
        <w:rPr>
          <w:szCs w:val="24"/>
        </w:rPr>
      </w:pPr>
      <w:r>
        <w:rPr>
          <w:rStyle w:val="FootnoteReference"/>
        </w:rPr>
        <w:footnoteRef/>
      </w:r>
      <w:r>
        <w:tab/>
        <w:t>Sottomassimale per il personale esterno previsto dagli stanziamenti operativi (ex linee "BA").</w:t>
      </w:r>
    </w:p>
  </w:footnote>
  <w:footnote w:id="20">
    <w:p>
      <w:pPr>
        <w:pStyle w:val="FootnoteText"/>
      </w:pPr>
      <w:r>
        <w:rPr>
          <w:rStyle w:val="FootnoteReference"/>
        </w:rPr>
        <w:footnoteRef/>
      </w:r>
      <w:r>
        <w:tab/>
        <w:t>L'anno N è l'anno in cui inizia a essere attuata la proposta/iniziativa. Sostituire "N" con il primo anno di attuazione previsto (ad es.: 2021) e così per gli anni a seguire.</w:t>
      </w:r>
    </w:p>
  </w:footnote>
  <w:footnote w:id="21">
    <w:p>
      <w:pPr>
        <w:pStyle w:val="FootnoteText"/>
        <w:rPr>
          <w:szCs w:val="24"/>
        </w:rPr>
      </w:pPr>
      <w:r>
        <w:rPr>
          <w:rStyle w:val="FootnoteReference"/>
        </w:rPr>
        <w:footnoteRef/>
      </w:r>
      <w:r>
        <w:tab/>
        <w:t>Per le risorse proprie tradizionali (dazi doganali, contributi zucchero), indicare gli importi netti, cioè gli importi lordi al netto del 20 %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24"/>
  </w:num>
  <w:num w:numId="17">
    <w:abstractNumId w:val="15"/>
  </w:num>
  <w:num w:numId="18">
    <w:abstractNumId w:val="26"/>
  </w:num>
  <w:num w:numId="19">
    <w:abstractNumId w:val="10"/>
  </w:num>
  <w:num w:numId="20">
    <w:abstractNumId w:val="16"/>
  </w:num>
  <w:num w:numId="21">
    <w:abstractNumId w:val="8"/>
  </w:num>
  <w:num w:numId="22">
    <w:abstractNumId w:val="25"/>
  </w:num>
  <w:num w:numId="23">
    <w:abstractNumId w:val="7"/>
  </w:num>
  <w:num w:numId="24">
    <w:abstractNumId w:val="17"/>
  </w:num>
  <w:num w:numId="25">
    <w:abstractNumId w:val="22"/>
  </w:num>
  <w:num w:numId="26">
    <w:abstractNumId w:val="23"/>
  </w:num>
  <w:num w:numId="27">
    <w:abstractNumId w:val="9"/>
  </w:num>
  <w:num w:numId="28">
    <w:abstractNumId w:val="21"/>
  </w:num>
  <w:num w:numId="29">
    <w:abstractNumId w:val="28"/>
  </w:num>
  <w:num w:numId="30">
    <w:abstractNumId w:val="24"/>
  </w:num>
  <w:num w:numId="31">
    <w:abstractNumId w:val="15"/>
  </w:num>
  <w:num w:numId="32">
    <w:abstractNumId w:val="26"/>
  </w:num>
  <w:num w:numId="33">
    <w:abstractNumId w:val="10"/>
  </w:num>
  <w:num w:numId="34">
    <w:abstractNumId w:val="16"/>
  </w:num>
  <w:num w:numId="35">
    <w:abstractNumId w:val="8"/>
  </w:num>
  <w:num w:numId="36">
    <w:abstractNumId w:val="25"/>
  </w:num>
  <w:num w:numId="37">
    <w:abstractNumId w:val="7"/>
  </w:num>
  <w:num w:numId="38">
    <w:abstractNumId w:val="17"/>
  </w:num>
  <w:num w:numId="39">
    <w:abstractNumId w:val="22"/>
  </w:num>
  <w:num w:numId="40">
    <w:abstractNumId w:val="23"/>
  </w:num>
  <w:num w:numId="41">
    <w:abstractNumId w:val="9"/>
  </w:num>
  <w:num w:numId="42">
    <w:abstractNumId w:val="21"/>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revisionView w:markup="0"/>
  <w:defaultTabStop w:val="720"/>
  <w:hyphenationZone w:val="425"/>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1 12:02: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9"/>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244DDA-4CD5-455F-A908-CFE381643EED"/>
    <w:docVar w:name="LW_COVERPAGE_TYPE" w:val="1"/>
    <w:docVar w:name="LW_CROSSREFERENCE" w:val="&lt;UNUSED&gt;"/>
    <w:docVar w:name="LW_DocType" w:val="COM"/>
    <w:docVar w:name="LW_EMISSION" w:val="1.10.2019"/>
    <w:docVar w:name="LW_EMISSION_ISODATE" w:val="2019-10-0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09"/>
    <w:docVar w:name="LW_REF.II.NEW.CP_YEAR" w:val="2019"/>
    <w:docVar w:name="LW_REF.INST.NEW" w:val="COM"/>
    <w:docVar w:name="LW_REF.INST.NEW_ADOPTED" w:val="final"/>
    <w:docVar w:name="LW_REF.INST.NEW_TEXT" w:val="(2019) 4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firma, a nome dell'Unione europea, e all'applicazione provvisoria dell'accordo in forma di scambio di lettere fra l'Unione europea e la Repubblica islamica di Mauritania relativo alla proroga del protocollo che fissa le possibilità di pesca e la contropartita finanziaria previste dall'accordo di partenariato nel settore della pesca tra la Comunità europea e la Repubblica islamica di Mauritania, _x000b_in scadenza il 15 novembre 2019"/>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it-I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it-IT"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it-IT" w:eastAsia="fr-FR" w:bidi="fr-FR"/>
    </w:rPr>
  </w:style>
  <w:style w:type="paragraph" w:customStyle="1" w:styleId="Normal1">
    <w:name w:val="Normal1"/>
    <w:basedOn w:val="Normal"/>
    <w:pPr>
      <w:spacing w:after="0"/>
    </w:pPr>
    <w:rPr>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it-I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it-IT"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it-IT" w:eastAsia="fr-FR" w:bidi="fr-FR"/>
    </w:rPr>
  </w:style>
  <w:style w:type="paragraph" w:customStyle="1" w:styleId="Normal1">
    <w:name w:val="Normal1"/>
    <w:basedOn w:val="Normal"/>
    <w:pPr>
      <w:spacing w:after="0"/>
    </w:pPr>
    <w:rPr>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0099">
      <w:bodyDiv w:val="1"/>
      <w:marLeft w:val="0"/>
      <w:marRight w:val="0"/>
      <w:marTop w:val="0"/>
      <w:marBottom w:val="0"/>
      <w:divBdr>
        <w:top w:val="none" w:sz="0" w:space="0" w:color="auto"/>
        <w:left w:val="none" w:sz="0" w:space="0" w:color="auto"/>
        <w:bottom w:val="none" w:sz="0" w:space="0" w:color="auto"/>
        <w:right w:val="none" w:sz="0" w:space="0" w:color="auto"/>
      </w:divBdr>
    </w:div>
    <w:div w:id="833842933">
      <w:bodyDiv w:val="1"/>
      <w:marLeft w:val="0"/>
      <w:marRight w:val="0"/>
      <w:marTop w:val="0"/>
      <w:marBottom w:val="0"/>
      <w:divBdr>
        <w:top w:val="none" w:sz="0" w:space="0" w:color="auto"/>
        <w:left w:val="none" w:sz="0" w:space="0" w:color="auto"/>
        <w:bottom w:val="none" w:sz="0" w:space="0" w:color="auto"/>
        <w:right w:val="none" w:sz="0" w:space="0" w:color="auto"/>
      </w:divBdr>
    </w:div>
    <w:div w:id="984352912">
      <w:bodyDiv w:val="1"/>
      <w:marLeft w:val="0"/>
      <w:marRight w:val="0"/>
      <w:marTop w:val="0"/>
      <w:marBottom w:val="0"/>
      <w:divBdr>
        <w:top w:val="none" w:sz="0" w:space="0" w:color="auto"/>
        <w:left w:val="none" w:sz="0" w:space="0" w:color="auto"/>
        <w:bottom w:val="none" w:sz="0" w:space="0" w:color="auto"/>
        <w:right w:val="none" w:sz="0" w:space="0" w:color="auto"/>
      </w:divBdr>
    </w:div>
    <w:div w:id="1484661947">
      <w:bodyDiv w:val="1"/>
      <w:marLeft w:val="0"/>
      <w:marRight w:val="0"/>
      <w:marTop w:val="0"/>
      <w:marBottom w:val="0"/>
      <w:divBdr>
        <w:top w:val="none" w:sz="0" w:space="0" w:color="auto"/>
        <w:left w:val="none" w:sz="0" w:space="0" w:color="auto"/>
        <w:bottom w:val="none" w:sz="0" w:space="0" w:color="auto"/>
        <w:right w:val="none" w:sz="0" w:space="0" w:color="auto"/>
      </w:divBdr>
    </w:div>
    <w:div w:id="1848906213">
      <w:bodyDiv w:val="1"/>
      <w:marLeft w:val="0"/>
      <w:marRight w:val="0"/>
      <w:marTop w:val="0"/>
      <w:marBottom w:val="0"/>
      <w:divBdr>
        <w:top w:val="none" w:sz="0" w:space="0" w:color="auto"/>
        <w:left w:val="none" w:sz="0" w:space="0" w:color="auto"/>
        <w:bottom w:val="none" w:sz="0" w:space="0" w:color="auto"/>
        <w:right w:val="none" w:sz="0" w:space="0" w:color="auto"/>
      </w:divBdr>
    </w:div>
    <w:div w:id="20811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FR/leg/internal/Documents/2016-5-legislative-financial-statement-ann-fr.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9FB2-5B66-4A3A-8594-8D036085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5078</Words>
  <Characters>30015</Characters>
  <Application>Microsoft Office Word</Application>
  <DocSecurity>0</DocSecurity>
  <Lines>1250</Lines>
  <Paragraphs>516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2019-09-06T09:31:00Z</cp:lastPrinted>
  <dcterms:created xsi:type="dcterms:W3CDTF">2019-09-30T15:03:00Z</dcterms:created>
  <dcterms:modified xsi:type="dcterms:W3CDTF">2019-10-01T10:02:00Z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