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harts/colors1.xml" ContentType="application/vnd.ms-office.chartcolorstyle+xml"/>
  <Override PartName="/word/charts/style1.xml" ContentType="application/vnd.ms-office.chartstyle+xml"/>
  <Override PartName="/word/charts/colors2.xml" ContentType="application/vnd.ms-office.chartcolorstyle+xml"/>
  <Override PartName="/word/charts/style2.xml" ContentType="application/vnd.ms-office.chartstyle+xml"/>
  <Override PartName="/word/charts/colors3.xml" ContentType="application/vnd.ms-office.chartcolorstyle+xml"/>
  <Override PartName="/word/charts/style3.xml" ContentType="application/vnd.ms-office.chartsty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3" type="#_x0000_t75" alt="8EDF18C3-A407-4BB1-AD74-45BAFDC7C030" style="width:450.75pt;height:351.75pt">
            <v:imagedata r:id="rId9" o:title=""/>
          </v:shape>
        </w:pict>
      </w:r>
    </w:p>
    <w:p>
      <w:pPr>
        <w:rPr>
          <w:noProof/>
        </w:rPr>
        <w:sectPr>
          <w:footerReference w:type="default" r:id="rId10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pStyle w:val="Exposdesmotifstitre"/>
        <w:rPr>
          <w:noProof/>
        </w:rPr>
      </w:pPr>
      <w:bookmarkStart w:id="0" w:name="_GoBack"/>
      <w:bookmarkEnd w:id="0"/>
      <w:r>
        <w:rPr>
          <w:noProof/>
        </w:rPr>
        <w:lastRenderedPageBreak/>
        <w:t>UZASADNIENIE</w:t>
      </w:r>
    </w:p>
    <w:p>
      <w:pPr>
        <w:pStyle w:val="ManualHeading1"/>
        <w:rPr>
          <w:noProof/>
        </w:rPr>
      </w:pPr>
      <w:r>
        <w:rPr>
          <w:noProof/>
        </w:rPr>
        <w:t>KONTEKST WNIOSKU</w:t>
      </w:r>
    </w:p>
    <w:p>
      <w:pPr>
        <w:pStyle w:val="ManualNumPar1"/>
        <w:rPr>
          <w:noProof/>
        </w:rPr>
      </w:pPr>
      <w:r>
        <w:t>1.</w:t>
      </w:r>
      <w:r>
        <w:tab/>
      </w:r>
      <w:r>
        <w:rPr>
          <w:noProof/>
        </w:rPr>
        <w:t>Zasady mające zastosowanie do wkładów finansowych z Europejskiego Funduszu Dostosowania do Globalizacji (EFG) określono w rozporządzeniu Parlamentu Europejskiego i Rady (UE) nr 1309/2013 z dnia 17 grudnia 2013 r. w sprawie Europejskiego Funduszu Dostosowania do Globalizacji (2014–2020) i uchylenia rozporządzenia (WE) nr 1927/2006</w:t>
      </w:r>
      <w:r>
        <w:rPr>
          <w:rStyle w:val="FootnoteReference"/>
          <w:noProof/>
        </w:rPr>
        <w:footnoteReference w:id="1"/>
      </w:r>
      <w:r>
        <w:rPr>
          <w:noProof/>
        </w:rPr>
        <w:t xml:space="preserve"> („rozporządzenie w sprawie EFG”).</w:t>
      </w:r>
    </w:p>
    <w:p>
      <w:pPr>
        <w:pStyle w:val="ManualNumPar1"/>
        <w:rPr>
          <w:noProof/>
        </w:rPr>
      </w:pPr>
      <w:r>
        <w:t>2.</w:t>
      </w:r>
      <w:r>
        <w:tab/>
      </w:r>
      <w:r>
        <w:rPr>
          <w:noProof/>
        </w:rPr>
        <w:t>W dniu 20 czerwca 2019 r. Belgia złożyła wniosek EGF/2019/001 BE/Carrefour dotyczący wkładu finansowego z EFG w związku ze zwolnieniami pracowników</w:t>
      </w:r>
      <w:r>
        <w:rPr>
          <w:rStyle w:val="FootnoteReference"/>
          <w:noProof/>
        </w:rPr>
        <w:footnoteReference w:id="2"/>
      </w:r>
      <w:r>
        <w:rPr>
          <w:noProof/>
        </w:rPr>
        <w:t>, które dotknęły przedsiębiorstwo Carrefour Belgique SA w Belgii.</w:t>
      </w:r>
    </w:p>
    <w:p>
      <w:pPr>
        <w:pStyle w:val="ManualNumPar1"/>
        <w:rPr>
          <w:noProof/>
        </w:rPr>
      </w:pPr>
      <w:r>
        <w:t>3.</w:t>
      </w:r>
      <w:r>
        <w:tab/>
      </w:r>
      <w:r>
        <w:rPr>
          <w:noProof/>
        </w:rPr>
        <w:t>Po przeanalizowaniu wniosku Komisja uznała, zgodnie ze wszystkimi właściwymi przepisami rozporządzenia w sprawie EFG, że warunki przyznania wkładu finansowego z EFG zostały spełnione.</w:t>
      </w:r>
    </w:p>
    <w:p>
      <w:pPr>
        <w:pStyle w:val="ManualHeading1"/>
        <w:rPr>
          <w:noProof/>
        </w:rPr>
      </w:pPr>
      <w:r>
        <w:rPr>
          <w:noProof/>
        </w:rPr>
        <w:t>STRESZCZENIE WNIOSKU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6"/>
        <w:gridCol w:w="4423"/>
      </w:tblGrid>
      <w:tr>
        <w:tc>
          <w:tcPr>
            <w:tcW w:w="4866" w:type="dxa"/>
            <w:shd w:val="clear" w:color="auto" w:fill="auto"/>
          </w:tcPr>
          <w:p>
            <w:pPr>
              <w:spacing w:before="60" w:after="60"/>
              <w:jc w:val="left"/>
              <w:rPr>
                <w:rFonts w:eastAsia="Calibri"/>
                <w:noProof/>
              </w:rPr>
            </w:pPr>
            <w:r>
              <w:rPr>
                <w:noProof/>
              </w:rPr>
              <w:t>Wniosek EFG</w:t>
            </w:r>
          </w:p>
        </w:tc>
        <w:tc>
          <w:tcPr>
            <w:tcW w:w="4423" w:type="dxa"/>
            <w:shd w:val="clear" w:color="auto" w:fill="auto"/>
          </w:tcPr>
          <w:p>
            <w:pPr>
              <w:spacing w:before="60" w:after="60"/>
              <w:ind w:rightChars="192" w:right="461"/>
              <w:jc w:val="left"/>
              <w:rPr>
                <w:rFonts w:eastAsia="Calibri"/>
                <w:noProof/>
              </w:rPr>
            </w:pPr>
            <w:r>
              <w:rPr>
                <w:noProof/>
              </w:rPr>
              <w:t>EGF/2019/001 BE/Carrefour</w:t>
            </w:r>
          </w:p>
        </w:tc>
      </w:tr>
      <w:tr>
        <w:tc>
          <w:tcPr>
            <w:tcW w:w="4866" w:type="dxa"/>
            <w:shd w:val="clear" w:color="auto" w:fill="auto"/>
          </w:tcPr>
          <w:p>
            <w:pPr>
              <w:spacing w:before="60" w:after="60"/>
              <w:jc w:val="left"/>
              <w:rPr>
                <w:rFonts w:eastAsia="Calibri"/>
                <w:noProof/>
              </w:rPr>
            </w:pPr>
            <w:r>
              <w:rPr>
                <w:noProof/>
              </w:rPr>
              <w:t>Państwo członkowskie</w:t>
            </w:r>
          </w:p>
        </w:tc>
        <w:tc>
          <w:tcPr>
            <w:tcW w:w="4423" w:type="dxa"/>
            <w:shd w:val="clear" w:color="auto" w:fill="auto"/>
          </w:tcPr>
          <w:p>
            <w:pPr>
              <w:spacing w:before="60" w:after="60"/>
              <w:ind w:rightChars="192" w:right="461"/>
              <w:jc w:val="left"/>
              <w:rPr>
                <w:rFonts w:eastAsia="Calibri"/>
                <w:noProof/>
              </w:rPr>
            </w:pPr>
            <w:r>
              <w:rPr>
                <w:noProof/>
              </w:rPr>
              <w:t>Belgia</w:t>
            </w:r>
          </w:p>
        </w:tc>
      </w:tr>
      <w:tr>
        <w:tc>
          <w:tcPr>
            <w:tcW w:w="4866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spacing w:before="60" w:after="60"/>
              <w:jc w:val="left"/>
              <w:rPr>
                <w:rFonts w:eastAsia="Calibri"/>
                <w:noProof/>
              </w:rPr>
            </w:pPr>
            <w:r>
              <w:rPr>
                <w:noProof/>
              </w:rPr>
              <w:t>Regiony, których dotyczy wniosek (poziom NUTS 2</w:t>
            </w:r>
            <w:r>
              <w:rPr>
                <w:rStyle w:val="FootnoteReference"/>
                <w:noProof/>
              </w:rPr>
              <w:footnoteReference w:id="3"/>
            </w:r>
            <w:r>
              <w:rPr>
                <w:noProof/>
              </w:rPr>
              <w:t>)</w:t>
            </w:r>
          </w:p>
        </w:tc>
        <w:tc>
          <w:tcPr>
            <w:tcW w:w="4423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spacing w:before="0" w:after="0"/>
              <w:ind w:rightChars="192" w:right="461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Zwolnienia dotyczą całej Belgii</w:t>
            </w:r>
          </w:p>
        </w:tc>
      </w:tr>
      <w:tr>
        <w:tc>
          <w:tcPr>
            <w:tcW w:w="4866" w:type="dxa"/>
            <w:tcBorders>
              <w:bottom w:val="dotted" w:sz="4" w:space="0" w:color="auto"/>
            </w:tcBorders>
            <w:shd w:val="clear" w:color="auto" w:fill="auto"/>
          </w:tcPr>
          <w:p>
            <w:pPr>
              <w:spacing w:before="60" w:after="60"/>
              <w:jc w:val="left"/>
              <w:rPr>
                <w:rFonts w:eastAsia="Calibri"/>
                <w:noProof/>
              </w:rPr>
            </w:pPr>
            <w:r>
              <w:rPr>
                <w:noProof/>
              </w:rPr>
              <w:t>Data złożenia wniosku</w:t>
            </w:r>
          </w:p>
        </w:tc>
        <w:tc>
          <w:tcPr>
            <w:tcW w:w="4423" w:type="dxa"/>
            <w:tcBorders>
              <w:bottom w:val="dotted" w:sz="4" w:space="0" w:color="auto"/>
            </w:tcBorders>
            <w:shd w:val="clear" w:color="auto" w:fill="auto"/>
          </w:tcPr>
          <w:p>
            <w:pPr>
              <w:spacing w:before="60" w:after="60"/>
              <w:ind w:rightChars="192" w:right="461"/>
              <w:jc w:val="left"/>
              <w:rPr>
                <w:rFonts w:eastAsia="Calibri"/>
                <w:noProof/>
              </w:rPr>
            </w:pPr>
            <w:r>
              <w:rPr>
                <w:noProof/>
              </w:rPr>
              <w:t>20 czerwca 2019 r.</w:t>
            </w:r>
          </w:p>
        </w:tc>
      </w:tr>
      <w:tr>
        <w:tc>
          <w:tcPr>
            <w:tcW w:w="48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>
            <w:pPr>
              <w:spacing w:before="60" w:after="60"/>
              <w:jc w:val="left"/>
              <w:rPr>
                <w:rFonts w:eastAsia="Calibri"/>
                <w:noProof/>
              </w:rPr>
            </w:pPr>
            <w:r>
              <w:rPr>
                <w:noProof/>
              </w:rPr>
              <w:t>Data potwierdzenia przyjęcia wniosku</w:t>
            </w:r>
          </w:p>
        </w:tc>
        <w:tc>
          <w:tcPr>
            <w:tcW w:w="442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>
            <w:pPr>
              <w:spacing w:before="60" w:after="60"/>
              <w:ind w:rightChars="192" w:right="461"/>
              <w:jc w:val="left"/>
              <w:rPr>
                <w:rFonts w:eastAsia="Calibri"/>
                <w:noProof/>
              </w:rPr>
            </w:pPr>
            <w:r>
              <w:rPr>
                <w:noProof/>
              </w:rPr>
              <w:t>20 czerwca 2019 r.</w:t>
            </w:r>
          </w:p>
        </w:tc>
      </w:tr>
      <w:tr>
        <w:tc>
          <w:tcPr>
            <w:tcW w:w="48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>
            <w:pPr>
              <w:spacing w:before="60" w:after="60"/>
              <w:jc w:val="left"/>
              <w:rPr>
                <w:rFonts w:eastAsia="Calibri"/>
                <w:noProof/>
              </w:rPr>
            </w:pPr>
            <w:r>
              <w:rPr>
                <w:noProof/>
              </w:rPr>
              <w:t>Data wniosku o dodatkowe informacje</w:t>
            </w:r>
          </w:p>
        </w:tc>
        <w:tc>
          <w:tcPr>
            <w:tcW w:w="442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>
            <w:pPr>
              <w:spacing w:before="60" w:after="60"/>
              <w:ind w:rightChars="192" w:right="461"/>
              <w:jc w:val="left"/>
              <w:rPr>
                <w:rFonts w:eastAsia="Calibri"/>
                <w:noProof/>
              </w:rPr>
            </w:pPr>
            <w:r>
              <w:rPr>
                <w:noProof/>
              </w:rPr>
              <w:t>4 lipca 2019 r.</w:t>
            </w:r>
          </w:p>
        </w:tc>
      </w:tr>
      <w:tr>
        <w:tc>
          <w:tcPr>
            <w:tcW w:w="48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>
            <w:pPr>
              <w:spacing w:before="60" w:after="60"/>
              <w:jc w:val="left"/>
              <w:rPr>
                <w:rFonts w:eastAsia="Calibri"/>
                <w:noProof/>
              </w:rPr>
            </w:pPr>
            <w:r>
              <w:rPr>
                <w:noProof/>
              </w:rPr>
              <w:t>Termin przekazania dodatkowych informacji</w:t>
            </w:r>
          </w:p>
        </w:tc>
        <w:tc>
          <w:tcPr>
            <w:tcW w:w="442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>
            <w:pPr>
              <w:spacing w:before="60" w:after="60"/>
              <w:ind w:rightChars="192" w:right="461"/>
              <w:jc w:val="left"/>
              <w:rPr>
                <w:rFonts w:eastAsia="Calibri"/>
                <w:noProof/>
              </w:rPr>
            </w:pPr>
            <w:r>
              <w:rPr>
                <w:noProof/>
              </w:rPr>
              <w:t>15 sierpnia 2019 r.</w:t>
            </w:r>
          </w:p>
        </w:tc>
      </w:tr>
      <w:tr>
        <w:tc>
          <w:tcPr>
            <w:tcW w:w="4866" w:type="dxa"/>
            <w:tcBorders>
              <w:top w:val="dotted" w:sz="4" w:space="0" w:color="auto"/>
            </w:tcBorders>
            <w:shd w:val="clear" w:color="auto" w:fill="auto"/>
          </w:tcPr>
          <w:p>
            <w:pPr>
              <w:spacing w:before="60" w:after="60"/>
              <w:jc w:val="left"/>
              <w:rPr>
                <w:rFonts w:eastAsia="Calibri"/>
                <w:noProof/>
              </w:rPr>
            </w:pPr>
            <w:r>
              <w:rPr>
                <w:noProof/>
              </w:rPr>
              <w:t>Termin przeprowadzenia oceny</w:t>
            </w:r>
          </w:p>
        </w:tc>
        <w:tc>
          <w:tcPr>
            <w:tcW w:w="4423" w:type="dxa"/>
            <w:tcBorders>
              <w:top w:val="dotted" w:sz="4" w:space="0" w:color="auto"/>
            </w:tcBorders>
            <w:shd w:val="clear" w:color="auto" w:fill="auto"/>
          </w:tcPr>
          <w:p>
            <w:pPr>
              <w:spacing w:before="60" w:after="60"/>
              <w:ind w:rightChars="192" w:right="461"/>
              <w:jc w:val="left"/>
              <w:rPr>
                <w:rFonts w:eastAsia="Calibri"/>
                <w:noProof/>
              </w:rPr>
            </w:pPr>
            <w:r>
              <w:rPr>
                <w:noProof/>
              </w:rPr>
              <w:t>7 listopada 2019 r.</w:t>
            </w:r>
          </w:p>
        </w:tc>
      </w:tr>
      <w:tr>
        <w:tc>
          <w:tcPr>
            <w:tcW w:w="4866" w:type="dxa"/>
            <w:shd w:val="clear" w:color="auto" w:fill="auto"/>
          </w:tcPr>
          <w:p>
            <w:pPr>
              <w:spacing w:before="60" w:after="60"/>
              <w:jc w:val="left"/>
              <w:rPr>
                <w:rFonts w:eastAsia="Calibri"/>
                <w:noProof/>
              </w:rPr>
            </w:pPr>
            <w:r>
              <w:rPr>
                <w:noProof/>
              </w:rPr>
              <w:t>Kryteria interwencji</w:t>
            </w:r>
          </w:p>
        </w:tc>
        <w:tc>
          <w:tcPr>
            <w:tcW w:w="4423" w:type="dxa"/>
            <w:shd w:val="clear" w:color="auto" w:fill="auto"/>
          </w:tcPr>
          <w:p>
            <w:pPr>
              <w:spacing w:before="60" w:after="60"/>
              <w:ind w:rightChars="192" w:right="461"/>
              <w:jc w:val="left"/>
              <w:rPr>
                <w:rFonts w:eastAsia="Calibri"/>
                <w:noProof/>
              </w:rPr>
            </w:pPr>
            <w:r>
              <w:rPr>
                <w:noProof/>
              </w:rPr>
              <w:t>Art. 4 ust. 1 lit. a) rozporządzenia w sprawie EFG</w:t>
            </w:r>
          </w:p>
        </w:tc>
      </w:tr>
      <w:tr>
        <w:tc>
          <w:tcPr>
            <w:tcW w:w="48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before="60" w:after="60"/>
              <w:jc w:val="left"/>
              <w:rPr>
                <w:rFonts w:eastAsia="Calibri"/>
                <w:noProof/>
              </w:rPr>
            </w:pPr>
            <w:r>
              <w:rPr>
                <w:noProof/>
              </w:rPr>
              <w:br w:type="page"/>
              <w:t>Główne przedsiębiorstwo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>
            <w:pPr>
              <w:spacing w:before="60" w:after="60"/>
              <w:ind w:rightChars="192" w:right="461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 xml:space="preserve">Carrefour Belgique SA </w:t>
            </w:r>
          </w:p>
        </w:tc>
      </w:tr>
      <w:tr>
        <w:tc>
          <w:tcPr>
            <w:tcW w:w="48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before="60" w:after="60"/>
              <w:jc w:val="left"/>
              <w:rPr>
                <w:rFonts w:eastAsia="Calibri"/>
                <w:noProof/>
              </w:rPr>
            </w:pPr>
            <w:r>
              <w:rPr>
                <w:noProof/>
              </w:rPr>
              <w:br w:type="page"/>
              <w:t>Liczba przedsiębiorstw, których dotyczy wniosek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>
            <w:pPr>
              <w:spacing w:before="60" w:after="60"/>
              <w:ind w:rightChars="192" w:right="461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1</w:t>
            </w:r>
          </w:p>
        </w:tc>
      </w:tr>
      <w:tr>
        <w:tc>
          <w:tcPr>
            <w:tcW w:w="4866" w:type="dxa"/>
            <w:shd w:val="clear" w:color="auto" w:fill="auto"/>
          </w:tcPr>
          <w:p>
            <w:pPr>
              <w:spacing w:before="60" w:after="60"/>
              <w:jc w:val="left"/>
              <w:rPr>
                <w:rFonts w:eastAsia="Calibri"/>
                <w:noProof/>
              </w:rPr>
            </w:pPr>
            <w:r>
              <w:rPr>
                <w:noProof/>
              </w:rPr>
              <w:t>Sektor działalności gospodarczej</w:t>
            </w:r>
          </w:p>
          <w:p>
            <w:pPr>
              <w:spacing w:before="60" w:after="60"/>
              <w:jc w:val="left"/>
              <w:rPr>
                <w:rFonts w:eastAsia="Calibri"/>
                <w:noProof/>
              </w:rPr>
            </w:pPr>
            <w:r>
              <w:rPr>
                <w:noProof/>
              </w:rPr>
              <w:t>(Dział według klasyfikacji NACE Rev. 2)</w:t>
            </w:r>
            <w:r>
              <w:rPr>
                <w:rStyle w:val="FootnoteReference"/>
                <w:noProof/>
              </w:rPr>
              <w:footnoteReference w:id="4"/>
            </w:r>
          </w:p>
        </w:tc>
        <w:tc>
          <w:tcPr>
            <w:tcW w:w="4423" w:type="dxa"/>
            <w:shd w:val="clear" w:color="auto" w:fill="auto"/>
          </w:tcPr>
          <w:p>
            <w:pPr>
              <w:spacing w:before="60" w:after="60"/>
              <w:ind w:rightChars="192" w:right="461"/>
              <w:jc w:val="left"/>
              <w:rPr>
                <w:rFonts w:eastAsia="Calibri"/>
                <w:noProof/>
              </w:rPr>
            </w:pPr>
            <w:r>
              <w:rPr>
                <w:noProof/>
              </w:rPr>
              <w:t>Dział 47 – Handel detaliczny, z wyłączeniem handlu pojazdami samochodowymi i motocyklami</w:t>
            </w:r>
          </w:p>
        </w:tc>
      </w:tr>
      <w:tr>
        <w:tc>
          <w:tcPr>
            <w:tcW w:w="4866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spacing w:before="60" w:after="60"/>
              <w:jc w:val="left"/>
              <w:rPr>
                <w:rFonts w:eastAsia="Calibri"/>
                <w:noProof/>
              </w:rPr>
            </w:pPr>
            <w:r>
              <w:rPr>
                <w:noProof/>
              </w:rPr>
              <w:t>Okres odniesienia (cztery miesiące):</w:t>
            </w:r>
          </w:p>
        </w:tc>
        <w:tc>
          <w:tcPr>
            <w:tcW w:w="4423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spacing w:before="60" w:after="60"/>
              <w:ind w:rightChars="192" w:right="461"/>
              <w:jc w:val="left"/>
              <w:rPr>
                <w:rFonts w:eastAsia="Calibri"/>
                <w:noProof/>
              </w:rPr>
            </w:pPr>
            <w:r>
              <w:rPr>
                <w:noProof/>
              </w:rPr>
              <w:t>30 listopada 2018 r. – 30 marca 2019 r.</w:t>
            </w:r>
          </w:p>
        </w:tc>
      </w:tr>
    </w:tbl>
    <w:p>
      <w:pPr>
        <w:rPr>
          <w:noProof/>
        </w:rPr>
      </w:pPr>
      <w:r>
        <w:rPr>
          <w:noProof/>
        </w:rPr>
        <w:lastRenderedPageBreak/>
        <w:br w:type="page"/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6"/>
        <w:gridCol w:w="1637"/>
        <w:gridCol w:w="2786"/>
      </w:tblGrid>
      <w:tr>
        <w:tc>
          <w:tcPr>
            <w:tcW w:w="4866" w:type="dxa"/>
            <w:tcBorders>
              <w:bottom w:val="dotted" w:sz="4" w:space="0" w:color="auto"/>
            </w:tcBorders>
            <w:shd w:val="clear" w:color="auto" w:fill="auto"/>
          </w:tcPr>
          <w:p>
            <w:pPr>
              <w:spacing w:before="60" w:after="60"/>
              <w:jc w:val="left"/>
              <w:rPr>
                <w:rFonts w:eastAsia="Calibri"/>
                <w:noProof/>
                <w:highlight w:val="magenta"/>
              </w:rPr>
            </w:pPr>
            <w:r>
              <w:rPr>
                <w:noProof/>
              </w:rPr>
              <w:lastRenderedPageBreak/>
              <w:t>Liczba zwolnień w okresie odniesienia (</w:t>
            </w:r>
            <w:r>
              <w:rPr>
                <w:i/>
                <w:noProof/>
              </w:rPr>
              <w:t>a</w:t>
            </w:r>
            <w:r>
              <w:rPr>
                <w:noProof/>
              </w:rPr>
              <w:t>)</w:t>
            </w:r>
          </w:p>
        </w:tc>
        <w:tc>
          <w:tcPr>
            <w:tcW w:w="4423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>
            <w:pPr>
              <w:spacing w:before="60" w:after="60"/>
              <w:ind w:rightChars="192" w:right="461"/>
              <w:jc w:val="left"/>
              <w:rPr>
                <w:rFonts w:eastAsia="Calibri"/>
                <w:noProof/>
                <w:highlight w:val="magenta"/>
              </w:rPr>
            </w:pPr>
            <w:r>
              <w:rPr>
                <w:noProof/>
              </w:rPr>
              <w:t>751</w:t>
            </w:r>
          </w:p>
        </w:tc>
      </w:tr>
      <w:tr>
        <w:tc>
          <w:tcPr>
            <w:tcW w:w="48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>
            <w:pPr>
              <w:spacing w:before="60" w:after="60"/>
              <w:jc w:val="left"/>
              <w:rPr>
                <w:rFonts w:eastAsia="Calibri"/>
                <w:noProof/>
                <w:highlight w:val="magenta"/>
              </w:rPr>
            </w:pPr>
            <w:r>
              <w:rPr>
                <w:noProof/>
              </w:rPr>
              <w:t>Liczba zwolnień przed okresem odniesienia lub po nim (</w:t>
            </w:r>
            <w:r>
              <w:rPr>
                <w:i/>
                <w:noProof/>
              </w:rPr>
              <w:t>b</w:t>
            </w:r>
            <w:r>
              <w:rPr>
                <w:noProof/>
              </w:rPr>
              <w:t>)</w:t>
            </w:r>
          </w:p>
        </w:tc>
        <w:tc>
          <w:tcPr>
            <w:tcW w:w="4423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>
            <w:pPr>
              <w:spacing w:before="60" w:after="60"/>
              <w:ind w:rightChars="192" w:right="461"/>
              <w:jc w:val="left"/>
              <w:rPr>
                <w:rFonts w:eastAsia="Calibri"/>
                <w:noProof/>
              </w:rPr>
            </w:pPr>
            <w:r>
              <w:rPr>
                <w:noProof/>
              </w:rPr>
              <w:t>268</w:t>
            </w:r>
          </w:p>
        </w:tc>
      </w:tr>
      <w:tr>
        <w:tc>
          <w:tcPr>
            <w:tcW w:w="486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>
            <w:pPr>
              <w:spacing w:before="60" w:after="60"/>
              <w:jc w:val="left"/>
              <w:rPr>
                <w:rFonts w:eastAsia="Calibri"/>
                <w:noProof/>
              </w:rPr>
            </w:pPr>
            <w:r>
              <w:rPr>
                <w:noProof/>
              </w:rPr>
              <w:t>Łączna liczba zwolnień (</w:t>
            </w:r>
            <w:r>
              <w:rPr>
                <w:i/>
                <w:noProof/>
              </w:rPr>
              <w:t>a</w:t>
            </w:r>
            <w:r>
              <w:rPr>
                <w:noProof/>
              </w:rPr>
              <w:t xml:space="preserve"> + </w:t>
            </w:r>
            <w:r>
              <w:rPr>
                <w:i/>
                <w:noProof/>
              </w:rPr>
              <w:t>b)</w:t>
            </w:r>
          </w:p>
        </w:tc>
        <w:tc>
          <w:tcPr>
            <w:tcW w:w="4423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>
            <w:pPr>
              <w:spacing w:before="60" w:after="60"/>
              <w:ind w:rightChars="192" w:right="461"/>
              <w:jc w:val="left"/>
              <w:rPr>
                <w:rFonts w:eastAsia="Calibri"/>
                <w:noProof/>
              </w:rPr>
            </w:pPr>
            <w:r>
              <w:rPr>
                <w:noProof/>
              </w:rPr>
              <w:t>1 019</w:t>
            </w:r>
          </w:p>
        </w:tc>
      </w:tr>
      <w:tr>
        <w:tc>
          <w:tcPr>
            <w:tcW w:w="4866" w:type="dxa"/>
            <w:tcBorders>
              <w:bottom w:val="dotted" w:sz="4" w:space="0" w:color="auto"/>
            </w:tcBorders>
            <w:shd w:val="clear" w:color="auto" w:fill="auto"/>
          </w:tcPr>
          <w:p>
            <w:pPr>
              <w:spacing w:before="60" w:after="60"/>
              <w:jc w:val="left"/>
              <w:rPr>
                <w:rFonts w:eastAsia="Calibri"/>
                <w:noProof/>
              </w:rPr>
            </w:pPr>
            <w:r>
              <w:rPr>
                <w:noProof/>
              </w:rPr>
              <w:t>Całkowita liczba uprawnionych pracowników</w:t>
            </w:r>
          </w:p>
        </w:tc>
        <w:tc>
          <w:tcPr>
            <w:tcW w:w="4423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>
            <w:pPr>
              <w:spacing w:before="60" w:after="60"/>
              <w:ind w:rightChars="192" w:right="461"/>
              <w:jc w:val="left"/>
              <w:rPr>
                <w:rFonts w:eastAsia="Calibri"/>
                <w:noProof/>
              </w:rPr>
            </w:pPr>
            <w:r>
              <w:rPr>
                <w:noProof/>
              </w:rPr>
              <w:t>1 019</w:t>
            </w:r>
          </w:p>
        </w:tc>
      </w:tr>
      <w:tr>
        <w:tc>
          <w:tcPr>
            <w:tcW w:w="48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>
            <w:pPr>
              <w:spacing w:before="60" w:after="60"/>
              <w:jc w:val="left"/>
              <w:rPr>
                <w:rFonts w:eastAsia="Calibri"/>
                <w:noProof/>
              </w:rPr>
            </w:pPr>
            <w:r>
              <w:rPr>
                <w:noProof/>
              </w:rPr>
              <w:t>Całkowita liczba pracowników objętych pomocą</w:t>
            </w:r>
          </w:p>
        </w:tc>
        <w:tc>
          <w:tcPr>
            <w:tcW w:w="4423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>
            <w:pPr>
              <w:spacing w:before="60" w:after="60"/>
              <w:ind w:rightChars="192" w:right="461"/>
              <w:jc w:val="left"/>
              <w:rPr>
                <w:rFonts w:eastAsia="Calibri"/>
                <w:noProof/>
              </w:rPr>
            </w:pPr>
            <w:r>
              <w:rPr>
                <w:noProof/>
              </w:rPr>
              <w:t>400</w:t>
            </w:r>
          </w:p>
        </w:tc>
      </w:tr>
      <w:tr>
        <w:tc>
          <w:tcPr>
            <w:tcW w:w="486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>
            <w:pPr>
              <w:spacing w:before="60" w:after="60"/>
              <w:jc w:val="left"/>
              <w:rPr>
                <w:rFonts w:eastAsia="Calibri"/>
                <w:noProof/>
              </w:rPr>
            </w:pPr>
            <w:r>
              <w:rPr>
                <w:noProof/>
              </w:rPr>
              <w:t>Liczba objętych pomocą młodych osób niekształcących się, niepracujących ani nieszkolących się (młodzież NEET)</w:t>
            </w:r>
          </w:p>
        </w:tc>
        <w:tc>
          <w:tcPr>
            <w:tcW w:w="4423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>
            <w:pPr>
              <w:spacing w:before="60" w:after="60"/>
              <w:ind w:rightChars="192" w:right="461"/>
              <w:jc w:val="left"/>
              <w:rPr>
                <w:rFonts w:eastAsia="Calibri"/>
                <w:noProof/>
              </w:rPr>
            </w:pPr>
            <w:r>
              <w:rPr>
                <w:noProof/>
              </w:rPr>
              <w:t>330</w:t>
            </w:r>
          </w:p>
        </w:tc>
      </w:tr>
      <w:tr>
        <w:tc>
          <w:tcPr>
            <w:tcW w:w="486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>
            <w:pPr>
              <w:spacing w:before="0" w:after="0"/>
              <w:jc w:val="left"/>
              <w:rPr>
                <w:noProof/>
              </w:rPr>
            </w:pPr>
            <w:r>
              <w:rPr>
                <w:noProof/>
              </w:rPr>
              <w:t>Budżet na zindywidualizowane usługi (w EUR)</w:t>
            </w:r>
          </w:p>
        </w:tc>
        <w:tc>
          <w:tcPr>
            <w:tcW w:w="1637" w:type="dxa"/>
            <w:tcBorders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>
            <w:pPr>
              <w:spacing w:before="0" w:after="0"/>
              <w:ind w:rightChars="192" w:right="461"/>
              <w:jc w:val="right"/>
              <w:rPr>
                <w:noProof/>
              </w:rPr>
            </w:pPr>
            <w:r>
              <w:rPr>
                <w:noProof/>
              </w:rPr>
              <w:t>2 665 047</w:t>
            </w:r>
          </w:p>
        </w:tc>
        <w:tc>
          <w:tcPr>
            <w:tcW w:w="2786" w:type="dxa"/>
            <w:tcBorders>
              <w:left w:val="nil"/>
              <w:bottom w:val="dotted" w:sz="4" w:space="0" w:color="auto"/>
            </w:tcBorders>
            <w:shd w:val="clear" w:color="auto" w:fill="auto"/>
            <w:vAlign w:val="center"/>
          </w:tcPr>
          <w:p>
            <w:pPr>
              <w:spacing w:before="0" w:after="0"/>
              <w:ind w:rightChars="192" w:right="461"/>
              <w:jc w:val="right"/>
              <w:rPr>
                <w:noProof/>
              </w:rPr>
            </w:pPr>
          </w:p>
        </w:tc>
      </w:tr>
      <w:tr>
        <w:tc>
          <w:tcPr>
            <w:tcW w:w="48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>
            <w:pPr>
              <w:spacing w:before="0" w:after="0"/>
              <w:jc w:val="left"/>
              <w:rPr>
                <w:noProof/>
              </w:rPr>
            </w:pPr>
            <w:r>
              <w:rPr>
                <w:noProof/>
              </w:rPr>
              <w:t>Budżet na realizację EFG</w:t>
            </w:r>
            <w:r>
              <w:rPr>
                <w:rStyle w:val="FootnoteReference"/>
                <w:noProof/>
              </w:rPr>
              <w:footnoteReference w:id="5"/>
            </w:r>
            <w:r>
              <w:rPr>
                <w:noProof/>
              </w:rPr>
              <w:t xml:space="preserve"> (w EUR)</w:t>
            </w:r>
          </w:p>
        </w:tc>
        <w:tc>
          <w:tcPr>
            <w:tcW w:w="1637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>
            <w:pPr>
              <w:spacing w:before="0" w:after="0"/>
              <w:ind w:rightChars="192" w:right="461"/>
              <w:jc w:val="right"/>
              <w:rPr>
                <w:noProof/>
              </w:rPr>
            </w:pPr>
            <w:r>
              <w:rPr>
                <w:noProof/>
              </w:rPr>
              <w:t>55 000</w:t>
            </w:r>
          </w:p>
        </w:tc>
        <w:tc>
          <w:tcPr>
            <w:tcW w:w="2786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>
            <w:pPr>
              <w:spacing w:before="0" w:after="0"/>
              <w:ind w:rightChars="192" w:right="461"/>
              <w:jc w:val="right"/>
              <w:rPr>
                <w:noProof/>
              </w:rPr>
            </w:pPr>
          </w:p>
        </w:tc>
      </w:tr>
      <w:tr>
        <w:tc>
          <w:tcPr>
            <w:tcW w:w="48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>
            <w:pPr>
              <w:spacing w:before="0" w:after="0"/>
              <w:jc w:val="left"/>
              <w:rPr>
                <w:noProof/>
              </w:rPr>
            </w:pPr>
            <w:r>
              <w:rPr>
                <w:noProof/>
              </w:rPr>
              <w:t>Całkowity budżet (w EUR)</w:t>
            </w:r>
          </w:p>
        </w:tc>
        <w:tc>
          <w:tcPr>
            <w:tcW w:w="1637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>
            <w:pPr>
              <w:spacing w:before="0" w:after="0"/>
              <w:ind w:rightChars="192" w:right="461"/>
              <w:jc w:val="right"/>
              <w:rPr>
                <w:noProof/>
              </w:rPr>
            </w:pPr>
            <w:r>
              <w:rPr>
                <w:noProof/>
              </w:rPr>
              <w:t>2 720 047</w:t>
            </w:r>
          </w:p>
        </w:tc>
        <w:tc>
          <w:tcPr>
            <w:tcW w:w="2786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>
            <w:pPr>
              <w:spacing w:before="0" w:after="0"/>
              <w:ind w:rightChars="192" w:right="461"/>
              <w:jc w:val="right"/>
              <w:rPr>
                <w:noProof/>
              </w:rPr>
            </w:pPr>
          </w:p>
        </w:tc>
      </w:tr>
      <w:tr>
        <w:tc>
          <w:tcPr>
            <w:tcW w:w="4866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>
            <w:pPr>
              <w:spacing w:before="0" w:after="0"/>
              <w:jc w:val="left"/>
              <w:rPr>
                <w:noProof/>
              </w:rPr>
            </w:pPr>
            <w:r>
              <w:rPr>
                <w:noProof/>
              </w:rPr>
              <w:t>Wkład z EFG (60 %) (w EUR)</w:t>
            </w:r>
          </w:p>
        </w:tc>
        <w:tc>
          <w:tcPr>
            <w:tcW w:w="1637" w:type="dxa"/>
            <w:tcBorders>
              <w:top w:val="dotted" w:sz="4" w:space="0" w:color="auto"/>
              <w:right w:val="nil"/>
            </w:tcBorders>
            <w:shd w:val="clear" w:color="auto" w:fill="auto"/>
            <w:vAlign w:val="center"/>
          </w:tcPr>
          <w:p>
            <w:pPr>
              <w:spacing w:before="0" w:after="0"/>
              <w:ind w:rightChars="192" w:right="461"/>
              <w:jc w:val="right"/>
              <w:rPr>
                <w:noProof/>
              </w:rPr>
            </w:pPr>
            <w:r>
              <w:rPr>
                <w:noProof/>
              </w:rPr>
              <w:t>1 632 028</w:t>
            </w:r>
          </w:p>
        </w:tc>
        <w:tc>
          <w:tcPr>
            <w:tcW w:w="2786" w:type="dxa"/>
            <w:tcBorders>
              <w:top w:val="dotted" w:sz="4" w:space="0" w:color="auto"/>
              <w:left w:val="nil"/>
            </w:tcBorders>
            <w:shd w:val="clear" w:color="auto" w:fill="auto"/>
            <w:vAlign w:val="center"/>
          </w:tcPr>
          <w:p>
            <w:pPr>
              <w:spacing w:before="0" w:after="0"/>
              <w:ind w:rightChars="192" w:right="461"/>
              <w:jc w:val="right"/>
              <w:rPr>
                <w:noProof/>
              </w:rPr>
            </w:pPr>
          </w:p>
        </w:tc>
      </w:tr>
    </w:tbl>
    <w:p>
      <w:pPr>
        <w:pStyle w:val="ManualHeading1"/>
        <w:rPr>
          <w:noProof/>
        </w:rPr>
      </w:pPr>
      <w:r>
        <w:rPr>
          <w:noProof/>
        </w:rPr>
        <w:t>OCENA WNIOSKU</w:t>
      </w:r>
    </w:p>
    <w:p>
      <w:pPr>
        <w:pStyle w:val="ManualHeading2"/>
        <w:rPr>
          <w:noProof/>
        </w:rPr>
      </w:pPr>
      <w:r>
        <w:rPr>
          <w:noProof/>
        </w:rPr>
        <w:t>Procedura</w:t>
      </w:r>
    </w:p>
    <w:p>
      <w:pPr>
        <w:pStyle w:val="ManualNumPar1"/>
        <w:rPr>
          <w:noProof/>
        </w:rPr>
      </w:pPr>
      <w:r>
        <w:t>4.</w:t>
      </w:r>
      <w:r>
        <w:tab/>
      </w:r>
      <w:r>
        <w:rPr>
          <w:noProof/>
        </w:rPr>
        <w:t>Dnia 20 czerwca 2019 r., tj. w ciągu 12 tygodni od daty spełnienia kryteriów interwencji określonych w art. 4 rozporządzenia w sprawie EFG, Belgia złożyła wniosek EGF/2019/001 BE/Carrefour. W tym samym dniu Komisja potwierdziła otrzymanie wniosku, a w dniu 4 lipca 2019 r. zwróciła się do władz Belgii o dodatkowe informacje. Informacje te przedstawiono w terminie sześciu tygodni. Termin 12 tygodni od otrzymania kompletnego wniosku, w którym Komisja powinna ocenić zgodność wniosku z warunkami przyznania wkładu finansowego, upływa w dniu 7 listopada 2019 r.</w:t>
      </w:r>
    </w:p>
    <w:p>
      <w:pPr>
        <w:pStyle w:val="ManualHeading2"/>
        <w:rPr>
          <w:noProof/>
        </w:rPr>
      </w:pPr>
      <w:r>
        <w:rPr>
          <w:noProof/>
        </w:rPr>
        <w:t>Kwalifikowalność wniosku</w:t>
      </w:r>
    </w:p>
    <w:p>
      <w:pPr>
        <w:pStyle w:val="ManualHeading3"/>
        <w:rPr>
          <w:noProof/>
        </w:rPr>
      </w:pPr>
      <w:r>
        <w:rPr>
          <w:noProof/>
        </w:rPr>
        <w:t>Przedmiotowe przedsiębiorstwa i beneficjenci</w:t>
      </w:r>
    </w:p>
    <w:p>
      <w:pPr>
        <w:pStyle w:val="ManualNumPar1"/>
        <w:rPr>
          <w:noProof/>
          <w:szCs w:val="24"/>
        </w:rPr>
      </w:pPr>
      <w:r>
        <w:t>5.</w:t>
      </w:r>
      <w:r>
        <w:tab/>
      </w:r>
      <w:r>
        <w:rPr>
          <w:noProof/>
        </w:rPr>
        <w:t xml:space="preserve">Wniosek dotyczy 751 pracowników zwolnionych z przedsiębiorstwa Carrefour Belgique SA. Przedsiębiorstwo to prowadzi działalność w sektorze gospodarki zaklasyfikowanym do działu 47 według NACE Rev. 2 (Handel detaliczny, z wyłączeniem handlu pojazdami samochodowymi i motocyklami). Zwolnienia w Carrefour Belgique SA. dotyczą całej Belgii </w:t>
      </w:r>
    </w:p>
    <w:p>
      <w:pPr>
        <w:pStyle w:val="ManualHeading3"/>
        <w:rPr>
          <w:noProof/>
        </w:rPr>
      </w:pPr>
      <w:r>
        <w:rPr>
          <w:noProof/>
        </w:rPr>
        <w:t>Kryteria interwencji</w:t>
      </w:r>
    </w:p>
    <w:p>
      <w:pPr>
        <w:pStyle w:val="ManualNumPar1"/>
        <w:rPr>
          <w:noProof/>
        </w:rPr>
      </w:pPr>
      <w:r>
        <w:t>6.</w:t>
      </w:r>
      <w:r>
        <w:tab/>
      </w:r>
      <w:r>
        <w:rPr>
          <w:noProof/>
        </w:rPr>
        <w:t>Belgia złożyła wniosek zgodnie z kryterium interwencji określonym w art. 4 ust. 1 lit. a) rozporządzenia w sprawie EFG, które wymaga co najmniej 500 zwolnień w czteromiesięcznym okresie odniesienia, w przedsiębiorstwie znajdującym się w państwie członkowskim, z uwzględnieniem zwolnień pracowników u jego dostawców i producentów niższego szczebla lub osób, które zaprzestały prowadzenia działalności na własny rachunek.</w:t>
      </w:r>
    </w:p>
    <w:p>
      <w:pPr>
        <w:pStyle w:val="ManualNumPar1"/>
        <w:rPr>
          <w:noProof/>
        </w:rPr>
      </w:pPr>
      <w:r>
        <w:t>7.</w:t>
      </w:r>
      <w:r>
        <w:tab/>
      </w:r>
      <w:r>
        <w:rPr>
          <w:noProof/>
        </w:rPr>
        <w:t>Czteromiesięczny okres odniesienia dla wniosku biegnie od dnia 30 listopada 2018 r. do dnia 30 marca 2019 r. Zwolnienia w okresie odniesienia dotyczą 751 pracowników przedsiębiorstwa Carrefour Belgique SA.</w:t>
      </w:r>
    </w:p>
    <w:p>
      <w:pPr>
        <w:pStyle w:val="ManualHeading3"/>
        <w:rPr>
          <w:noProof/>
        </w:rPr>
      </w:pPr>
      <w:r>
        <w:rPr>
          <w:noProof/>
        </w:rPr>
        <w:lastRenderedPageBreak/>
        <w:t>Obliczenie liczby zwolnień i przypadków ustania działalności</w:t>
      </w:r>
    </w:p>
    <w:p>
      <w:pPr>
        <w:pStyle w:val="ManualNumPar1"/>
        <w:rPr>
          <w:noProof/>
        </w:rPr>
      </w:pPr>
      <w:r>
        <w:t>8.</w:t>
      </w:r>
      <w:r>
        <w:tab/>
      </w:r>
      <w:r>
        <w:rPr>
          <w:noProof/>
        </w:rPr>
        <w:t>Wszystkie 751 zwolnień w okresie odniesienia zostało obliczonych od daty faktycznego rozwiązania umowy o pracę lub jej wygaśnięcia.</w:t>
      </w:r>
    </w:p>
    <w:p>
      <w:pPr>
        <w:pStyle w:val="ManualHeading3"/>
        <w:rPr>
          <w:noProof/>
        </w:rPr>
      </w:pPr>
      <w:r>
        <w:rPr>
          <w:noProof/>
        </w:rPr>
        <w:t>Kwalifikujący się beneficjenci</w:t>
      </w:r>
    </w:p>
    <w:p>
      <w:pPr>
        <w:pStyle w:val="ManualNumPar1"/>
        <w:rPr>
          <w:noProof/>
        </w:rPr>
      </w:pPr>
      <w:r>
        <w:t>9.</w:t>
      </w:r>
      <w:r>
        <w:tab/>
      </w:r>
      <w:r>
        <w:rPr>
          <w:noProof/>
        </w:rPr>
        <w:t>Oprócz wspomnianych już pracowników do kwalifikujących się beneficjentów zalicza się 268 pracowników zwolnionych przed okresem odniesienia lub po nim. Wszyscy ci pracownicy zostali zwolnieni po ogłoszeniu przewidywanych zwolnień w dniu 25 stycznia 2018 r.</w:t>
      </w:r>
      <w:r>
        <w:rPr>
          <w:rStyle w:val="FootnoteReference"/>
          <w:noProof/>
        </w:rPr>
        <w:footnoteReference w:id="6"/>
      </w:r>
      <w:r>
        <w:rPr>
          <w:noProof/>
        </w:rPr>
        <w:t>. Można ustalić wyraźny związek przyczynowy ze zdarzeniem, które doprowadziło do zwolnień w okresie odniesienia.</w:t>
      </w:r>
    </w:p>
    <w:p>
      <w:pPr>
        <w:pStyle w:val="ManualNumPar1"/>
        <w:rPr>
          <w:noProof/>
        </w:rPr>
      </w:pPr>
      <w:r>
        <w:t>10.</w:t>
      </w:r>
      <w:r>
        <w:tab/>
      </w:r>
      <w:r>
        <w:rPr>
          <w:noProof/>
        </w:rPr>
        <w:t>Łączna liczba kwalifikujących się pracowników wynosi zatem 1 019.</w:t>
      </w:r>
    </w:p>
    <w:p>
      <w:pPr>
        <w:pStyle w:val="ManualHeading3"/>
        <w:tabs>
          <w:tab w:val="clear" w:pos="850"/>
          <w:tab w:val="left" w:pos="0"/>
        </w:tabs>
        <w:ind w:left="0" w:firstLine="0"/>
        <w:rPr>
          <w:noProof/>
        </w:rPr>
      </w:pPr>
      <w:r>
        <w:rPr>
          <w:noProof/>
        </w:rPr>
        <w:t>Związek między zwolnieniami pracowników a poważnymi zmianami strukturalnymi w handlu światowym spowodowanymi globalizacją</w:t>
      </w:r>
    </w:p>
    <w:p>
      <w:pPr>
        <w:pStyle w:val="ManualNumPar1"/>
        <w:rPr>
          <w:noProof/>
        </w:rPr>
      </w:pPr>
      <w:r>
        <w:t>11.</w:t>
      </w:r>
      <w:r>
        <w:tab/>
      </w:r>
      <w:r>
        <w:rPr>
          <w:noProof/>
        </w:rPr>
        <w:t>Belgia argumentuje, że handel detaliczny znajduje się w okresie znacznych zmian z uwagi na globalizację (zakupy przez internet), co prowadzi do zwolnień. Zmiany w strukturze nawyków konsumenckich i cyfryzacja mają również wpływ na handel detaliczny.</w:t>
      </w:r>
    </w:p>
    <w:p>
      <w:pPr>
        <w:pStyle w:val="ManualNumPar1"/>
        <w:rPr>
          <w:noProof/>
        </w:rPr>
      </w:pPr>
      <w:r>
        <w:t>12.</w:t>
      </w:r>
      <w:r>
        <w:tab/>
      </w:r>
      <w:r>
        <w:rPr>
          <w:noProof/>
        </w:rPr>
        <w:t>Przez wiele lat rosła stale na całym świecie sprzedaż internetowa. W 2015 r. ogólna sprzedaż detaliczna w ramach handlu elektronicznego odpowiadała za 7,4 % całkowitych wydatków w handlu detalicznym. W 2017 r. osiągnęła ona wartość 2 382 bln USD, co oznacza wzrost o 28 % w stosunku do roku poprzedniego i stanowi 10,4 % całkowitej sprzedaży detalicznej na całym świecie. Oczekuje się, że w 2019 r. światowa sprzedaż internetowa wzrośnie o 20,7 % i będzie stanowić 14,1 % całkowitych wydatków w handlu detalicznym</w:t>
      </w:r>
      <w:r>
        <w:rPr>
          <w:rStyle w:val="FootnoteReference"/>
          <w:noProof/>
        </w:rPr>
        <w:footnoteReference w:id="7"/>
      </w:r>
      <w:r>
        <w:rPr>
          <w:noProof/>
        </w:rPr>
        <w:t>.</w:t>
      </w:r>
    </w:p>
    <w:p>
      <w:pPr>
        <w:pStyle w:val="Text1"/>
        <w:spacing w:before="360" w:after="0"/>
        <w:jc w:val="center"/>
        <w:rPr>
          <w:noProof/>
        </w:rPr>
      </w:pPr>
      <w:r>
        <w:rPr>
          <w:b/>
          <w:noProof/>
        </w:rPr>
        <w:t>Sprzedaż detaliczna w handlu elektronicznym na świecie w latach 2017–2019.</w:t>
      </w:r>
      <w:r>
        <w:rPr>
          <w:noProof/>
        </w:rPr>
        <w:br/>
        <w:t>(bln USD, % zmian i % sprzedaży detalicznej ogółem)</w:t>
      </w:r>
    </w:p>
    <w:p>
      <w:pPr>
        <w:pStyle w:val="Text1"/>
        <w:spacing w:before="360" w:after="0"/>
        <w:jc w:val="center"/>
        <w:rPr>
          <w:noProof/>
        </w:rPr>
      </w:pPr>
      <w:r>
        <w:rPr>
          <w:noProof/>
          <w:lang w:val="en-GB" w:eastAsia="en-GB"/>
        </w:rPr>
        <w:drawing>
          <wp:inline distT="0" distB="0" distL="0" distR="0">
            <wp:extent cx="2190750" cy="19050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Text1"/>
        <w:spacing w:before="0" w:after="0"/>
        <w:ind w:left="0"/>
        <w:rPr>
          <w:noProof/>
        </w:rPr>
      </w:pPr>
    </w:p>
    <w:tbl>
      <w:tblPr>
        <w:tblStyle w:val="TableGrid"/>
        <w:tblW w:w="7770" w:type="dxa"/>
        <w:tblInd w:w="13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"/>
        <w:gridCol w:w="2640"/>
        <w:gridCol w:w="270"/>
        <w:gridCol w:w="270"/>
        <w:gridCol w:w="1486"/>
        <w:gridCol w:w="270"/>
        <w:gridCol w:w="270"/>
        <w:gridCol w:w="2294"/>
      </w:tblGrid>
      <w:tr>
        <w:tc>
          <w:tcPr>
            <w:tcW w:w="270" w:type="dxa"/>
            <w:shd w:val="clear" w:color="auto" w:fill="000000" w:themeFill="text1"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2640" w:type="dxa"/>
          </w:tcPr>
          <w:p>
            <w:pPr>
              <w:spacing w:before="0" w:after="0"/>
              <w:rPr>
                <w:noProof/>
              </w:rPr>
            </w:pPr>
            <w:r>
              <w:rPr>
                <w:noProof/>
                <w:sz w:val="18"/>
              </w:rPr>
              <w:t>Sprzedaż detaliczna w ramach handlu elektronicznego</w:t>
            </w:r>
          </w:p>
        </w:tc>
        <w:tc>
          <w:tcPr>
            <w:tcW w:w="270" w:type="dxa"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270" w:type="dxa"/>
            <w:shd w:val="clear" w:color="auto" w:fill="FF0000"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1486" w:type="dxa"/>
          </w:tcPr>
          <w:p>
            <w:pPr>
              <w:spacing w:before="0" w:after="0"/>
              <w:rPr>
                <w:noProof/>
              </w:rPr>
            </w:pPr>
            <w:r>
              <w:rPr>
                <w:noProof/>
                <w:sz w:val="20"/>
              </w:rPr>
              <w:t>% zmian</w:t>
            </w:r>
          </w:p>
        </w:tc>
        <w:tc>
          <w:tcPr>
            <w:tcW w:w="270" w:type="dxa"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270" w:type="dxa"/>
            <w:shd w:val="clear" w:color="auto" w:fill="95B3D7" w:themeFill="accent1" w:themeFillTint="99"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2294" w:type="dxa"/>
          </w:tcPr>
          <w:p>
            <w:pPr>
              <w:spacing w:before="0" w:after="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% sprzedaży detalicznej ogółem</w:t>
            </w:r>
          </w:p>
        </w:tc>
      </w:tr>
    </w:tbl>
    <w:p>
      <w:pPr>
        <w:pStyle w:val="Text1"/>
        <w:spacing w:before="0" w:after="0"/>
        <w:jc w:val="center"/>
        <w:rPr>
          <w:noProof/>
        </w:rPr>
      </w:pPr>
    </w:p>
    <w:p>
      <w:pPr>
        <w:pStyle w:val="ManualNumPar1"/>
        <w:rPr>
          <w:noProof/>
        </w:rPr>
      </w:pPr>
      <w:r>
        <w:lastRenderedPageBreak/>
        <w:t>13.</w:t>
      </w:r>
      <w:r>
        <w:tab/>
      </w:r>
      <w:r>
        <w:rPr>
          <w:noProof/>
        </w:rPr>
        <w:t>Zgodnie z prognozami ta tendencja wzrostowa utrzyma się w nadchodzących latach. Oczekuje się, że w 2023 r. światowa sprzedaż internetowa potroi się w stosunku do 2018 r. i będzie stanowić 22 % całkowitych wydatków w handlu detalicznym</w:t>
      </w:r>
      <w:r>
        <w:rPr>
          <w:rStyle w:val="FootnoteReference"/>
          <w:noProof/>
        </w:rPr>
        <w:footnoteReference w:id="8"/>
      </w:r>
      <w:r>
        <w:rPr>
          <w:noProof/>
        </w:rPr>
        <w:t>.</w:t>
      </w:r>
    </w:p>
    <w:p>
      <w:pPr>
        <w:spacing w:before="0" w:after="200" w:line="276" w:lineRule="auto"/>
        <w:jc w:val="left"/>
        <w:rPr>
          <w:noProof/>
        </w:rPr>
      </w:pPr>
    </w:p>
    <w:p>
      <w:pPr>
        <w:pStyle w:val="Text1"/>
        <w:spacing w:before="360"/>
        <w:jc w:val="center"/>
        <w:rPr>
          <w:noProof/>
        </w:rPr>
      </w:pPr>
      <w:r>
        <w:rPr>
          <w:b/>
          <w:noProof/>
        </w:rPr>
        <w:t>Sprzedaż detaliczna w handlu elektronicznym na świecie w latach 2020–2023. Prognoza</w:t>
      </w:r>
      <w:r>
        <w:rPr>
          <w:b/>
          <w:noProof/>
        </w:rPr>
        <w:br/>
      </w:r>
      <w:r>
        <w:rPr>
          <w:noProof/>
        </w:rPr>
        <w:t>(bln USD, % zmian i % sprzedaży detalicznej ogółem)</w:t>
      </w:r>
    </w:p>
    <w:p>
      <w:pPr>
        <w:pStyle w:val="Text1"/>
        <w:jc w:val="center"/>
        <w:rPr>
          <w:noProof/>
        </w:rPr>
      </w:pPr>
      <w:r>
        <w:rPr>
          <w:noProof/>
          <w:lang w:val="en-GB" w:eastAsia="en-GB"/>
        </w:rPr>
        <w:drawing>
          <wp:inline distT="0" distB="0" distL="0" distR="0">
            <wp:extent cx="2066925" cy="2163972"/>
            <wp:effectExtent l="0" t="0" r="0" b="825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2020 2023 ecommerce sales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3349" cy="2181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7770" w:type="dxa"/>
        <w:tblInd w:w="13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"/>
        <w:gridCol w:w="2640"/>
        <w:gridCol w:w="270"/>
        <w:gridCol w:w="270"/>
        <w:gridCol w:w="1486"/>
        <w:gridCol w:w="270"/>
        <w:gridCol w:w="270"/>
        <w:gridCol w:w="2294"/>
      </w:tblGrid>
      <w:tr>
        <w:tc>
          <w:tcPr>
            <w:tcW w:w="270" w:type="dxa"/>
            <w:shd w:val="clear" w:color="auto" w:fill="000000" w:themeFill="text1"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2640" w:type="dxa"/>
          </w:tcPr>
          <w:p>
            <w:pPr>
              <w:spacing w:before="0" w:after="0"/>
              <w:rPr>
                <w:noProof/>
              </w:rPr>
            </w:pPr>
            <w:r>
              <w:rPr>
                <w:noProof/>
                <w:sz w:val="18"/>
              </w:rPr>
              <w:t>Sprzedaż detaliczna w ramach handlu elektronicznego</w:t>
            </w:r>
          </w:p>
        </w:tc>
        <w:tc>
          <w:tcPr>
            <w:tcW w:w="270" w:type="dxa"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270" w:type="dxa"/>
            <w:shd w:val="clear" w:color="auto" w:fill="FF0000"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1486" w:type="dxa"/>
          </w:tcPr>
          <w:p>
            <w:pPr>
              <w:spacing w:before="0" w:after="0"/>
              <w:rPr>
                <w:noProof/>
              </w:rPr>
            </w:pPr>
            <w:r>
              <w:rPr>
                <w:noProof/>
                <w:sz w:val="20"/>
              </w:rPr>
              <w:t>% zmian</w:t>
            </w:r>
          </w:p>
        </w:tc>
        <w:tc>
          <w:tcPr>
            <w:tcW w:w="270" w:type="dxa"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270" w:type="dxa"/>
            <w:shd w:val="clear" w:color="auto" w:fill="95B3D7" w:themeFill="accent1" w:themeFillTint="99"/>
          </w:tcPr>
          <w:p>
            <w:pPr>
              <w:spacing w:before="0" w:after="0"/>
              <w:rPr>
                <w:noProof/>
              </w:rPr>
            </w:pPr>
          </w:p>
        </w:tc>
        <w:tc>
          <w:tcPr>
            <w:tcW w:w="2294" w:type="dxa"/>
          </w:tcPr>
          <w:p>
            <w:pPr>
              <w:spacing w:before="0" w:after="0"/>
              <w:rPr>
                <w:noProof/>
              </w:rPr>
            </w:pPr>
            <w:r>
              <w:rPr>
                <w:noProof/>
                <w:sz w:val="20"/>
              </w:rPr>
              <w:t>% sprzedaży detalicznej ogółem</w:t>
            </w:r>
          </w:p>
        </w:tc>
      </w:tr>
    </w:tbl>
    <w:p>
      <w:pPr>
        <w:pStyle w:val="ManualNumPar1"/>
        <w:rPr>
          <w:noProof/>
        </w:rPr>
      </w:pPr>
      <w:r>
        <w:t>14.</w:t>
      </w:r>
      <w:r>
        <w:tab/>
      </w:r>
      <w:r>
        <w:rPr>
          <w:noProof/>
        </w:rPr>
        <w:t>W latach 2013–2018 odsetek ludności dokonującej zakupów przez internet wzrósł w UE z 47 % do 69 %</w:t>
      </w:r>
      <w:r>
        <w:rPr>
          <w:rStyle w:val="FootnoteReference"/>
          <w:noProof/>
        </w:rPr>
        <w:footnoteReference w:id="9"/>
      </w:r>
      <w:r>
        <w:rPr>
          <w:noProof/>
        </w:rPr>
        <w:t>. Wraz ze wzrostem liczby nabywców elektronicznych nastąpiły zmiany w wyborze sprzedawców internetowych. Liczba kupujących dokonujących zakupów online u sprzedawców w swoim kraju spadła, chociaż tylko o jeden punkt procentowy, z 89 % w 2013 r. do 88 % w 2018 r.; tymczasem odsetek osób dokonujących zakupów transgranicznych w UE znacznie wzrósł, z 26 % do 36 %, przy czym coraz bardziej popularne stają się zakupy online u sprzedawców spoza UE. W tym samym okresie odsetek ten wzrósł z 14 % do 26 %</w:t>
      </w:r>
      <w:r>
        <w:rPr>
          <w:rStyle w:val="FootnoteReference"/>
          <w:noProof/>
        </w:rPr>
        <w:footnoteReference w:id="10"/>
      </w:r>
      <w:r>
        <w:rPr>
          <w:noProof/>
        </w:rPr>
        <w:t>.</w:t>
      </w:r>
    </w:p>
    <w:p>
      <w:pPr>
        <w:pStyle w:val="ManualNumPar1"/>
        <w:rPr>
          <w:noProof/>
        </w:rPr>
      </w:pPr>
      <w:r>
        <w:t>15.</w:t>
      </w:r>
      <w:r>
        <w:tab/>
      </w:r>
      <w:r>
        <w:rPr>
          <w:noProof/>
        </w:rPr>
        <w:t>Internetowe platformy handlowe są powszechną formą handlu elektronicznego. Trzema głównymi graczami na tym rynku są Amazon, Aliexpress i eBay, które działają na skalę globalną.</w:t>
      </w:r>
    </w:p>
    <w:p>
      <w:pPr>
        <w:pStyle w:val="Text1"/>
        <w:keepNext/>
        <w:keepLines/>
        <w:ind w:left="851"/>
        <w:jc w:val="center"/>
        <w:rPr>
          <w:noProof/>
        </w:rPr>
      </w:pPr>
      <w:r>
        <w:rPr>
          <w:b/>
          <w:noProof/>
        </w:rPr>
        <w:lastRenderedPageBreak/>
        <w:t xml:space="preserve">Wybór sprzedawcy detalicznego </w:t>
      </w:r>
      <w:r>
        <w:rPr>
          <w:noProof/>
        </w:rPr>
        <w:br/>
        <w:t>(ostatni transgraniczny zakup przez internet)</w:t>
      </w:r>
      <w:r>
        <w:rPr>
          <w:rStyle w:val="FootnoteReference"/>
          <w:noProof/>
        </w:rPr>
        <w:footnoteReference w:id="11"/>
      </w:r>
      <w:r>
        <w:rPr>
          <w:noProof/>
        </w:rPr>
        <w:br/>
      </w:r>
      <w:r>
        <w:rPr>
          <w:noProof/>
        </w:rPr>
        <w:br/>
        <w:t xml:space="preserve"> </w:t>
      </w:r>
      <w:r>
        <w:rPr>
          <w:noProof/>
          <w:lang w:val="en-GB" w:eastAsia="en-GB"/>
        </w:rPr>
        <w:drawing>
          <wp:inline distT="0" distB="0" distL="0" distR="0">
            <wp:extent cx="3590925" cy="2000250"/>
            <wp:effectExtent l="0" t="0" r="9525" b="0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>
      <w:pPr>
        <w:pStyle w:val="ManualNumPar1"/>
        <w:rPr>
          <w:noProof/>
        </w:rPr>
      </w:pPr>
      <w:r>
        <w:t>16.</w:t>
      </w:r>
      <w:r>
        <w:tab/>
      </w:r>
      <w:r>
        <w:rPr>
          <w:noProof/>
        </w:rPr>
        <w:t>Ze względu na kwestię ceny konsumenci wykazują tendencję przechodzenia na zakupy w sklepach internetowych mających swoją siedzibę poza UE. Zakupy przez internet spoza UE mają duży wpływ na sprzedaż tradycyjnych sklepów detalicznych w UE.</w:t>
      </w:r>
    </w:p>
    <w:p>
      <w:pPr>
        <w:pStyle w:val="ManualNumPar1"/>
        <w:rPr>
          <w:noProof/>
        </w:rPr>
      </w:pPr>
      <w:r>
        <w:t>17.</w:t>
      </w:r>
      <w:r>
        <w:tab/>
      </w:r>
      <w:r>
        <w:rPr>
          <w:noProof/>
        </w:rPr>
        <w:t>Globalne tendencje mają również wpływ na sytuację w Belgii. Według Comeos</w:t>
      </w:r>
      <w:r>
        <w:rPr>
          <w:rStyle w:val="FootnoteReference"/>
          <w:noProof/>
        </w:rPr>
        <w:footnoteReference w:id="12"/>
      </w:r>
      <w:r>
        <w:rPr>
          <w:noProof/>
        </w:rPr>
        <w:t xml:space="preserve"> w 2018 r. 67 % Belgów dokonywało zakupów przez internet, w porównaniu z zaledwie 46 % w 2012 r. Oznacza to wzrost o 21 punktów procentowych w ciągu sześciu lat. Ogólna liczba belgijskich nabywców, którzy dokonują co miesiąc zakupów przez internet, wynosi 44 %, a 9 % robi to co tydzień. Normalny miesięczny budżet dla 42 % belgijskich nabywców elektronicznych to ponad 150 EUR. 39 % belgijskich nabywców deklaruje, że w 2019 r. będzie wydawać więcej lub znacznie więcej w porównaniu z poprzednim rokiem. Dla połowy respondentów nie ma znaczenia, czy sklep internetowy jest belgijski, czy nie</w:t>
      </w:r>
      <w:r>
        <w:rPr>
          <w:rStyle w:val="FootnoteReference"/>
          <w:noProof/>
        </w:rPr>
        <w:footnoteReference w:id="13"/>
      </w:r>
      <w:r>
        <w:rPr>
          <w:noProof/>
        </w:rPr>
        <w:t xml:space="preserve">. </w:t>
      </w:r>
    </w:p>
    <w:p>
      <w:pPr>
        <w:pStyle w:val="ManualNumPar1"/>
        <w:rPr>
          <w:noProof/>
        </w:rPr>
      </w:pPr>
      <w:r>
        <w:t>18.</w:t>
      </w:r>
      <w:r>
        <w:tab/>
      </w:r>
      <w:r>
        <w:rPr>
          <w:noProof/>
        </w:rPr>
        <w:t>Do chwili obecnej 10 wniosków o wsparcie z EFG dotyczyło handlu detalicznego: dwa z nich powoływały się na globalizację handlu</w:t>
      </w:r>
      <w:r>
        <w:rPr>
          <w:rStyle w:val="FootnoteReference"/>
          <w:noProof/>
        </w:rPr>
        <w:footnoteReference w:id="14"/>
      </w:r>
      <w:r>
        <w:rPr>
          <w:noProof/>
        </w:rPr>
        <w:t>, a osiem na światowy kryzys finansowy i gospodarczy</w:t>
      </w:r>
      <w:r>
        <w:rPr>
          <w:rStyle w:val="FootnoteReference"/>
          <w:noProof/>
        </w:rPr>
        <w:footnoteReference w:id="15"/>
      </w:r>
      <w:r>
        <w:rPr>
          <w:noProof/>
        </w:rPr>
        <w:t>.</w:t>
      </w:r>
    </w:p>
    <w:p>
      <w:pPr>
        <w:pStyle w:val="ManualHeading3"/>
        <w:rPr>
          <w:noProof/>
        </w:rPr>
      </w:pPr>
      <w:r>
        <w:rPr>
          <w:noProof/>
        </w:rPr>
        <w:t>Zdarzenia, które doprowadziły do zwolnień i przypadków ustania działalności</w:t>
      </w:r>
    </w:p>
    <w:p>
      <w:pPr>
        <w:pStyle w:val="ManualNumPar1"/>
        <w:rPr>
          <w:noProof/>
        </w:rPr>
      </w:pPr>
      <w:r>
        <w:t>19.</w:t>
      </w:r>
      <w:r>
        <w:tab/>
      </w:r>
      <w:r>
        <w:rPr>
          <w:noProof/>
        </w:rPr>
        <w:t xml:space="preserve">Carrefour Belgique SA obsługuje trzy sieci: Sieć Carrefour Express (sklepy dzielnicowe), która jest rentowna i powiększa się (o 20–25 sklepów rocznie); Sieć Carrefour Market (supermarkety), która koncentruje się na świeżych produktach, również powiększa się, a celem jest otwieranie co roku 10 sklepów; oraz sieć </w:t>
      </w:r>
      <w:r>
        <w:rPr>
          <w:noProof/>
        </w:rPr>
        <w:lastRenderedPageBreak/>
        <w:t>Carrefour Hypermarkets (hipermarkety). Z 45 hipermarketów Carrefour 19 jest nierentownych</w:t>
      </w:r>
      <w:r>
        <w:rPr>
          <w:rStyle w:val="FootnoteReference"/>
          <w:noProof/>
        </w:rPr>
        <w:footnoteReference w:id="16"/>
      </w:r>
      <w:r>
        <w:rPr>
          <w:noProof/>
        </w:rPr>
        <w:t>.</w:t>
      </w:r>
    </w:p>
    <w:p>
      <w:pPr>
        <w:pStyle w:val="ManualNumPar1"/>
        <w:rPr>
          <w:noProof/>
        </w:rPr>
      </w:pPr>
      <w:r>
        <w:t>20.</w:t>
      </w:r>
      <w:r>
        <w:tab/>
      </w:r>
      <w:r>
        <w:rPr>
          <w:noProof/>
        </w:rPr>
        <w:t xml:space="preserve">Zdarzenia, które doprowadziły do zwolnień, to zamknięcie jednego z hipermarketów Carrefour i wynajęcie w niektórych z nadal funkcjonujących hipermarketów powierzchni sklepów podmiotom zewnętrznym. Jak stwierdzono powyżej, zakupy przez internet od podmiotów spoza UE mają duży wpływ na sprzedaż tradycyjnych sklepów detalicznych w UE. </w:t>
      </w:r>
    </w:p>
    <w:p>
      <w:pPr>
        <w:pStyle w:val="ManualNumPar1"/>
        <w:rPr>
          <w:noProof/>
        </w:rPr>
      </w:pPr>
      <w:r>
        <w:t>21.</w:t>
      </w:r>
      <w:r>
        <w:tab/>
      </w:r>
      <w:r>
        <w:rPr>
          <w:noProof/>
        </w:rPr>
        <w:t>Produkty, w przypadku których sprzedaż przez internet już teraz jest wysoka lub oczekuje się, że wzrośnie ona w najbliższej przyszłości, są, poza żywnością, takie same jak produkty sprzedawane w hipermarketach. Dobrze rozwinięta w internecie jest sprzedaż artykułów związanych z modą. „Hitami sprzedaży”</w:t>
      </w:r>
      <w:r>
        <w:rPr>
          <w:rStyle w:val="FootnoteReference"/>
          <w:noProof/>
        </w:rPr>
        <w:footnoteReference w:id="17"/>
      </w:r>
      <w:r>
        <w:rPr>
          <w:noProof/>
        </w:rPr>
        <w:t xml:space="preserve"> są książki i e-booki, komputery i elektronika, produkty zdrowotne i kosmetyczne oraz rozrywka. Z drugiej strony tylko niewielu konsumentów belgijskich kupuje w internecie żywność, chociaż kupujący przez internet deklarują, że w przyszłości zamierzają to robić częściej</w:t>
      </w:r>
      <w:r>
        <w:rPr>
          <w:rStyle w:val="FootnoteReference"/>
          <w:noProof/>
        </w:rPr>
        <w:footnoteReference w:id="18"/>
      </w:r>
      <w:r>
        <w:rPr>
          <w:noProof/>
        </w:rPr>
        <w:t>.</w:t>
      </w:r>
    </w:p>
    <w:p>
      <w:pPr>
        <w:pStyle w:val="ManualNumPar1"/>
        <w:rPr>
          <w:noProof/>
        </w:rPr>
      </w:pPr>
      <w:r>
        <w:t>22.</w:t>
      </w:r>
      <w:r>
        <w:tab/>
      </w:r>
      <w:r>
        <w:rPr>
          <w:noProof/>
        </w:rPr>
        <w:t>W przypadku Carrefour wzrost sprzedaży internetowej przyczynił się do spadku sprzedaży produktów niespożywczych w hipermarketach (obrót produktami niespożywczymi spadł w 2017 r. o 6 %, a od 2010 r. o 19 %), co podważa rentowność tego rodzaju sklepów. Belgia wskazała, że zwolnienia wynikają głównie z opisanych powyżej trudności w sektorze produktów niespożywczych.</w:t>
      </w:r>
    </w:p>
    <w:p>
      <w:pPr>
        <w:pStyle w:val="Text1"/>
        <w:spacing w:before="360"/>
        <w:jc w:val="center"/>
        <w:rPr>
          <w:b/>
          <w:noProof/>
        </w:rPr>
      </w:pPr>
      <w:r>
        <w:rPr>
          <w:b/>
          <w:noProof/>
        </w:rPr>
        <w:t>Obrót hipermarketów Carrefour. Produkty niespożywcze</w:t>
      </w:r>
      <w:r>
        <w:rPr>
          <w:rStyle w:val="FootnoteReference"/>
          <w:noProof/>
        </w:rPr>
        <w:footnoteReference w:id="19"/>
      </w:r>
      <w:r>
        <w:rPr>
          <w:b/>
          <w:noProof/>
        </w:rPr>
        <w:t>.</w:t>
      </w:r>
      <w:r>
        <w:rPr>
          <w:b/>
          <w:noProof/>
        </w:rPr>
        <w:br/>
      </w:r>
      <w:r>
        <w:rPr>
          <w:noProof/>
        </w:rPr>
        <w:t>(ze wszystkimi podatkami)</w:t>
      </w:r>
      <w:r>
        <w:rPr>
          <w:noProof/>
        </w:rPr>
        <w:br/>
        <w:t>(zmiany z roku na rok w proc.)</w:t>
      </w:r>
    </w:p>
    <w:p>
      <w:pPr>
        <w:pStyle w:val="Text1"/>
        <w:jc w:val="center"/>
        <w:rPr>
          <w:b/>
          <w:noProof/>
        </w:rPr>
      </w:pPr>
      <w:r>
        <w:rPr>
          <w:b/>
          <w:noProof/>
        </w:rPr>
        <w:br/>
      </w:r>
      <w:r>
        <w:rPr>
          <w:noProof/>
          <w:lang w:val="en-GB" w:eastAsia="en-GB"/>
        </w:rPr>
        <w:drawing>
          <wp:inline distT="0" distB="0" distL="0" distR="0">
            <wp:extent cx="3038475" cy="1790700"/>
            <wp:effectExtent l="0" t="0" r="9525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>
      <w:pPr>
        <w:pStyle w:val="Text1"/>
        <w:spacing w:before="480"/>
        <w:jc w:val="center"/>
        <w:rPr>
          <w:b/>
          <w:noProof/>
        </w:rPr>
      </w:pPr>
      <w:r>
        <w:rPr>
          <w:b/>
          <w:noProof/>
        </w:rPr>
        <w:t>Rentowność hipermarketów Carrefour</w:t>
      </w:r>
      <w:r>
        <w:rPr>
          <w:rStyle w:val="FootnoteReference"/>
          <w:noProof/>
        </w:rPr>
        <w:footnoteReference w:id="20"/>
      </w:r>
      <w:r>
        <w:rPr>
          <w:b/>
          <w:noProof/>
        </w:rPr>
        <w:br/>
      </w:r>
      <w:r>
        <w:rPr>
          <w:noProof/>
        </w:rPr>
        <w:t>(ROC</w:t>
      </w:r>
      <w:r>
        <w:rPr>
          <w:rStyle w:val="FootnoteReference"/>
          <w:noProof/>
        </w:rPr>
        <w:footnoteReference w:id="21"/>
      </w:r>
      <w:r>
        <w:rPr>
          <w:noProof/>
        </w:rPr>
        <w:t xml:space="preserve"> w mln EUR)</w:t>
      </w:r>
      <w:r>
        <w:rPr>
          <w:b/>
          <w:noProof/>
        </w:rPr>
        <w:br/>
      </w:r>
      <w:r>
        <w:rPr>
          <w:b/>
          <w:noProof/>
        </w:rPr>
        <w:lastRenderedPageBreak/>
        <w:br/>
        <w:t xml:space="preserve"> </w:t>
      </w:r>
      <w:r>
        <w:rPr>
          <w:noProof/>
          <w:lang w:val="en-GB" w:eastAsia="en-GB"/>
        </w:rPr>
        <w:drawing>
          <wp:inline distT="0" distB="0" distL="0" distR="0">
            <wp:extent cx="3114675" cy="1835150"/>
            <wp:effectExtent l="0" t="0" r="9525" b="1270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>
      <w:pPr>
        <w:pStyle w:val="ManualHeading3"/>
        <w:tabs>
          <w:tab w:val="clear" w:pos="850"/>
          <w:tab w:val="left" w:pos="0"/>
        </w:tabs>
        <w:spacing w:before="360"/>
        <w:ind w:left="0" w:firstLine="0"/>
        <w:rPr>
          <w:noProof/>
        </w:rPr>
      </w:pPr>
      <w:r>
        <w:rPr>
          <w:noProof/>
        </w:rPr>
        <w:t>Spodziewany wpływ zwolnień na gospodarkę lokalną, regionalną lub krajową oraz na zatrudnienie</w:t>
      </w:r>
    </w:p>
    <w:p>
      <w:pPr>
        <w:pStyle w:val="ManualNumPar1"/>
        <w:rPr>
          <w:noProof/>
        </w:rPr>
      </w:pPr>
      <w:r>
        <w:t>23.</w:t>
      </w:r>
      <w:r>
        <w:tab/>
      </w:r>
      <w:r>
        <w:rPr>
          <w:noProof/>
        </w:rPr>
        <w:t>Mimo że zwolnienia dotyczą całego kraju, Belgia przewiduje, że mają one szczególnie istotny niekorzystny wpływ na sytuację w zakresie zatrudnienia, a tym samym na regionalną gospodarkę Walonii. Oczekiwany wpływ związany jest z niedoborem miejsc pracy w regionie i stosunkowo wysoką stopą bezrobocia, a w konsekwencji z przewidywanymi trudnościami w przenoszeniu zwolnionych pracowników, w szczególności osób w wieku powyżej 50 lat, ponieważ jedna na cztery osoby poszukujące w Walonii pracy jest w wieku powyżej 55 lat.</w:t>
      </w:r>
    </w:p>
    <w:p>
      <w:pPr>
        <w:spacing w:before="0" w:after="200" w:line="276" w:lineRule="auto"/>
        <w:jc w:val="left"/>
        <w:rPr>
          <w:noProof/>
        </w:rPr>
      </w:pPr>
      <w:r>
        <w:rPr>
          <w:noProof/>
        </w:rPr>
        <w:br w:type="page"/>
      </w:r>
    </w:p>
    <w:p>
      <w:pPr>
        <w:pStyle w:val="ManualNumPar1"/>
        <w:rPr>
          <w:noProof/>
        </w:rPr>
      </w:pPr>
      <w:r>
        <w:lastRenderedPageBreak/>
        <w:t>24.</w:t>
      </w:r>
      <w:r>
        <w:tab/>
      </w:r>
      <w:r>
        <w:rPr>
          <w:noProof/>
        </w:rPr>
        <w:t>Chociaż liczba osób poszukujących pracy w regionie spadła w 2018 r. o 1,5 % w porównaniu z rokiem poprzednim, stopa bezrobocia w Walonii (8,6 %</w:t>
      </w:r>
      <w:r>
        <w:rPr>
          <w:rStyle w:val="FootnoteReference"/>
          <w:noProof/>
        </w:rPr>
        <w:footnoteReference w:id="22"/>
      </w:r>
      <w:r>
        <w:rPr>
          <w:noProof/>
        </w:rPr>
        <w:t>) jest ponad dwukrotnie wyższa niż stopa bezrobocia we Flandrii (3,5 %</w:t>
      </w:r>
      <w:r>
        <w:rPr>
          <w:rStyle w:val="FootnoteReference"/>
          <w:noProof/>
        </w:rPr>
        <w:footnoteReference w:id="23"/>
      </w:r>
      <w:r>
        <w:rPr>
          <w:noProof/>
        </w:rPr>
        <w:t>) i wyższa niż średnia UE wynosząca 6,9 %. Ponadto inne wskaźniki pokazują w Walonii gorsze wyniki na rynku pracy: pogorszeniu uległ poziom zatrudnienia tymczasowego (o 2,3 % mniej godzin przepracowanych w okresie od grudnia 2017 r. do grudnia 2018 r.), wzrosło bezrobocie tymczasowe (wzrost o 5,8 % w skali roku), a w ostatnim kwartale 2018 r. wzrosła liczba upadłości (wzrost o 5 % w porównaniu z tym samym kwartałem w 2017 r.). Dodatkowo oczekuje się, że liczba tworzonych nowych miejsc pracy spadnie w 2019 r. (około 15 000 miejsc pracy mniej niż w 2018 r.)</w:t>
      </w:r>
      <w:r>
        <w:rPr>
          <w:rStyle w:val="FootnoteReference"/>
          <w:noProof/>
        </w:rPr>
        <w:footnoteReference w:id="24"/>
      </w:r>
      <w:r>
        <w:rPr>
          <w:noProof/>
        </w:rPr>
        <w:t>.</w:t>
      </w:r>
    </w:p>
    <w:p>
      <w:pPr>
        <w:pStyle w:val="ManualNumPar1"/>
        <w:rPr>
          <w:noProof/>
        </w:rPr>
      </w:pPr>
      <w:r>
        <w:t>25.</w:t>
      </w:r>
      <w:r>
        <w:tab/>
      </w:r>
      <w:r>
        <w:rPr>
          <w:noProof/>
        </w:rPr>
        <w:t>W 2018 r. 57 % osób poszukujących pracy w Walonii było długotrwale bezrobotnych (&gt; 12 miesięcy), przy czym 67 % wszystkich osób długotrwale bezrobotnych stanowili bezrobotni od ponad dwóch lat</w:t>
      </w:r>
      <w:r>
        <w:rPr>
          <w:rStyle w:val="FootnoteReference"/>
          <w:noProof/>
        </w:rPr>
        <w:footnoteReference w:id="25"/>
      </w:r>
      <w:r>
        <w:rPr>
          <w:noProof/>
        </w:rPr>
        <w:t>.</w:t>
      </w:r>
    </w:p>
    <w:p>
      <w:pPr>
        <w:pStyle w:val="ManualNumPar1"/>
        <w:rPr>
          <w:noProof/>
        </w:rPr>
      </w:pPr>
      <w:r>
        <w:t>26.</w:t>
      </w:r>
      <w:r>
        <w:tab/>
      </w:r>
      <w:r>
        <w:rPr>
          <w:noProof/>
        </w:rPr>
        <w:t>Według Comeos, chociaż zatrudnienie w sektorze detalicznym w Belgii wciąż jeszcze się nie zmniejsza, istnieją obawy, że cyfryzacja i automatyzacja magazynów będą miały wkrótce wpływ na tysiące miejsc pracy wymagających stosunkowo niskich kwalifikacji</w:t>
      </w:r>
      <w:r>
        <w:rPr>
          <w:rStyle w:val="FootnoteReference"/>
          <w:noProof/>
        </w:rPr>
        <w:footnoteReference w:id="26"/>
      </w:r>
      <w:r>
        <w:rPr>
          <w:noProof/>
        </w:rPr>
        <w:t>.</w:t>
      </w:r>
    </w:p>
    <w:p>
      <w:pPr>
        <w:pStyle w:val="ManualHeading2"/>
        <w:rPr>
          <w:noProof/>
        </w:rPr>
      </w:pPr>
      <w:r>
        <w:rPr>
          <w:noProof/>
        </w:rPr>
        <w:t>Beneficjenci objęci pomocą i proponowane działania</w:t>
      </w:r>
    </w:p>
    <w:p>
      <w:pPr>
        <w:pStyle w:val="ManualHeading3"/>
        <w:rPr>
          <w:noProof/>
        </w:rPr>
      </w:pPr>
      <w:r>
        <w:rPr>
          <w:noProof/>
        </w:rPr>
        <w:t>Beneficjenci objęci pomocą</w:t>
      </w:r>
    </w:p>
    <w:p>
      <w:pPr>
        <w:pStyle w:val="ManualNumPar1"/>
        <w:rPr>
          <w:noProof/>
        </w:rPr>
      </w:pPr>
      <w:r>
        <w:t>27.</w:t>
      </w:r>
      <w:r>
        <w:tab/>
      </w:r>
      <w:r>
        <w:rPr>
          <w:noProof/>
        </w:rPr>
        <w:t>Ze względu na szczególnie trudną sytuację w zakresie zatrudnienia w Walonii, Belgia spodziewa się, że w środkach będzie uczestniczyć jedynie 400 zwolnionych w tym regionie pracowników. Podział tych pracowników według płci, obywatelstwa i grupy wiekowej przedstawia się następująco: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670"/>
        <w:gridCol w:w="2063"/>
        <w:gridCol w:w="1176"/>
        <w:gridCol w:w="1176"/>
      </w:tblGrid>
      <w:tr>
        <w:trPr>
          <w:jc w:val="center"/>
        </w:trPr>
        <w:tc>
          <w:tcPr>
            <w:tcW w:w="3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Kategoria</w:t>
            </w: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 xml:space="preserve">Liczba </w:t>
            </w:r>
            <w:r>
              <w:rPr>
                <w:noProof/>
              </w:rPr>
              <w:br/>
              <w:t>beneficjentów objętych pomocą</w:t>
            </w:r>
            <w:r>
              <w:rPr>
                <w:noProof/>
              </w:rPr>
              <w:br/>
              <w:t>(pracowników)</w:t>
            </w:r>
          </w:p>
        </w:tc>
      </w:tr>
      <w:tr>
        <w:trPr>
          <w:jc w:val="center"/>
        </w:trPr>
        <w:tc>
          <w:tcPr>
            <w:tcW w:w="149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>
            <w:pPr>
              <w:spacing w:before="60" w:after="60"/>
              <w:rPr>
                <w:noProof/>
              </w:rPr>
            </w:pPr>
            <w:r>
              <w:rPr>
                <w:noProof/>
              </w:rPr>
              <w:t>Płeć: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right w:val="nil"/>
            </w:tcBorders>
            <w:hideMark/>
          </w:tcPr>
          <w:p>
            <w:pPr>
              <w:spacing w:before="60" w:after="60"/>
              <w:rPr>
                <w:noProof/>
              </w:rPr>
            </w:pPr>
            <w:r>
              <w:rPr>
                <w:noProof/>
              </w:rPr>
              <w:t>Mężczyźni: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right w:val="nil"/>
            </w:tcBorders>
            <w:hideMark/>
          </w:tcPr>
          <w:p>
            <w:pPr>
              <w:spacing w:before="60" w:after="60"/>
              <w:jc w:val="right"/>
              <w:rPr>
                <w:noProof/>
              </w:rPr>
            </w:pPr>
            <w:r>
              <w:rPr>
                <w:noProof/>
              </w:rPr>
              <w:t>118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right w:val="nil"/>
            </w:tcBorders>
            <w:hideMark/>
          </w:tcPr>
          <w:p>
            <w:pPr>
              <w:spacing w:before="60" w:after="60"/>
              <w:jc w:val="right"/>
              <w:rPr>
                <w:noProof/>
              </w:rPr>
            </w:pPr>
            <w:r>
              <w:rPr>
                <w:noProof/>
              </w:rPr>
              <w:t>(29,5 %)</w:t>
            </w:r>
          </w:p>
        </w:tc>
      </w:tr>
      <w:tr>
        <w:trPr>
          <w:jc w:val="center"/>
        </w:trPr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spacing w:before="60" w:after="60"/>
              <w:rPr>
                <w:noProof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>
            <w:pPr>
              <w:spacing w:before="60" w:after="60"/>
              <w:rPr>
                <w:noProof/>
              </w:rPr>
            </w:pPr>
            <w:r>
              <w:rPr>
                <w:noProof/>
              </w:rPr>
              <w:t>Kobiety:</w:t>
            </w:r>
          </w:p>
        </w:tc>
        <w:tc>
          <w:tcPr>
            <w:tcW w:w="1176" w:type="dxa"/>
            <w:tcBorders>
              <w:bottom w:val="single" w:sz="4" w:space="0" w:color="auto"/>
            </w:tcBorders>
            <w:hideMark/>
          </w:tcPr>
          <w:p>
            <w:pPr>
              <w:spacing w:before="60" w:after="60"/>
              <w:jc w:val="right"/>
              <w:rPr>
                <w:noProof/>
              </w:rPr>
            </w:pPr>
            <w:r>
              <w:rPr>
                <w:noProof/>
              </w:rPr>
              <w:t>282</w:t>
            </w:r>
          </w:p>
        </w:tc>
        <w:tc>
          <w:tcPr>
            <w:tcW w:w="1176" w:type="dxa"/>
            <w:tcBorders>
              <w:bottom w:val="single" w:sz="4" w:space="0" w:color="auto"/>
            </w:tcBorders>
            <w:hideMark/>
          </w:tcPr>
          <w:p>
            <w:pPr>
              <w:spacing w:before="60" w:after="60"/>
              <w:jc w:val="right"/>
              <w:rPr>
                <w:noProof/>
              </w:rPr>
            </w:pPr>
            <w:r>
              <w:rPr>
                <w:noProof/>
              </w:rPr>
              <w:t>(70,5 %)</w:t>
            </w:r>
          </w:p>
        </w:tc>
      </w:tr>
      <w:tr>
        <w:trPr>
          <w:jc w:val="center"/>
        </w:trPr>
        <w:tc>
          <w:tcPr>
            <w:tcW w:w="149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>
            <w:pPr>
              <w:spacing w:before="60" w:after="60"/>
              <w:rPr>
                <w:noProof/>
              </w:rPr>
            </w:pPr>
            <w:r>
              <w:rPr>
                <w:noProof/>
              </w:rPr>
              <w:t>Obywatelstwo: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>
            <w:pPr>
              <w:spacing w:before="60" w:after="60"/>
              <w:rPr>
                <w:noProof/>
              </w:rPr>
            </w:pPr>
            <w:r>
              <w:rPr>
                <w:noProof/>
              </w:rPr>
              <w:t>Obywatele UE:</w:t>
            </w:r>
          </w:p>
        </w:tc>
        <w:tc>
          <w:tcPr>
            <w:tcW w:w="1176" w:type="dxa"/>
            <w:tcBorders>
              <w:top w:val="single" w:sz="4" w:space="0" w:color="auto"/>
            </w:tcBorders>
            <w:hideMark/>
          </w:tcPr>
          <w:p>
            <w:pPr>
              <w:spacing w:before="60" w:after="60"/>
              <w:jc w:val="right"/>
              <w:rPr>
                <w:noProof/>
              </w:rPr>
            </w:pPr>
            <w:r>
              <w:rPr>
                <w:noProof/>
              </w:rPr>
              <w:t>379</w:t>
            </w:r>
          </w:p>
        </w:tc>
        <w:tc>
          <w:tcPr>
            <w:tcW w:w="1176" w:type="dxa"/>
            <w:tcBorders>
              <w:top w:val="single" w:sz="4" w:space="0" w:color="auto"/>
            </w:tcBorders>
            <w:hideMark/>
          </w:tcPr>
          <w:p>
            <w:pPr>
              <w:spacing w:before="60" w:after="60"/>
              <w:jc w:val="right"/>
              <w:rPr>
                <w:noProof/>
              </w:rPr>
            </w:pPr>
            <w:r>
              <w:rPr>
                <w:noProof/>
              </w:rPr>
              <w:t>(94,8 %)</w:t>
            </w:r>
          </w:p>
        </w:tc>
      </w:tr>
      <w:tr>
        <w:trPr>
          <w:jc w:val="center"/>
        </w:trPr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spacing w:before="60" w:after="60"/>
              <w:rPr>
                <w:noProof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>
            <w:pPr>
              <w:spacing w:before="60" w:after="60"/>
              <w:rPr>
                <w:noProof/>
              </w:rPr>
            </w:pPr>
            <w:r>
              <w:rPr>
                <w:noProof/>
              </w:rPr>
              <w:t>Obywatele spoza UE:</w:t>
            </w:r>
          </w:p>
        </w:tc>
        <w:tc>
          <w:tcPr>
            <w:tcW w:w="1176" w:type="dxa"/>
            <w:tcBorders>
              <w:bottom w:val="single" w:sz="4" w:space="0" w:color="auto"/>
            </w:tcBorders>
            <w:hideMark/>
          </w:tcPr>
          <w:p>
            <w:pPr>
              <w:spacing w:before="60" w:after="60"/>
              <w:jc w:val="right"/>
              <w:rPr>
                <w:noProof/>
              </w:rPr>
            </w:pPr>
            <w:r>
              <w:rPr>
                <w:noProof/>
              </w:rPr>
              <w:t>21</w:t>
            </w:r>
          </w:p>
        </w:tc>
        <w:tc>
          <w:tcPr>
            <w:tcW w:w="1176" w:type="dxa"/>
            <w:tcBorders>
              <w:bottom w:val="single" w:sz="4" w:space="0" w:color="auto"/>
            </w:tcBorders>
            <w:hideMark/>
          </w:tcPr>
          <w:p>
            <w:pPr>
              <w:spacing w:before="60" w:after="60"/>
              <w:jc w:val="right"/>
              <w:rPr>
                <w:noProof/>
              </w:rPr>
            </w:pPr>
            <w:r>
              <w:rPr>
                <w:noProof/>
              </w:rPr>
              <w:t>(5,2 %)</w:t>
            </w:r>
          </w:p>
        </w:tc>
      </w:tr>
      <w:tr>
        <w:trPr>
          <w:jc w:val="center"/>
        </w:trPr>
        <w:tc>
          <w:tcPr>
            <w:tcW w:w="149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>
            <w:pPr>
              <w:spacing w:before="60" w:after="60"/>
              <w:rPr>
                <w:noProof/>
              </w:rPr>
            </w:pPr>
            <w:r>
              <w:rPr>
                <w:noProof/>
              </w:rPr>
              <w:t>Grupa wiekowa: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>
            <w:pPr>
              <w:spacing w:before="60" w:after="60"/>
              <w:rPr>
                <w:noProof/>
              </w:rPr>
            </w:pPr>
            <w:r>
              <w:rPr>
                <w:noProof/>
              </w:rPr>
              <w:t>15–24 lat:</w:t>
            </w:r>
          </w:p>
        </w:tc>
        <w:tc>
          <w:tcPr>
            <w:tcW w:w="1176" w:type="dxa"/>
            <w:tcBorders>
              <w:top w:val="single" w:sz="4" w:space="0" w:color="auto"/>
            </w:tcBorders>
            <w:hideMark/>
          </w:tcPr>
          <w:p>
            <w:pPr>
              <w:spacing w:before="60" w:after="60"/>
              <w:jc w:val="right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1176" w:type="dxa"/>
            <w:tcBorders>
              <w:top w:val="single" w:sz="4" w:space="0" w:color="auto"/>
            </w:tcBorders>
            <w:hideMark/>
          </w:tcPr>
          <w:p>
            <w:pPr>
              <w:spacing w:before="60" w:after="60"/>
              <w:jc w:val="right"/>
              <w:rPr>
                <w:noProof/>
              </w:rPr>
            </w:pPr>
            <w:r>
              <w:rPr>
                <w:noProof/>
              </w:rPr>
              <w:t>(0,0 %)</w:t>
            </w:r>
          </w:p>
        </w:tc>
      </w:tr>
      <w:tr>
        <w:trPr>
          <w:jc w:val="center"/>
        </w:trPr>
        <w:tc>
          <w:tcPr>
            <w:tcW w:w="1496" w:type="dxa"/>
          </w:tcPr>
          <w:p>
            <w:pPr>
              <w:spacing w:before="60" w:after="60"/>
              <w:rPr>
                <w:noProof/>
              </w:rPr>
            </w:pPr>
          </w:p>
        </w:tc>
        <w:tc>
          <w:tcPr>
            <w:tcW w:w="2063" w:type="dxa"/>
            <w:hideMark/>
          </w:tcPr>
          <w:p>
            <w:pPr>
              <w:spacing w:before="60" w:after="60"/>
              <w:rPr>
                <w:noProof/>
              </w:rPr>
            </w:pPr>
            <w:r>
              <w:rPr>
                <w:noProof/>
              </w:rPr>
              <w:t>25–29 lat:</w:t>
            </w:r>
          </w:p>
        </w:tc>
        <w:tc>
          <w:tcPr>
            <w:tcW w:w="1176" w:type="dxa"/>
            <w:hideMark/>
          </w:tcPr>
          <w:p>
            <w:pPr>
              <w:spacing w:before="60" w:after="60"/>
              <w:jc w:val="right"/>
              <w:rPr>
                <w:noProof/>
              </w:rPr>
            </w:pPr>
            <w:r>
              <w:rPr>
                <w:noProof/>
              </w:rPr>
              <w:t>7</w:t>
            </w:r>
          </w:p>
        </w:tc>
        <w:tc>
          <w:tcPr>
            <w:tcW w:w="1176" w:type="dxa"/>
            <w:hideMark/>
          </w:tcPr>
          <w:p>
            <w:pPr>
              <w:spacing w:before="60" w:after="60"/>
              <w:jc w:val="right"/>
              <w:rPr>
                <w:noProof/>
              </w:rPr>
            </w:pPr>
            <w:r>
              <w:rPr>
                <w:noProof/>
              </w:rPr>
              <w:t>(1,7 %)</w:t>
            </w:r>
          </w:p>
        </w:tc>
      </w:tr>
      <w:tr>
        <w:trPr>
          <w:jc w:val="center"/>
        </w:trPr>
        <w:tc>
          <w:tcPr>
            <w:tcW w:w="1496" w:type="dxa"/>
          </w:tcPr>
          <w:p>
            <w:pPr>
              <w:spacing w:before="60" w:after="60"/>
              <w:rPr>
                <w:noProof/>
              </w:rPr>
            </w:pPr>
          </w:p>
        </w:tc>
        <w:tc>
          <w:tcPr>
            <w:tcW w:w="2063" w:type="dxa"/>
            <w:hideMark/>
          </w:tcPr>
          <w:p>
            <w:pPr>
              <w:spacing w:before="60" w:after="60"/>
              <w:rPr>
                <w:noProof/>
              </w:rPr>
            </w:pPr>
            <w:r>
              <w:rPr>
                <w:noProof/>
              </w:rPr>
              <w:t>30–54 lat:</w:t>
            </w:r>
          </w:p>
        </w:tc>
        <w:tc>
          <w:tcPr>
            <w:tcW w:w="1176" w:type="dxa"/>
            <w:hideMark/>
          </w:tcPr>
          <w:p>
            <w:pPr>
              <w:spacing w:before="60" w:after="60"/>
              <w:jc w:val="right"/>
              <w:rPr>
                <w:noProof/>
              </w:rPr>
            </w:pPr>
            <w:r>
              <w:rPr>
                <w:noProof/>
              </w:rPr>
              <w:t>68</w:t>
            </w:r>
          </w:p>
        </w:tc>
        <w:tc>
          <w:tcPr>
            <w:tcW w:w="1176" w:type="dxa"/>
            <w:hideMark/>
          </w:tcPr>
          <w:p>
            <w:pPr>
              <w:spacing w:before="60" w:after="60"/>
              <w:jc w:val="right"/>
              <w:rPr>
                <w:noProof/>
              </w:rPr>
            </w:pPr>
            <w:r>
              <w:rPr>
                <w:noProof/>
              </w:rPr>
              <w:t>(17,0 %)</w:t>
            </w:r>
          </w:p>
        </w:tc>
      </w:tr>
      <w:tr>
        <w:trPr>
          <w:jc w:val="center"/>
        </w:trPr>
        <w:tc>
          <w:tcPr>
            <w:tcW w:w="1496" w:type="dxa"/>
          </w:tcPr>
          <w:p>
            <w:pPr>
              <w:spacing w:before="60" w:after="60"/>
              <w:rPr>
                <w:noProof/>
              </w:rPr>
            </w:pPr>
          </w:p>
        </w:tc>
        <w:tc>
          <w:tcPr>
            <w:tcW w:w="2063" w:type="dxa"/>
            <w:hideMark/>
          </w:tcPr>
          <w:p>
            <w:pPr>
              <w:spacing w:before="60" w:after="60"/>
              <w:rPr>
                <w:noProof/>
              </w:rPr>
            </w:pPr>
            <w:r>
              <w:rPr>
                <w:noProof/>
              </w:rPr>
              <w:t>55–64 lat:</w:t>
            </w:r>
          </w:p>
        </w:tc>
        <w:tc>
          <w:tcPr>
            <w:tcW w:w="1176" w:type="dxa"/>
            <w:hideMark/>
          </w:tcPr>
          <w:p>
            <w:pPr>
              <w:spacing w:before="60" w:after="60"/>
              <w:jc w:val="right"/>
              <w:rPr>
                <w:noProof/>
              </w:rPr>
            </w:pPr>
            <w:r>
              <w:rPr>
                <w:noProof/>
              </w:rPr>
              <w:t>325</w:t>
            </w:r>
          </w:p>
        </w:tc>
        <w:tc>
          <w:tcPr>
            <w:tcW w:w="1176" w:type="dxa"/>
            <w:hideMark/>
          </w:tcPr>
          <w:p>
            <w:pPr>
              <w:spacing w:before="60" w:after="60"/>
              <w:jc w:val="right"/>
              <w:rPr>
                <w:noProof/>
              </w:rPr>
            </w:pPr>
            <w:r>
              <w:rPr>
                <w:noProof/>
              </w:rPr>
              <w:t>(81,3 %)</w:t>
            </w:r>
          </w:p>
        </w:tc>
      </w:tr>
      <w:tr>
        <w:trPr>
          <w:jc w:val="center"/>
        </w:trPr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spacing w:before="60" w:after="60"/>
              <w:rPr>
                <w:noProof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>
            <w:pPr>
              <w:spacing w:before="60" w:after="60"/>
              <w:rPr>
                <w:noProof/>
              </w:rPr>
            </w:pPr>
            <w:r>
              <w:rPr>
                <w:noProof/>
              </w:rPr>
              <w:t>osoby w wieku powyżej 64 lat: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>
            <w:pPr>
              <w:spacing w:before="60" w:after="60"/>
              <w:jc w:val="right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>
            <w:pPr>
              <w:spacing w:before="60" w:after="60"/>
              <w:jc w:val="right"/>
              <w:rPr>
                <w:noProof/>
              </w:rPr>
            </w:pPr>
            <w:r>
              <w:rPr>
                <w:noProof/>
              </w:rPr>
              <w:t>(0,0 %)</w:t>
            </w:r>
          </w:p>
        </w:tc>
      </w:tr>
    </w:tbl>
    <w:p>
      <w:pPr>
        <w:pStyle w:val="ManualNumPar1"/>
        <w:rPr>
          <w:noProof/>
        </w:rPr>
      </w:pPr>
      <w:r>
        <w:t>28.</w:t>
      </w:r>
      <w:r>
        <w:tab/>
      </w:r>
      <w:r>
        <w:rPr>
          <w:noProof/>
        </w:rPr>
        <w:t>Oprócz tego Belgia będzie świadczyć zindywidualizowane usługi współfinansowane przez EFG na rzecz maksymalnie 330 osób niepracujących, niekształcących się ani nieszkolących się (młodzieży NEET), które w dniu złożenia wniosku nie przekroczyły 25. roku życia. Wynika to z faktu, że 240 zwolnień, o których mowa w pkt 5, ma miejsce w zaliczanych do poziomu NUTS 2 regionach Province Hainaut (BE32) i Province Liège (BE33), gdzie stopa bezrobocia osób młodych w wieku 15–24 lat wynosiła co najmniej 20 %</w:t>
      </w:r>
      <w:r>
        <w:rPr>
          <w:rStyle w:val="FootnoteReference"/>
          <w:noProof/>
        </w:rPr>
        <w:footnoteReference w:id="27"/>
      </w:r>
      <w:r>
        <w:rPr>
          <w:noProof/>
        </w:rPr>
        <w:t xml:space="preserve"> (według rocznych danych dostępnych za 2018 r.</w:t>
      </w:r>
      <w:r>
        <w:rPr>
          <w:rStyle w:val="FootnoteReference"/>
          <w:noProof/>
        </w:rPr>
        <w:footnoteReference w:id="28"/>
      </w:r>
      <w:r>
        <w:rPr>
          <w:noProof/>
        </w:rPr>
        <w:t>).</w:t>
      </w:r>
    </w:p>
    <w:p>
      <w:pPr>
        <w:pStyle w:val="ManualNumPar1"/>
        <w:rPr>
          <w:noProof/>
          <w:szCs w:val="20"/>
        </w:rPr>
      </w:pPr>
      <w:r>
        <w:t>29.</w:t>
      </w:r>
      <w:r>
        <w:tab/>
      </w:r>
      <w:r>
        <w:rPr>
          <w:noProof/>
        </w:rPr>
        <w:t>Całkowita szacowana liczba kwalifikujących się beneficjentów, którzy, jak się oczekuje, skorzystają ze środków, łącznie z młodzieżą NEET, wynosi zatem 730 osób.</w:t>
      </w:r>
      <w:r>
        <w:rPr>
          <w:noProof/>
          <w:color w:val="FFFFFF" w:themeColor="background1"/>
          <w:highlight w:val="magenta"/>
        </w:rPr>
        <w:t xml:space="preserve"> </w:t>
      </w:r>
    </w:p>
    <w:p>
      <w:pPr>
        <w:pStyle w:val="ManualHeading3"/>
        <w:rPr>
          <w:noProof/>
          <w:u w:val="single"/>
        </w:rPr>
      </w:pPr>
      <w:r>
        <w:rPr>
          <w:noProof/>
        </w:rPr>
        <w:t>Kwalifikowalność proponowanych działań</w:t>
      </w:r>
    </w:p>
    <w:p>
      <w:pPr>
        <w:pStyle w:val="ManualNumPar1"/>
        <w:rPr>
          <w:noProof/>
        </w:rPr>
      </w:pPr>
      <w:r>
        <w:t>30.</w:t>
      </w:r>
      <w:r>
        <w:tab/>
      </w:r>
      <w:r>
        <w:rPr>
          <w:noProof/>
        </w:rPr>
        <w:t xml:space="preserve">Zindywidualizowane usługi, które mają zostać zapewnione zwolnionym pracownikom i młodzieży NEET, obejmują następujące działania: </w:t>
      </w:r>
    </w:p>
    <w:p>
      <w:pPr>
        <w:pStyle w:val="Tiret1"/>
        <w:numPr>
          <w:ilvl w:val="0"/>
          <w:numId w:val="11"/>
        </w:numPr>
        <w:rPr>
          <w:noProof/>
        </w:rPr>
      </w:pPr>
      <w:r>
        <w:rPr>
          <w:noProof/>
          <w:u w:val="single"/>
        </w:rPr>
        <w:t>Wsparcie/doradztwo/integracja</w:t>
      </w:r>
      <w:r>
        <w:rPr>
          <w:noProof/>
        </w:rPr>
        <w:t>: Ten zestaw usług rozszerza standardową działalność wspierającą byłych pracowników Carrefour, prowadzoną w imieniu przedsiębiorstwa zwalniającego przez jednostki ds. przeniesienia pracowników walońskich publicznych służb zatrudnienia (Forem). Standardowa oferta zostanie przedłużona poza obowiązkowy okres</w:t>
      </w:r>
      <w:r>
        <w:rPr>
          <w:rStyle w:val="FootnoteReference"/>
          <w:noProof/>
        </w:rPr>
        <w:footnoteReference w:id="29"/>
      </w:r>
      <w:r>
        <w:rPr>
          <w:noProof/>
        </w:rPr>
        <w:t xml:space="preserve"> oraz zaproponowane zostaną dodatkowe konkretne usługi dla zwolnionych pracowników, takie jak aktywne poszukiwanie pracy i pośrednictwo w znalezieniu pracy:</w:t>
      </w:r>
    </w:p>
    <w:p>
      <w:pPr>
        <w:pStyle w:val="Text2"/>
        <w:rPr>
          <w:noProof/>
        </w:rPr>
      </w:pPr>
      <w:r>
        <w:rPr>
          <w:noProof/>
        </w:rPr>
        <w:t xml:space="preserve">Wsparcie i mobilizowanie młodzieży niekształcącej się, niepracującej ani nieszkolącej się prowadzone jest przez służby Forem i ich partnerów w związkach zawodowych. </w:t>
      </w:r>
    </w:p>
    <w:p>
      <w:pPr>
        <w:pStyle w:val="Text2"/>
        <w:rPr>
          <w:noProof/>
        </w:rPr>
      </w:pPr>
      <w:r>
        <w:rPr>
          <w:noProof/>
        </w:rPr>
        <w:t xml:space="preserve">Młodzież niekształcąca się, niepracująca ani nieszkoląca się (NEET) będzie miała możliwość udziału w trwającym dziewięć miesięcy programie intensywnego wsparcia społeczno-zawodowego </w:t>
      </w:r>
      <w:r>
        <w:rPr>
          <w:i/>
          <w:noProof/>
        </w:rPr>
        <w:t>Coup de boost.</w:t>
      </w:r>
      <w:r>
        <w:rPr>
          <w:noProof/>
        </w:rPr>
        <w:t xml:space="preserve"> Uczestnikom zaproponuje się szereg zbiorowych i indywidualnych działań na tematy związane z poszukiwaniem pracy: przygotowanie do rozmowy kwalifikacyjnej, podanie o rozmowę kwalifikacyjną itp., a także rozwijanie pewności siebie i zdolności komunikacyjnych; działania mające na celu poznanie środowiska pracy i szkolenie zawodowe (wizyty, staże, zdobywanie doświadczenia zawodowego itp.); indywidualne wywiady z doradcami lub trenerami społecznymi, aby pomóc każdej młodej osobie w określeniu swoich planów zawodowych; dostosowane informacje na temat prawa pracy i praw socjalnych oraz wsparcie w zakresie procedur administracyjnych; wymiana działań, w ramach których młodzi ludzie mogą się wzajemnie wspierać i dzielić swoimi </w:t>
      </w:r>
      <w:r>
        <w:rPr>
          <w:noProof/>
        </w:rPr>
        <w:lastRenderedPageBreak/>
        <w:t>doświadczeniami zawodowymi i doświadczeniami w poszukiwaniu pracy oraz szkoleniu itd.</w:t>
      </w:r>
    </w:p>
    <w:p>
      <w:pPr>
        <w:pStyle w:val="Text2"/>
        <w:rPr>
          <w:noProof/>
        </w:rPr>
      </w:pPr>
      <w:r>
        <w:rPr>
          <w:noProof/>
        </w:rPr>
        <w:t xml:space="preserve">Celem tego wsparcia jest zdobycie po jego zakończeniu przez młodzież NEET pierwszej pracy lub włączenie się do kwalifikowalnego programu szkoleniowego. Dodatkowe wsparcie jest również przewidziane po zakończeniu </w:t>
      </w:r>
      <w:r>
        <w:rPr>
          <w:i/>
          <w:iCs/>
          <w:noProof/>
        </w:rPr>
        <w:t>Coup de Boost</w:t>
      </w:r>
      <w:r>
        <w:rPr>
          <w:noProof/>
        </w:rPr>
        <w:t>, aby zagwarantować, że młodzież NEET włączy się w kształcenie lub zatrudnienie i że będzie mogła przezwyciężyć ewentualne trudności, które mogą się pojawić.</w:t>
      </w:r>
    </w:p>
    <w:p>
      <w:pPr>
        <w:pStyle w:val="Tiret1"/>
        <w:rPr>
          <w:noProof/>
        </w:rPr>
      </w:pPr>
      <w:r>
        <w:rPr>
          <w:noProof/>
          <w:u w:val="single"/>
        </w:rPr>
        <w:t>Szkolenie, przekwalifikowanie i szkolenie zawodowe.</w:t>
      </w:r>
      <w:r>
        <w:rPr>
          <w:noProof/>
        </w:rPr>
        <w:t xml:space="preserve"> Pracownicy i młodzież NEET będą mieli dostęp do standardowej oferty szkoleniowej Forem i ich partnerów, a także do konkretnych modułów poszukiwania pracy. Ponadto, po ustaleniu profilu i walidacji indywidualnych projektów zawodowych z doradcą zawodowym, zaoferowane zostanie konkretne szkolenie w celu zaspokojenia ustalonych potrzeb. Młodym ludziom, którzy by tego potrzebowali, będą również oferowane szkolenia w zakresie umiejętności podstawowych (biegłość w zakresie języka, matematyki, wykorzystania technologii informacyjnych itp.).</w:t>
      </w:r>
    </w:p>
    <w:p>
      <w:pPr>
        <w:pStyle w:val="Tiret1"/>
        <w:rPr>
          <w:noProof/>
        </w:rPr>
      </w:pPr>
      <w:r>
        <w:rPr>
          <w:noProof/>
          <w:u w:val="single"/>
        </w:rPr>
        <w:t>Wsparcie na założenie własnego przedsiębiorstwa.</w:t>
      </w:r>
      <w:r>
        <w:rPr>
          <w:noProof/>
        </w:rPr>
        <w:t xml:space="preserve"> Środek skierowany do pracowników będzie obejmował etap wstępnego badania potrzeb i orientacji, działania uświadamiające na temat przedsiębiorczości, sesje informacyjne na temat potencjalnych możliwości założenia działalności gospodarczej z wykorzystaniem regionalnych diagnoz ekonomicznych oraz tworzenie sieci kontaktów z odnośnymi przedsiębiorcami oraz z certyfikowanymi doradcami w dziedzinie zakładania przedsiębiorstw. </w:t>
      </w:r>
    </w:p>
    <w:p>
      <w:pPr>
        <w:pStyle w:val="Tiret1"/>
        <w:rPr>
          <w:noProof/>
        </w:rPr>
      </w:pPr>
      <w:r>
        <w:rPr>
          <w:noProof/>
          <w:u w:val="single"/>
        </w:rPr>
        <w:t>Pomoc finansowa na założenie działalności gospodarczej.</w:t>
      </w:r>
      <w:r>
        <w:rPr>
          <w:noProof/>
        </w:rPr>
        <w:t xml:space="preserve"> Pracownicy, którzy rozpoczną działalność gospodarczą lub działalność na własny rachunek, otrzymają dofinansowanie w wysokości do 15 000 EUR. Wkład będzie wypłacony w dwóch ratach po wykazaniu skutecznego rozwoju działalności oraz przedstawieniu dokumentów potwierdzających.</w:t>
      </w:r>
    </w:p>
    <w:p>
      <w:pPr>
        <w:pStyle w:val="Tiret1"/>
        <w:rPr>
          <w:noProof/>
        </w:rPr>
      </w:pPr>
      <w:r>
        <w:rPr>
          <w:noProof/>
          <w:u w:val="single"/>
        </w:rPr>
        <w:t>Dodatki</w:t>
      </w:r>
      <w:r>
        <w:rPr>
          <w:noProof/>
        </w:rPr>
        <w:t xml:space="preserve"> </w:t>
      </w:r>
      <w:r>
        <w:rPr>
          <w:b/>
          <w:noProof/>
        </w:rPr>
        <w:t>1) Dodatek na poszukiwanie pracy oraz dodatek na szkolenia</w:t>
      </w:r>
      <w:r>
        <w:rPr>
          <w:noProof/>
        </w:rPr>
        <w:t xml:space="preserve"> Pracownicy i młodzież NEET otrzymają 1 EUR za godzinę rzeczywistego udziału w prowadzonych przez jednostki Forem ds. przeniesienia pracowników szkoleniach lub działaniach w zakresie pośrednictwa pracy</w:t>
      </w:r>
      <w:r>
        <w:rPr>
          <w:rStyle w:val="FootnoteReference"/>
          <w:noProof/>
        </w:rPr>
        <w:footnoteReference w:id="30"/>
      </w:r>
      <w:r>
        <w:rPr>
          <w:noProof/>
        </w:rPr>
        <w:t xml:space="preserve">. </w:t>
      </w:r>
      <w:r>
        <w:rPr>
          <w:b/>
          <w:noProof/>
        </w:rPr>
        <w:t>2) Wsparcie finansowe na koszty dojazdów</w:t>
      </w:r>
      <w:r>
        <w:rPr>
          <w:noProof/>
        </w:rPr>
        <w:t xml:space="preserve"> W celu wspierania mobilności regionalnej i międzyregionalnej pracownicy i młodzież NEET podejmujący pracę w odległości większej niż 60 km od miejsca zamieszkania lub w odległości wymagającej ponad czterech godzin dojazdu do pracy (w obie strony), otrzymają ryczałtową kwotę w wysokości 500 EUR lub 750 EUR</w:t>
      </w:r>
      <w:r>
        <w:rPr>
          <w:rStyle w:val="FootnoteReference"/>
          <w:noProof/>
        </w:rPr>
        <w:footnoteReference w:id="31"/>
      </w:r>
      <w:r>
        <w:rPr>
          <w:noProof/>
        </w:rPr>
        <w:t xml:space="preserve">. </w:t>
      </w:r>
      <w:r>
        <w:rPr>
          <w:b/>
          <w:noProof/>
        </w:rPr>
        <w:t>3) Wsparcie na założenie własnego przedsiębiorstwa</w:t>
      </w:r>
      <w:r>
        <w:rPr>
          <w:noProof/>
        </w:rPr>
        <w:t xml:space="preserve"> W celu wsparcia pracowników w zakładaniu działalności gospodarczej</w:t>
      </w:r>
      <w:r>
        <w:rPr>
          <w:rStyle w:val="FootnoteReference"/>
          <w:noProof/>
        </w:rPr>
        <w:footnoteReference w:id="32"/>
      </w:r>
      <w:r>
        <w:rPr>
          <w:noProof/>
        </w:rPr>
        <w:t xml:space="preserve"> przyznawany będzie miesięczny dodatek w wysokości 350 EUR na okres nie dłuższy niż 12 miesięcy. </w:t>
      </w:r>
      <w:r>
        <w:rPr>
          <w:b/>
          <w:noProof/>
        </w:rPr>
        <w:t>4) Dodatek na powrót do szkoły</w:t>
      </w:r>
      <w:r>
        <w:rPr>
          <w:noProof/>
        </w:rPr>
        <w:t xml:space="preserve"> Pracownikom i młodzieży NEET, którzy podejmą naukę przez co najmniej rok w pełnym wymiarze godzin </w:t>
      </w:r>
      <w:r>
        <w:rPr>
          <w:i/>
          <w:iCs/>
          <w:noProof/>
        </w:rPr>
        <w:lastRenderedPageBreak/>
        <w:t>(</w:t>
      </w:r>
      <w:r>
        <w:rPr>
          <w:i/>
          <w:noProof/>
        </w:rPr>
        <w:t>études de plein exercice</w:t>
      </w:r>
      <w:r>
        <w:rPr>
          <w:i/>
          <w:iCs/>
          <w:noProof/>
        </w:rPr>
        <w:t>)</w:t>
      </w:r>
      <w:r>
        <w:rPr>
          <w:noProof/>
        </w:rPr>
        <w:t>, przysługuje dodatek miesięczny w wysokości 350 EUR przez okres co najmniej jednego roku.</w:t>
      </w:r>
    </w:p>
    <w:p>
      <w:pPr>
        <w:pStyle w:val="ManualNumPar1"/>
        <w:rPr>
          <w:noProof/>
        </w:rPr>
      </w:pPr>
      <w:r>
        <w:t>31.</w:t>
      </w:r>
      <w:r>
        <w:tab/>
      </w:r>
      <w:r>
        <w:rPr>
          <w:noProof/>
        </w:rPr>
        <w:t>Opisane powyżej proponowane działania stanowią aktywne instrumenty rynku pracy należące do działań kwalifikowalnych określonych w art. 7 rozporządzenia w sprawie EFG. Działania te nie zastępują biernych środków ochrony socjalnej.</w:t>
      </w:r>
    </w:p>
    <w:p>
      <w:pPr>
        <w:pStyle w:val="ManualNumPar1"/>
        <w:rPr>
          <w:noProof/>
        </w:rPr>
      </w:pPr>
      <w:r>
        <w:t>32.</w:t>
      </w:r>
      <w:r>
        <w:tab/>
      </w:r>
      <w:r>
        <w:rPr>
          <w:noProof/>
        </w:rPr>
        <w:t>Belgia dostarczyła wymaganych informacji na temat działań, do których przedmiotowe przedsiębiorstwo jest zobowiązane na mocy ustawodawstwa krajowego lub układów zbiorowych. Potwierdzono, że wkład finansowy z EFG nie zastąpi tego typu działań.</w:t>
      </w:r>
    </w:p>
    <w:p>
      <w:pPr>
        <w:pStyle w:val="ManualHeading3"/>
        <w:rPr>
          <w:noProof/>
        </w:rPr>
      </w:pPr>
      <w:r>
        <w:rPr>
          <w:noProof/>
        </w:rPr>
        <w:t>Szacowany budżet</w:t>
      </w:r>
    </w:p>
    <w:p>
      <w:pPr>
        <w:pStyle w:val="ManualNumPar1"/>
        <w:rPr>
          <w:noProof/>
        </w:rPr>
      </w:pPr>
      <w:r>
        <w:t>33.</w:t>
      </w:r>
      <w:r>
        <w:tab/>
      </w:r>
      <w:r>
        <w:rPr>
          <w:noProof/>
        </w:rPr>
        <w:t>Szacowane łączne koszty wynoszą 2 720 047 EUR i obejmują wydatki na zindywidualizowane usługi w wysokości 2 665 047 EUR oraz wydatki na działania przygotowawcze, działania w zakresie zarządzania, dostarczania i upowszechniania informacji i działania w zakresie kontroli i sprawozdawczości w wysokości 55 000 EUR.</w:t>
      </w:r>
    </w:p>
    <w:p>
      <w:pPr>
        <w:pStyle w:val="ManualNumPar1"/>
        <w:rPr>
          <w:noProof/>
        </w:rPr>
      </w:pPr>
      <w:r>
        <w:t>34.</w:t>
      </w:r>
      <w:r>
        <w:tab/>
      </w:r>
      <w:r>
        <w:rPr>
          <w:noProof/>
        </w:rPr>
        <w:t>Całkowity objęty wnioskiem finansowy wkład z EFG wynosi 1 632 028 EUR (60 % łącznych kosztów).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1548"/>
        <w:gridCol w:w="1548"/>
        <w:gridCol w:w="1548"/>
      </w:tblGrid>
      <w:tr>
        <w:trPr>
          <w:tblHeader/>
        </w:trPr>
        <w:tc>
          <w:tcPr>
            <w:tcW w:w="4644" w:type="dxa"/>
            <w:shd w:val="clear" w:color="auto" w:fill="auto"/>
            <w:vAlign w:val="center"/>
          </w:tcPr>
          <w:p>
            <w:pPr>
              <w:spacing w:before="60" w:after="60"/>
              <w:jc w:val="center"/>
              <w:rPr>
                <w:rFonts w:eastAsia="Times New Roman"/>
                <w:noProof/>
                <w:sz w:val="22"/>
              </w:rPr>
            </w:pPr>
            <w:r>
              <w:rPr>
                <w:noProof/>
                <w:sz w:val="22"/>
              </w:rPr>
              <w:t>Działania</w:t>
            </w:r>
          </w:p>
        </w:tc>
        <w:tc>
          <w:tcPr>
            <w:tcW w:w="1548" w:type="dxa"/>
            <w:shd w:val="clear" w:color="auto" w:fill="auto"/>
            <w:vAlign w:val="center"/>
          </w:tcPr>
          <w:p>
            <w:pPr>
              <w:spacing w:before="60" w:after="60"/>
              <w:jc w:val="center"/>
              <w:rPr>
                <w:rFonts w:eastAsia="Times New Roman"/>
                <w:noProof/>
                <w:sz w:val="22"/>
              </w:rPr>
            </w:pPr>
            <w:r>
              <w:rPr>
                <w:noProof/>
                <w:sz w:val="22"/>
              </w:rPr>
              <w:t>Szacowana liczba uczestników</w:t>
            </w:r>
          </w:p>
        </w:tc>
        <w:tc>
          <w:tcPr>
            <w:tcW w:w="1548" w:type="dxa"/>
            <w:shd w:val="clear" w:color="auto" w:fill="auto"/>
            <w:vAlign w:val="center"/>
          </w:tcPr>
          <w:p>
            <w:pPr>
              <w:spacing w:before="60" w:after="60"/>
              <w:jc w:val="center"/>
              <w:rPr>
                <w:rFonts w:eastAsia="Times New Roman"/>
                <w:noProof/>
                <w:sz w:val="22"/>
              </w:rPr>
            </w:pPr>
            <w:r>
              <w:rPr>
                <w:noProof/>
                <w:sz w:val="22"/>
              </w:rPr>
              <w:t>Szacowany koszt na uczestnika</w:t>
            </w:r>
            <w:r>
              <w:rPr>
                <w:noProof/>
                <w:sz w:val="22"/>
              </w:rPr>
              <w:br/>
            </w:r>
            <w:r>
              <w:rPr>
                <w:i/>
                <w:noProof/>
                <w:sz w:val="22"/>
              </w:rPr>
              <w:t>(w EUR)</w:t>
            </w:r>
            <w:r>
              <w:rPr>
                <w:rStyle w:val="FootnoteReference"/>
                <w:i/>
                <w:noProof/>
                <w:sz w:val="22"/>
              </w:rPr>
              <w:footnoteReference w:id="33"/>
            </w:r>
          </w:p>
        </w:tc>
        <w:tc>
          <w:tcPr>
            <w:tcW w:w="1548" w:type="dxa"/>
            <w:shd w:val="clear" w:color="auto" w:fill="auto"/>
            <w:vAlign w:val="center"/>
          </w:tcPr>
          <w:p>
            <w:pPr>
              <w:spacing w:before="60" w:after="60"/>
              <w:jc w:val="center"/>
              <w:rPr>
                <w:rFonts w:eastAsia="Times New Roman"/>
                <w:noProof/>
                <w:sz w:val="22"/>
              </w:rPr>
            </w:pPr>
            <w:r>
              <w:rPr>
                <w:noProof/>
                <w:sz w:val="22"/>
              </w:rPr>
              <w:t>Szacowane łączne koszty</w:t>
            </w:r>
          </w:p>
          <w:p>
            <w:pPr>
              <w:spacing w:before="60" w:after="60"/>
              <w:jc w:val="center"/>
              <w:rPr>
                <w:rFonts w:eastAsia="Times New Roman"/>
                <w:noProof/>
                <w:sz w:val="22"/>
              </w:rPr>
            </w:pPr>
            <w:r>
              <w:rPr>
                <w:i/>
                <w:noProof/>
                <w:sz w:val="22"/>
              </w:rPr>
              <w:t>(w EUR)</w:t>
            </w:r>
            <w:r>
              <w:rPr>
                <w:rStyle w:val="FootnoteReference"/>
                <w:i/>
                <w:noProof/>
                <w:sz w:val="22"/>
              </w:rPr>
              <w:footnoteReference w:id="34"/>
            </w:r>
            <w:r>
              <w:rPr>
                <w:i/>
                <w:noProof/>
                <w:sz w:val="22"/>
              </w:rPr>
              <w:t xml:space="preserve"> </w:t>
            </w:r>
          </w:p>
        </w:tc>
      </w:tr>
      <w:tr>
        <w:tc>
          <w:tcPr>
            <w:tcW w:w="9288" w:type="dxa"/>
            <w:gridSpan w:val="4"/>
            <w:shd w:val="clear" w:color="auto" w:fill="auto"/>
          </w:tcPr>
          <w:p>
            <w:pPr>
              <w:spacing w:before="60" w:after="60"/>
              <w:jc w:val="left"/>
              <w:rPr>
                <w:rFonts w:eastAsia="Times New Roman"/>
                <w:noProof/>
                <w:sz w:val="22"/>
              </w:rPr>
            </w:pPr>
            <w:r>
              <w:rPr>
                <w:noProof/>
                <w:sz w:val="22"/>
              </w:rPr>
              <w:t>Zindywidualizowane usługi (działania na podstawie art. 7 ust. 1 lit. a) i c) rozporządzenia w sprawie EFG)</w:t>
            </w:r>
          </w:p>
        </w:tc>
      </w:tr>
      <w:tr>
        <w:trPr>
          <w:trHeight w:val="802"/>
        </w:trPr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before="60" w:after="60"/>
              <w:jc w:val="left"/>
              <w:rPr>
                <w:noProof/>
              </w:rPr>
            </w:pPr>
            <w:r>
              <w:rPr>
                <w:noProof/>
              </w:rPr>
              <w:t>Wsparcie/doradztwo/integracja:</w:t>
            </w:r>
            <w:r>
              <w:rPr>
                <w:noProof/>
              </w:rPr>
              <w:br/>
              <w:t>(</w:t>
            </w:r>
            <w:r>
              <w:rPr>
                <w:i/>
                <w:noProof/>
              </w:rPr>
              <w:t>Accompagnement, orientation, mobilisation et insertion)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730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2 241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1 636 130</w:t>
            </w:r>
          </w:p>
        </w:tc>
      </w:tr>
      <w:tr>
        <w:trPr>
          <w:trHeight w:val="802"/>
        </w:trPr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before="60" w:after="60"/>
              <w:jc w:val="left"/>
              <w:rPr>
                <w:noProof/>
              </w:rPr>
            </w:pPr>
            <w:r>
              <w:rPr>
                <w:noProof/>
              </w:rPr>
              <w:t xml:space="preserve">Szkolenie, przekwalifikowanie i szkolenie zawodowe </w:t>
            </w:r>
            <w:r>
              <w:rPr>
                <w:noProof/>
              </w:rPr>
              <w:br/>
              <w:t>(</w:t>
            </w:r>
            <w:r>
              <w:rPr>
                <w:i/>
                <w:noProof/>
              </w:rPr>
              <w:t>Formation et modules specifiques)</w:t>
            </w:r>
            <w:r>
              <w:rPr>
                <w:i/>
                <w:noProof/>
              </w:rPr>
              <w:br/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460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941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432 710</w:t>
            </w:r>
          </w:p>
        </w:tc>
      </w:tr>
      <w:tr>
        <w:trPr>
          <w:trHeight w:val="802"/>
        </w:trPr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before="60" w:after="60"/>
              <w:jc w:val="left"/>
              <w:rPr>
                <w:noProof/>
              </w:rPr>
            </w:pPr>
            <w:r>
              <w:rPr>
                <w:noProof/>
              </w:rPr>
              <w:t>Wsparcie na założenie własnego przedsiębiorstwa</w:t>
            </w:r>
            <w:r>
              <w:rPr>
                <w:noProof/>
              </w:rPr>
              <w:br/>
              <w:t>(</w:t>
            </w:r>
            <w:r>
              <w:rPr>
                <w:i/>
                <w:noProof/>
              </w:rPr>
              <w:t>Dispositif d'accompagnement à l'entreprenariat)</w:t>
            </w:r>
            <w:r>
              <w:rPr>
                <w:noProof/>
              </w:rPr>
              <w:t xml:space="preserve">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250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463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115 743</w:t>
            </w:r>
          </w:p>
        </w:tc>
      </w:tr>
      <w:tr>
        <w:trPr>
          <w:trHeight w:val="802"/>
        </w:trPr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before="60" w:after="60"/>
              <w:jc w:val="left"/>
              <w:rPr>
                <w:noProof/>
              </w:rPr>
            </w:pPr>
            <w:r>
              <w:rPr>
                <w:noProof/>
              </w:rPr>
              <w:t>Pomoc na założenie działalności gospodarczej</w:t>
            </w:r>
            <w:r>
              <w:rPr>
                <w:noProof/>
              </w:rPr>
              <w:br/>
              <w:t>(</w:t>
            </w:r>
            <w:r>
              <w:rPr>
                <w:i/>
                <w:noProof/>
              </w:rPr>
              <w:t>Bourse de lancement)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10 000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100 000</w:t>
            </w:r>
          </w:p>
        </w:tc>
      </w:tr>
      <w:tr>
        <w:trPr>
          <w:trHeight w:val="398"/>
        </w:trPr>
        <w:tc>
          <w:tcPr>
            <w:tcW w:w="4644" w:type="dxa"/>
            <w:vMerge w:val="restart"/>
            <w:shd w:val="clear" w:color="auto" w:fill="auto"/>
            <w:vAlign w:val="center"/>
          </w:tcPr>
          <w:p>
            <w:pPr>
              <w:spacing w:before="60" w:after="60"/>
              <w:jc w:val="right"/>
              <w:rPr>
                <w:rFonts w:eastAsia="Times New Roman"/>
                <w:noProof/>
                <w:sz w:val="22"/>
              </w:rPr>
            </w:pPr>
            <w:r>
              <w:rPr>
                <w:noProof/>
                <w:sz w:val="22"/>
              </w:rPr>
              <w:t>Ogółem a):</w:t>
            </w:r>
          </w:p>
          <w:p>
            <w:pPr>
              <w:spacing w:before="60" w:after="60"/>
              <w:jc w:val="right"/>
              <w:rPr>
                <w:rFonts w:eastAsia="Times New Roman"/>
                <w:noProof/>
                <w:sz w:val="22"/>
              </w:rPr>
            </w:pPr>
            <w:r>
              <w:rPr>
                <w:noProof/>
                <w:sz w:val="22"/>
              </w:rPr>
              <w:t xml:space="preserve">udział procentowy pakietu zindywidualizowanych usług </w:t>
            </w:r>
          </w:p>
        </w:tc>
        <w:tc>
          <w:tcPr>
            <w:tcW w:w="3096" w:type="dxa"/>
            <w:gridSpan w:val="2"/>
            <w:vMerge w:val="restart"/>
            <w:shd w:val="clear" w:color="auto" w:fill="D9D9D9"/>
            <w:vAlign w:val="center"/>
          </w:tcPr>
          <w:p>
            <w:pPr>
              <w:spacing w:before="60" w:after="60"/>
              <w:jc w:val="center"/>
              <w:rPr>
                <w:rFonts w:eastAsia="Times New Roman"/>
                <w:noProof/>
                <w:sz w:val="22"/>
              </w:rPr>
            </w:pPr>
            <w:r>
              <w:rPr>
                <w:noProof/>
                <w:sz w:val="22"/>
              </w:rPr>
              <w:t>–</w:t>
            </w:r>
          </w:p>
        </w:tc>
        <w:tc>
          <w:tcPr>
            <w:tcW w:w="1548" w:type="dxa"/>
            <w:tcBorders>
              <w:bottom w:val="nil"/>
            </w:tcBorders>
            <w:shd w:val="clear" w:color="auto" w:fill="auto"/>
            <w:vAlign w:val="center"/>
          </w:tcPr>
          <w:p>
            <w:pPr>
              <w:spacing w:before="60" w:after="60"/>
              <w:jc w:val="center"/>
              <w:rPr>
                <w:rFonts w:eastAsia="Times New Roman"/>
                <w:noProof/>
                <w:sz w:val="22"/>
              </w:rPr>
            </w:pPr>
            <w:r>
              <w:rPr>
                <w:noProof/>
              </w:rPr>
              <w:t>2 284 583</w:t>
            </w:r>
          </w:p>
        </w:tc>
      </w:tr>
      <w:tr>
        <w:trPr>
          <w:trHeight w:val="397"/>
        </w:trPr>
        <w:tc>
          <w:tcPr>
            <w:tcW w:w="4644" w:type="dxa"/>
            <w:vMerge/>
            <w:shd w:val="clear" w:color="auto" w:fill="auto"/>
            <w:vAlign w:val="center"/>
          </w:tcPr>
          <w:p>
            <w:pPr>
              <w:spacing w:before="60" w:after="60"/>
              <w:jc w:val="right"/>
              <w:rPr>
                <w:rFonts w:eastAsia="Times New Roman"/>
                <w:noProof/>
                <w:sz w:val="22"/>
              </w:rPr>
            </w:pPr>
          </w:p>
        </w:tc>
        <w:tc>
          <w:tcPr>
            <w:tcW w:w="3096" w:type="dxa"/>
            <w:gridSpan w:val="2"/>
            <w:vMerge/>
            <w:shd w:val="clear" w:color="auto" w:fill="D9D9D9"/>
            <w:vAlign w:val="center"/>
          </w:tcPr>
          <w:p>
            <w:pPr>
              <w:spacing w:before="60" w:after="60"/>
              <w:jc w:val="center"/>
              <w:rPr>
                <w:rFonts w:eastAsia="Times New Roman"/>
                <w:noProof/>
                <w:sz w:val="22"/>
              </w:rPr>
            </w:pPr>
          </w:p>
        </w:tc>
        <w:tc>
          <w:tcPr>
            <w:tcW w:w="1548" w:type="dxa"/>
            <w:tcBorders>
              <w:top w:val="nil"/>
            </w:tcBorders>
            <w:shd w:val="clear" w:color="auto" w:fill="auto"/>
            <w:vAlign w:val="center"/>
          </w:tcPr>
          <w:p>
            <w:pPr>
              <w:spacing w:before="60" w:after="60"/>
              <w:jc w:val="center"/>
              <w:rPr>
                <w:rFonts w:eastAsia="Times New Roman"/>
                <w:noProof/>
                <w:sz w:val="22"/>
              </w:rPr>
            </w:pPr>
            <w:r>
              <w:rPr>
                <w:noProof/>
                <w:sz w:val="22"/>
              </w:rPr>
              <w:t>(</w:t>
            </w:r>
            <w:r>
              <w:rPr>
                <w:noProof/>
              </w:rPr>
              <w:t>85,72 </w:t>
            </w:r>
            <w:r>
              <w:rPr>
                <w:noProof/>
                <w:sz w:val="22"/>
              </w:rPr>
              <w:t>%)</w:t>
            </w:r>
          </w:p>
        </w:tc>
      </w:tr>
      <w:tr>
        <w:tc>
          <w:tcPr>
            <w:tcW w:w="9288" w:type="dxa"/>
            <w:gridSpan w:val="4"/>
            <w:shd w:val="clear" w:color="auto" w:fill="auto"/>
            <w:vAlign w:val="center"/>
          </w:tcPr>
          <w:p>
            <w:pPr>
              <w:spacing w:before="60" w:after="60"/>
              <w:jc w:val="left"/>
              <w:rPr>
                <w:noProof/>
                <w:sz w:val="22"/>
              </w:rPr>
            </w:pPr>
            <w:r>
              <w:rPr>
                <w:noProof/>
                <w:sz w:val="22"/>
              </w:rPr>
              <w:lastRenderedPageBreak/>
              <w:t>Dodatki i zachęty (działania na podstawie art. 7 ust. 1 lit. b) rozporządzenia w sprawie EFG)</w:t>
            </w:r>
          </w:p>
        </w:tc>
      </w:tr>
      <w:tr>
        <w:trPr>
          <w:trHeight w:val="802"/>
        </w:trPr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before="60" w:after="60"/>
              <w:jc w:val="left"/>
              <w:rPr>
                <w:noProof/>
              </w:rPr>
            </w:pPr>
            <w:r>
              <w:rPr>
                <w:noProof/>
              </w:rPr>
              <w:t>Dodatki</w:t>
            </w:r>
            <w:r>
              <w:rPr>
                <w:noProof/>
              </w:rPr>
              <w:br/>
              <w:t>(</w:t>
            </w:r>
            <w:r>
              <w:rPr>
                <w:i/>
                <w:noProof/>
              </w:rPr>
              <w:t>Allocations et primes)</w:t>
            </w:r>
            <w:r>
              <w:rPr>
                <w:noProof/>
              </w:rPr>
              <w:t xml:space="preserve">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730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521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380 464</w:t>
            </w:r>
          </w:p>
        </w:tc>
      </w:tr>
      <w:tr>
        <w:trPr>
          <w:trHeight w:val="203"/>
        </w:trPr>
        <w:tc>
          <w:tcPr>
            <w:tcW w:w="4644" w:type="dxa"/>
            <w:vMerge w:val="restart"/>
            <w:shd w:val="clear" w:color="auto" w:fill="auto"/>
            <w:vAlign w:val="center"/>
          </w:tcPr>
          <w:p>
            <w:pPr>
              <w:spacing w:before="60" w:after="60"/>
              <w:jc w:val="right"/>
              <w:rPr>
                <w:rFonts w:eastAsia="Times New Roman"/>
                <w:noProof/>
                <w:sz w:val="22"/>
              </w:rPr>
            </w:pPr>
            <w:r>
              <w:rPr>
                <w:noProof/>
                <w:sz w:val="22"/>
              </w:rPr>
              <w:t>Ogółem b):</w:t>
            </w:r>
          </w:p>
          <w:p>
            <w:pPr>
              <w:spacing w:before="60" w:after="60"/>
              <w:jc w:val="right"/>
              <w:rPr>
                <w:rFonts w:eastAsia="Times New Roman"/>
                <w:noProof/>
                <w:sz w:val="22"/>
              </w:rPr>
            </w:pPr>
            <w:r>
              <w:rPr>
                <w:noProof/>
                <w:sz w:val="22"/>
              </w:rPr>
              <w:t>udział procentowy pakietu zindywidualizowanych usług</w:t>
            </w:r>
          </w:p>
        </w:tc>
        <w:tc>
          <w:tcPr>
            <w:tcW w:w="3096" w:type="dxa"/>
            <w:gridSpan w:val="2"/>
            <w:vMerge w:val="restart"/>
            <w:shd w:val="clear" w:color="auto" w:fill="D9D9D9"/>
            <w:vAlign w:val="center"/>
          </w:tcPr>
          <w:p>
            <w:pPr>
              <w:spacing w:before="60" w:after="60"/>
              <w:jc w:val="center"/>
              <w:rPr>
                <w:rFonts w:eastAsia="Times New Roman"/>
                <w:noProof/>
                <w:sz w:val="22"/>
              </w:rPr>
            </w:pPr>
            <w:r>
              <w:rPr>
                <w:noProof/>
                <w:sz w:val="22"/>
              </w:rPr>
              <w:t>–</w:t>
            </w:r>
          </w:p>
        </w:tc>
        <w:tc>
          <w:tcPr>
            <w:tcW w:w="1548" w:type="dxa"/>
            <w:tcBorders>
              <w:bottom w:val="nil"/>
            </w:tcBorders>
            <w:shd w:val="clear" w:color="auto" w:fill="auto"/>
            <w:vAlign w:val="center"/>
          </w:tcPr>
          <w:p>
            <w:pPr>
              <w:spacing w:before="60" w:after="60"/>
              <w:jc w:val="center"/>
              <w:rPr>
                <w:rFonts w:eastAsia="Times New Roman"/>
                <w:noProof/>
                <w:sz w:val="22"/>
              </w:rPr>
            </w:pPr>
            <w:r>
              <w:rPr>
                <w:noProof/>
              </w:rPr>
              <w:t>380 464</w:t>
            </w:r>
          </w:p>
        </w:tc>
      </w:tr>
      <w:tr>
        <w:trPr>
          <w:trHeight w:val="202"/>
        </w:trPr>
        <w:tc>
          <w:tcPr>
            <w:tcW w:w="4644" w:type="dxa"/>
            <w:vMerge/>
            <w:shd w:val="clear" w:color="auto" w:fill="auto"/>
            <w:vAlign w:val="center"/>
          </w:tcPr>
          <w:p>
            <w:pPr>
              <w:spacing w:before="60" w:after="60"/>
              <w:jc w:val="right"/>
              <w:rPr>
                <w:rFonts w:eastAsia="Times New Roman"/>
                <w:noProof/>
                <w:sz w:val="22"/>
              </w:rPr>
            </w:pPr>
          </w:p>
        </w:tc>
        <w:tc>
          <w:tcPr>
            <w:tcW w:w="3096" w:type="dxa"/>
            <w:gridSpan w:val="2"/>
            <w:vMerge/>
            <w:shd w:val="clear" w:color="auto" w:fill="D9D9D9"/>
            <w:vAlign w:val="center"/>
          </w:tcPr>
          <w:p>
            <w:pPr>
              <w:spacing w:before="60" w:after="60"/>
              <w:jc w:val="center"/>
              <w:rPr>
                <w:rFonts w:eastAsia="Times New Roman"/>
                <w:noProof/>
                <w:sz w:val="22"/>
              </w:rPr>
            </w:pPr>
          </w:p>
        </w:tc>
        <w:tc>
          <w:tcPr>
            <w:tcW w:w="1548" w:type="dxa"/>
            <w:tcBorders>
              <w:top w:val="nil"/>
            </w:tcBorders>
            <w:shd w:val="clear" w:color="auto" w:fill="auto"/>
            <w:vAlign w:val="center"/>
          </w:tcPr>
          <w:p>
            <w:pPr>
              <w:spacing w:before="60" w:after="60"/>
              <w:jc w:val="center"/>
              <w:rPr>
                <w:rFonts w:eastAsia="Times New Roman"/>
                <w:noProof/>
                <w:sz w:val="22"/>
              </w:rPr>
            </w:pPr>
            <w:r>
              <w:rPr>
                <w:noProof/>
                <w:sz w:val="22"/>
              </w:rPr>
              <w:t>(14,28 %)</w:t>
            </w:r>
          </w:p>
        </w:tc>
      </w:tr>
      <w:tr>
        <w:tc>
          <w:tcPr>
            <w:tcW w:w="9288" w:type="dxa"/>
            <w:gridSpan w:val="4"/>
            <w:shd w:val="clear" w:color="auto" w:fill="auto"/>
            <w:vAlign w:val="center"/>
          </w:tcPr>
          <w:p>
            <w:pPr>
              <w:spacing w:before="60" w:after="60"/>
              <w:jc w:val="left"/>
              <w:rPr>
                <w:rFonts w:eastAsia="Times New Roman"/>
                <w:noProof/>
                <w:sz w:val="22"/>
              </w:rPr>
            </w:pPr>
            <w:r>
              <w:rPr>
                <w:noProof/>
                <w:sz w:val="22"/>
              </w:rPr>
              <w:t xml:space="preserve"> Działania na podstawie art. 7 ust. 4 rozporządzenia w sprawie EFG</w:t>
            </w:r>
          </w:p>
        </w:tc>
      </w:tr>
      <w:tr>
        <w:tc>
          <w:tcPr>
            <w:tcW w:w="4644" w:type="dxa"/>
            <w:shd w:val="clear" w:color="auto" w:fill="auto"/>
          </w:tcPr>
          <w:p>
            <w:pPr>
              <w:spacing w:before="60" w:after="60"/>
              <w:ind w:left="284"/>
              <w:jc w:val="left"/>
              <w:rPr>
                <w:rFonts w:eastAsia="Times New Roman"/>
                <w:noProof/>
                <w:sz w:val="22"/>
              </w:rPr>
            </w:pPr>
            <w:r>
              <w:rPr>
                <w:noProof/>
                <w:sz w:val="22"/>
              </w:rPr>
              <w:t>1. Działania przygotowawcze</w:t>
            </w:r>
          </w:p>
        </w:tc>
        <w:tc>
          <w:tcPr>
            <w:tcW w:w="3096" w:type="dxa"/>
            <w:gridSpan w:val="2"/>
            <w:shd w:val="clear" w:color="auto" w:fill="D9D9D9"/>
            <w:vAlign w:val="center"/>
          </w:tcPr>
          <w:p>
            <w:pPr>
              <w:spacing w:before="60" w:after="60"/>
              <w:jc w:val="center"/>
              <w:rPr>
                <w:rFonts w:eastAsia="Times New Roman"/>
                <w:noProof/>
                <w:sz w:val="22"/>
              </w:rPr>
            </w:pPr>
            <w:r>
              <w:rPr>
                <w:noProof/>
                <w:sz w:val="22"/>
              </w:rPr>
              <w:t>–</w:t>
            </w:r>
          </w:p>
        </w:tc>
        <w:tc>
          <w:tcPr>
            <w:tcW w:w="1548" w:type="dxa"/>
            <w:shd w:val="clear" w:color="auto" w:fill="auto"/>
          </w:tcPr>
          <w:p>
            <w:pPr>
              <w:spacing w:before="60" w:after="60"/>
              <w:jc w:val="center"/>
              <w:rPr>
                <w:rFonts w:eastAsia="Times New Roman"/>
                <w:noProof/>
                <w:sz w:val="22"/>
              </w:rPr>
            </w:pPr>
            <w:r>
              <w:rPr>
                <w:noProof/>
              </w:rPr>
              <w:t>0</w:t>
            </w:r>
          </w:p>
        </w:tc>
      </w:tr>
      <w:tr>
        <w:tc>
          <w:tcPr>
            <w:tcW w:w="4644" w:type="dxa"/>
            <w:shd w:val="clear" w:color="auto" w:fill="auto"/>
          </w:tcPr>
          <w:p>
            <w:pPr>
              <w:spacing w:before="60" w:after="60"/>
              <w:ind w:left="284"/>
              <w:jc w:val="left"/>
              <w:rPr>
                <w:rFonts w:eastAsia="Times New Roman"/>
                <w:noProof/>
                <w:sz w:val="22"/>
              </w:rPr>
            </w:pPr>
            <w:r>
              <w:rPr>
                <w:noProof/>
                <w:sz w:val="22"/>
              </w:rPr>
              <w:t>2. Zarządzanie</w:t>
            </w:r>
          </w:p>
        </w:tc>
        <w:tc>
          <w:tcPr>
            <w:tcW w:w="3096" w:type="dxa"/>
            <w:gridSpan w:val="2"/>
            <w:shd w:val="clear" w:color="auto" w:fill="D9D9D9"/>
            <w:vAlign w:val="center"/>
          </w:tcPr>
          <w:p>
            <w:pPr>
              <w:spacing w:before="60" w:after="60"/>
              <w:jc w:val="center"/>
              <w:rPr>
                <w:rFonts w:eastAsia="Times New Roman"/>
                <w:noProof/>
                <w:sz w:val="22"/>
              </w:rPr>
            </w:pPr>
            <w:r>
              <w:rPr>
                <w:noProof/>
                <w:sz w:val="22"/>
              </w:rPr>
              <w:t>–</w:t>
            </w:r>
          </w:p>
        </w:tc>
        <w:tc>
          <w:tcPr>
            <w:tcW w:w="1548" w:type="dxa"/>
            <w:shd w:val="clear" w:color="auto" w:fill="auto"/>
          </w:tcPr>
          <w:p>
            <w:pPr>
              <w:spacing w:before="60" w:after="60"/>
              <w:jc w:val="center"/>
              <w:rPr>
                <w:rFonts w:eastAsia="Times New Roman"/>
                <w:noProof/>
                <w:sz w:val="22"/>
              </w:rPr>
            </w:pPr>
            <w:r>
              <w:rPr>
                <w:noProof/>
              </w:rPr>
              <w:t>10 000</w:t>
            </w:r>
          </w:p>
        </w:tc>
      </w:tr>
      <w:tr>
        <w:tc>
          <w:tcPr>
            <w:tcW w:w="4644" w:type="dxa"/>
            <w:shd w:val="clear" w:color="auto" w:fill="auto"/>
          </w:tcPr>
          <w:p>
            <w:pPr>
              <w:spacing w:before="60" w:after="60"/>
              <w:ind w:left="284"/>
              <w:jc w:val="left"/>
              <w:rPr>
                <w:rFonts w:eastAsia="Times New Roman"/>
                <w:noProof/>
                <w:sz w:val="22"/>
              </w:rPr>
            </w:pPr>
            <w:r>
              <w:rPr>
                <w:noProof/>
                <w:sz w:val="22"/>
              </w:rPr>
              <w:t>3. Dostarczanie i upowszechnianie informacji</w:t>
            </w:r>
          </w:p>
        </w:tc>
        <w:tc>
          <w:tcPr>
            <w:tcW w:w="3096" w:type="dxa"/>
            <w:gridSpan w:val="2"/>
            <w:shd w:val="clear" w:color="auto" w:fill="D9D9D9"/>
            <w:vAlign w:val="center"/>
          </w:tcPr>
          <w:p>
            <w:pPr>
              <w:spacing w:before="60" w:after="60"/>
              <w:jc w:val="center"/>
              <w:rPr>
                <w:rFonts w:eastAsia="Times New Roman"/>
                <w:noProof/>
                <w:sz w:val="22"/>
              </w:rPr>
            </w:pPr>
            <w:r>
              <w:rPr>
                <w:noProof/>
                <w:sz w:val="22"/>
              </w:rPr>
              <w:t>–</w:t>
            </w:r>
          </w:p>
        </w:tc>
        <w:tc>
          <w:tcPr>
            <w:tcW w:w="1548" w:type="dxa"/>
            <w:shd w:val="clear" w:color="auto" w:fill="auto"/>
          </w:tcPr>
          <w:p>
            <w:pPr>
              <w:spacing w:before="60" w:after="60"/>
              <w:jc w:val="center"/>
              <w:rPr>
                <w:rFonts w:eastAsia="Times New Roman"/>
                <w:noProof/>
                <w:sz w:val="22"/>
              </w:rPr>
            </w:pPr>
            <w:r>
              <w:rPr>
                <w:noProof/>
              </w:rPr>
              <w:t>15 000</w:t>
            </w:r>
          </w:p>
        </w:tc>
      </w:tr>
      <w:tr>
        <w:tc>
          <w:tcPr>
            <w:tcW w:w="4644" w:type="dxa"/>
            <w:shd w:val="clear" w:color="auto" w:fill="auto"/>
          </w:tcPr>
          <w:p>
            <w:pPr>
              <w:spacing w:before="60" w:after="60"/>
              <w:ind w:left="284"/>
              <w:jc w:val="left"/>
              <w:rPr>
                <w:rFonts w:eastAsia="Times New Roman"/>
                <w:noProof/>
                <w:sz w:val="22"/>
              </w:rPr>
            </w:pPr>
            <w:r>
              <w:rPr>
                <w:noProof/>
                <w:sz w:val="22"/>
              </w:rPr>
              <w:t>4. Kontrola i sprawozdawczość</w:t>
            </w:r>
          </w:p>
        </w:tc>
        <w:tc>
          <w:tcPr>
            <w:tcW w:w="3096" w:type="dxa"/>
            <w:gridSpan w:val="2"/>
            <w:shd w:val="clear" w:color="auto" w:fill="D9D9D9"/>
            <w:vAlign w:val="center"/>
          </w:tcPr>
          <w:p>
            <w:pPr>
              <w:spacing w:before="60" w:after="60"/>
              <w:jc w:val="center"/>
              <w:rPr>
                <w:rFonts w:eastAsia="Times New Roman"/>
                <w:noProof/>
                <w:sz w:val="22"/>
              </w:rPr>
            </w:pPr>
            <w:r>
              <w:rPr>
                <w:noProof/>
                <w:sz w:val="22"/>
              </w:rPr>
              <w:t>–</w:t>
            </w:r>
          </w:p>
        </w:tc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spacing w:before="60" w:after="60"/>
              <w:jc w:val="center"/>
              <w:rPr>
                <w:rFonts w:eastAsia="Times New Roman"/>
                <w:noProof/>
                <w:sz w:val="22"/>
              </w:rPr>
            </w:pPr>
            <w:r>
              <w:rPr>
                <w:noProof/>
              </w:rPr>
              <w:t>30 000</w:t>
            </w:r>
          </w:p>
        </w:tc>
      </w:tr>
      <w:tr>
        <w:trPr>
          <w:trHeight w:val="203"/>
        </w:trPr>
        <w:tc>
          <w:tcPr>
            <w:tcW w:w="4644" w:type="dxa"/>
            <w:vMerge w:val="restart"/>
            <w:shd w:val="clear" w:color="auto" w:fill="auto"/>
            <w:vAlign w:val="center"/>
          </w:tcPr>
          <w:p>
            <w:pPr>
              <w:spacing w:before="60" w:after="60"/>
              <w:jc w:val="right"/>
              <w:rPr>
                <w:rFonts w:eastAsia="Times New Roman"/>
                <w:noProof/>
                <w:sz w:val="22"/>
              </w:rPr>
            </w:pPr>
            <w:r>
              <w:rPr>
                <w:noProof/>
                <w:sz w:val="22"/>
              </w:rPr>
              <w:t>Ogółem c):</w:t>
            </w:r>
          </w:p>
          <w:p>
            <w:pPr>
              <w:spacing w:before="60" w:after="60"/>
              <w:jc w:val="right"/>
              <w:rPr>
                <w:rFonts w:eastAsia="Times New Roman"/>
                <w:noProof/>
                <w:sz w:val="22"/>
              </w:rPr>
            </w:pPr>
            <w:r>
              <w:rPr>
                <w:noProof/>
                <w:sz w:val="22"/>
              </w:rPr>
              <w:t>udział procentowy w kosztach łącznych:</w:t>
            </w:r>
          </w:p>
        </w:tc>
        <w:tc>
          <w:tcPr>
            <w:tcW w:w="3096" w:type="dxa"/>
            <w:gridSpan w:val="2"/>
            <w:vMerge w:val="restart"/>
            <w:shd w:val="clear" w:color="auto" w:fill="D9D9D9"/>
            <w:vAlign w:val="center"/>
          </w:tcPr>
          <w:p>
            <w:pPr>
              <w:spacing w:before="0" w:after="0"/>
              <w:jc w:val="center"/>
              <w:rPr>
                <w:rFonts w:eastAsia="Times New Roman"/>
                <w:noProof/>
                <w:sz w:val="22"/>
              </w:rPr>
            </w:pPr>
            <w:r>
              <w:rPr>
                <w:noProof/>
                <w:sz w:val="22"/>
              </w:rPr>
              <w:t>–</w:t>
            </w:r>
          </w:p>
        </w:tc>
        <w:tc>
          <w:tcPr>
            <w:tcW w:w="1548" w:type="dxa"/>
            <w:tcBorders>
              <w:bottom w:val="nil"/>
            </w:tcBorders>
            <w:shd w:val="clear" w:color="auto" w:fill="auto"/>
            <w:vAlign w:val="center"/>
          </w:tcPr>
          <w:p>
            <w:pPr>
              <w:spacing w:before="60" w:after="60"/>
              <w:jc w:val="center"/>
              <w:rPr>
                <w:rFonts w:eastAsia="Times New Roman"/>
                <w:noProof/>
                <w:sz w:val="22"/>
              </w:rPr>
            </w:pPr>
            <w:r>
              <w:rPr>
                <w:noProof/>
              </w:rPr>
              <w:t>55 000</w:t>
            </w:r>
          </w:p>
        </w:tc>
      </w:tr>
      <w:tr>
        <w:trPr>
          <w:trHeight w:val="202"/>
        </w:trPr>
        <w:tc>
          <w:tcPr>
            <w:tcW w:w="4644" w:type="dxa"/>
            <w:vMerge/>
            <w:shd w:val="clear" w:color="auto" w:fill="auto"/>
          </w:tcPr>
          <w:p>
            <w:pPr>
              <w:spacing w:before="0" w:after="0"/>
              <w:jc w:val="right"/>
              <w:rPr>
                <w:rFonts w:eastAsia="Times New Roman"/>
                <w:noProof/>
                <w:sz w:val="22"/>
              </w:rPr>
            </w:pPr>
          </w:p>
        </w:tc>
        <w:tc>
          <w:tcPr>
            <w:tcW w:w="3096" w:type="dxa"/>
            <w:gridSpan w:val="2"/>
            <w:vMerge/>
            <w:shd w:val="clear" w:color="auto" w:fill="D9D9D9"/>
            <w:vAlign w:val="center"/>
          </w:tcPr>
          <w:p>
            <w:pPr>
              <w:spacing w:before="0" w:after="0"/>
              <w:jc w:val="center"/>
              <w:rPr>
                <w:rFonts w:eastAsia="Times New Roman"/>
                <w:noProof/>
                <w:sz w:val="22"/>
              </w:rPr>
            </w:pPr>
          </w:p>
        </w:tc>
        <w:tc>
          <w:tcPr>
            <w:tcW w:w="1548" w:type="dxa"/>
            <w:tcBorders>
              <w:top w:val="nil"/>
            </w:tcBorders>
            <w:shd w:val="clear" w:color="auto" w:fill="auto"/>
            <w:vAlign w:val="center"/>
          </w:tcPr>
          <w:p>
            <w:pPr>
              <w:spacing w:before="60" w:after="60"/>
              <w:jc w:val="center"/>
              <w:rPr>
                <w:rFonts w:eastAsia="Times New Roman"/>
                <w:noProof/>
                <w:sz w:val="22"/>
              </w:rPr>
            </w:pPr>
            <w:r>
              <w:rPr>
                <w:noProof/>
                <w:sz w:val="22"/>
              </w:rPr>
              <w:t>(</w:t>
            </w:r>
            <w:r>
              <w:rPr>
                <w:noProof/>
              </w:rPr>
              <w:t>2,02 </w:t>
            </w:r>
            <w:r>
              <w:rPr>
                <w:noProof/>
                <w:sz w:val="22"/>
              </w:rPr>
              <w:t>%)</w:t>
            </w:r>
          </w:p>
        </w:tc>
      </w:tr>
      <w:tr>
        <w:tc>
          <w:tcPr>
            <w:tcW w:w="4644" w:type="dxa"/>
            <w:shd w:val="clear" w:color="auto" w:fill="auto"/>
          </w:tcPr>
          <w:p>
            <w:pPr>
              <w:spacing w:before="60" w:after="60"/>
              <w:jc w:val="left"/>
              <w:rPr>
                <w:rFonts w:eastAsia="Times New Roman"/>
                <w:noProof/>
                <w:sz w:val="22"/>
              </w:rPr>
            </w:pPr>
            <w:r>
              <w:rPr>
                <w:noProof/>
                <w:sz w:val="22"/>
              </w:rPr>
              <w:t>Łączne koszty (a + b + c):</w:t>
            </w:r>
          </w:p>
        </w:tc>
        <w:tc>
          <w:tcPr>
            <w:tcW w:w="3096" w:type="dxa"/>
            <w:gridSpan w:val="2"/>
            <w:shd w:val="clear" w:color="auto" w:fill="D9D9D9"/>
            <w:vAlign w:val="center"/>
          </w:tcPr>
          <w:p>
            <w:pPr>
              <w:spacing w:before="60" w:after="60"/>
              <w:jc w:val="center"/>
              <w:rPr>
                <w:rFonts w:eastAsia="Times New Roman"/>
                <w:noProof/>
                <w:sz w:val="22"/>
              </w:rPr>
            </w:pPr>
            <w:r>
              <w:rPr>
                <w:noProof/>
                <w:sz w:val="22"/>
              </w:rPr>
              <w:t>–</w:t>
            </w:r>
          </w:p>
        </w:tc>
        <w:tc>
          <w:tcPr>
            <w:tcW w:w="1548" w:type="dxa"/>
            <w:shd w:val="clear" w:color="auto" w:fill="auto"/>
          </w:tcPr>
          <w:p>
            <w:pPr>
              <w:spacing w:before="60" w:after="60"/>
              <w:jc w:val="center"/>
              <w:rPr>
                <w:noProof/>
                <w:sz w:val="22"/>
              </w:rPr>
            </w:pPr>
            <w:r>
              <w:rPr>
                <w:noProof/>
              </w:rPr>
              <w:t>2 720 047</w:t>
            </w:r>
          </w:p>
        </w:tc>
      </w:tr>
      <w:tr>
        <w:tc>
          <w:tcPr>
            <w:tcW w:w="4644" w:type="dxa"/>
            <w:shd w:val="clear" w:color="auto" w:fill="auto"/>
          </w:tcPr>
          <w:p>
            <w:pPr>
              <w:spacing w:before="60" w:after="60"/>
              <w:jc w:val="left"/>
              <w:rPr>
                <w:rFonts w:eastAsia="Times New Roman"/>
                <w:noProof/>
                <w:sz w:val="22"/>
              </w:rPr>
            </w:pPr>
            <w:r>
              <w:rPr>
                <w:noProof/>
                <w:sz w:val="22"/>
              </w:rPr>
              <w:t>Wkład z EFG (60 % łącznych kosztów)</w:t>
            </w:r>
          </w:p>
        </w:tc>
        <w:tc>
          <w:tcPr>
            <w:tcW w:w="3096" w:type="dxa"/>
            <w:gridSpan w:val="2"/>
            <w:shd w:val="clear" w:color="auto" w:fill="D9D9D9"/>
            <w:vAlign w:val="center"/>
          </w:tcPr>
          <w:p>
            <w:pPr>
              <w:spacing w:before="60" w:after="60"/>
              <w:jc w:val="center"/>
              <w:rPr>
                <w:rFonts w:eastAsia="Times New Roman"/>
                <w:noProof/>
                <w:sz w:val="22"/>
              </w:rPr>
            </w:pPr>
            <w:r>
              <w:rPr>
                <w:noProof/>
                <w:sz w:val="22"/>
              </w:rPr>
              <w:t>–</w:t>
            </w:r>
          </w:p>
        </w:tc>
        <w:tc>
          <w:tcPr>
            <w:tcW w:w="1548" w:type="dxa"/>
            <w:shd w:val="clear" w:color="auto" w:fill="auto"/>
          </w:tcPr>
          <w:p>
            <w:pPr>
              <w:spacing w:before="60" w:after="60"/>
              <w:jc w:val="center"/>
              <w:rPr>
                <w:rFonts w:eastAsia="Times New Roman"/>
                <w:noProof/>
                <w:sz w:val="22"/>
              </w:rPr>
            </w:pPr>
            <w:r>
              <w:rPr>
                <w:noProof/>
              </w:rPr>
              <w:t>1 632 028</w:t>
            </w:r>
          </w:p>
        </w:tc>
      </w:tr>
    </w:tbl>
    <w:p>
      <w:pPr>
        <w:pStyle w:val="ManualNumPar1"/>
        <w:rPr>
          <w:noProof/>
          <w:szCs w:val="20"/>
        </w:rPr>
      </w:pPr>
      <w:r>
        <w:t>35.</w:t>
      </w:r>
      <w:r>
        <w:tab/>
      </w:r>
      <w:r>
        <w:rPr>
          <w:noProof/>
        </w:rPr>
        <w:t>Koszty działań przedstawione w powyższej tabeli jako działania na podstawie art. 7 ust. 1 lit. b) rozporządzenia w sprawie EFG nie przekraczają 35 % łącznych kosztów skoordynowanego pakietu zindywidualizowanych usług. Belgia potwierdziła, że działania te są uzależnione od czynnego zaangażowania się objętych pomocą beneficjentów w poszukiwanie pracy lub szkolenia.</w:t>
      </w:r>
    </w:p>
    <w:p>
      <w:pPr>
        <w:pStyle w:val="ManualNumPar1"/>
        <w:rPr>
          <w:noProof/>
        </w:rPr>
      </w:pPr>
      <w:r>
        <w:t>36.</w:t>
      </w:r>
      <w:r>
        <w:tab/>
      </w:r>
      <w:r>
        <w:rPr>
          <w:noProof/>
        </w:rPr>
        <w:t>Władze belgijskie potwierdziły, że koszty inwestycji tytułem prowadzenia działalności na własny rachunek, rozpoczęcia działalności gospodarczej i przejęć pracowniczych nie przekroczą 15 000 EUR na jednego beneficjenta.</w:t>
      </w:r>
    </w:p>
    <w:p>
      <w:pPr>
        <w:pStyle w:val="ManualHeading3"/>
        <w:rPr>
          <w:noProof/>
        </w:rPr>
      </w:pPr>
      <w:r>
        <w:rPr>
          <w:noProof/>
        </w:rPr>
        <w:t>Okres kwalifikowalności wydatków</w:t>
      </w:r>
    </w:p>
    <w:p>
      <w:pPr>
        <w:pStyle w:val="ManualNumPar1"/>
        <w:rPr>
          <w:noProof/>
        </w:rPr>
      </w:pPr>
      <w:r>
        <w:t>37.</w:t>
      </w:r>
      <w:r>
        <w:tab/>
      </w:r>
      <w:r>
        <w:rPr>
          <w:noProof/>
        </w:rPr>
        <w:t>Belgia rozpoczęła świadczenie zindywidualizowanych usług na rzecz beneficjentów objętych pomocą w dniu 1 grudnia 2018 r. Wydatki na te działania kwalifikują się zatem do objęcia finansowaniem z EFG od dnia 1 grudnia 2018 r. do dnia 20 czerwca 2021 r.</w:t>
      </w:r>
    </w:p>
    <w:p>
      <w:pPr>
        <w:pStyle w:val="ManualNumPar1"/>
        <w:rPr>
          <w:noProof/>
        </w:rPr>
      </w:pPr>
      <w:r>
        <w:t>38.</w:t>
      </w:r>
      <w:r>
        <w:tab/>
      </w:r>
      <w:r>
        <w:rPr>
          <w:noProof/>
        </w:rPr>
        <w:t xml:space="preserve">Belgia zaczęła ponosić wydatki administracyjne w zakresie wdrażania EFG w dniu 25 stycznia 2018 r. Wydatki na działania przygotowawcze, działania w zakresie zarządzania, dostarczania i upowszechniania informacji i działania w zakresie kontroli i sprawozdawczości kwalifikują się zatem do przyznania wkładu finansowego z EFG od dnia 25 stycznia 2018 r. do dnia 20 grudnia 2021 r. </w:t>
      </w:r>
    </w:p>
    <w:p>
      <w:pPr>
        <w:pStyle w:val="ManualHeading3"/>
        <w:rPr>
          <w:noProof/>
        </w:rPr>
      </w:pPr>
      <w:r>
        <w:rPr>
          <w:noProof/>
        </w:rPr>
        <w:t>Komplementarność wobec działań finansowanych z funduszy krajowych lub unijnych</w:t>
      </w:r>
    </w:p>
    <w:p>
      <w:pPr>
        <w:pStyle w:val="ManualNumPar1"/>
        <w:rPr>
          <w:noProof/>
        </w:rPr>
      </w:pPr>
      <w:r>
        <w:t>39.</w:t>
      </w:r>
      <w:r>
        <w:tab/>
      </w:r>
      <w:r>
        <w:rPr>
          <w:noProof/>
        </w:rPr>
        <w:t>Środki na finansowanie zaliczkowe oraz współfinansowanie pochodzą z funduszy Regionu Walonia.</w:t>
      </w:r>
    </w:p>
    <w:p>
      <w:pPr>
        <w:pStyle w:val="ManualNumPar1"/>
        <w:rPr>
          <w:noProof/>
        </w:rPr>
      </w:pPr>
      <w:r>
        <w:lastRenderedPageBreak/>
        <w:t>40.</w:t>
      </w:r>
      <w:r>
        <w:tab/>
      </w:r>
      <w:r>
        <w:rPr>
          <w:noProof/>
        </w:rPr>
        <w:t>Belgia potwierdziła, że opisane powyżej środki, na które przeznaczony jest wkład finansowy z EFG, nie będą jednocześnie wspierane finansowo z innych instrumentów finansowych Unii.</w:t>
      </w:r>
    </w:p>
    <w:p>
      <w:pPr>
        <w:pStyle w:val="ManualHeading3"/>
        <w:tabs>
          <w:tab w:val="clear" w:pos="850"/>
          <w:tab w:val="left" w:pos="0"/>
        </w:tabs>
        <w:ind w:left="0" w:firstLine="0"/>
        <w:rPr>
          <w:noProof/>
          <w:u w:val="single"/>
        </w:rPr>
      </w:pPr>
      <w:r>
        <w:rPr>
          <w:noProof/>
        </w:rPr>
        <w:t>Procedury konsultacji z beneficjentami objętymi pomocą lub ich przedstawicielami lub też z partnerami społecznymi, a także z władzami lokalnymi i regionalnymi</w:t>
      </w:r>
    </w:p>
    <w:p>
      <w:pPr>
        <w:pStyle w:val="ManualNumPar1"/>
        <w:rPr>
          <w:noProof/>
        </w:rPr>
      </w:pPr>
      <w:r>
        <w:t>41.</w:t>
      </w:r>
      <w:r>
        <w:tab/>
      </w:r>
      <w:r>
        <w:rPr>
          <w:noProof/>
        </w:rPr>
        <w:t>Belgia poinformowała, że skoordynowany pakiet zindywidualizowanych usług opracowano w drodze konsultacji z partnerami społecznymi.</w:t>
      </w:r>
    </w:p>
    <w:p>
      <w:pPr>
        <w:pStyle w:val="ManualNumPar1"/>
        <w:rPr>
          <w:noProof/>
        </w:rPr>
      </w:pPr>
      <w:r>
        <w:t>42.</w:t>
      </w:r>
      <w:r>
        <w:tab/>
      </w:r>
      <w:r>
        <w:rPr>
          <w:noProof/>
        </w:rPr>
        <w:t>Oprócz obowiązkowego poinformowania przedstawicieli pracowników i konsultacji z nimi powołano jednostkę kryzysową w celu zdefiniowania planu socjalnego i koordynowania interwencji odnośnych służb publicznych. Publiczne służby ds. zatrudnienia w Walonii przeprowadziły konsultacje ze związkami zawodowymi w sprawie różnych rozwiązań w zakresie przeniesienia pracowników</w:t>
      </w:r>
      <w:r>
        <w:rPr>
          <w:rStyle w:val="FootnoteReference"/>
          <w:noProof/>
        </w:rPr>
        <w:footnoteReference w:id="35"/>
      </w:r>
      <w:r>
        <w:rPr>
          <w:noProof/>
        </w:rPr>
        <w:t>, a związki zawodowe, doradcy zawodowi i pracownicy socjalni mający bezpośredni kontakt ze zwolnionymi pracownikami zostali skonsultowani w sprawie potrzeb w zakresie przekwalifikowania/podnoszenia kwalifikacji pracowników</w:t>
      </w:r>
      <w:r>
        <w:rPr>
          <w:rStyle w:val="FootnoteReference"/>
          <w:noProof/>
        </w:rPr>
        <w:footnoteReference w:id="36"/>
      </w:r>
      <w:r>
        <w:rPr>
          <w:noProof/>
        </w:rPr>
        <w:t>.</w:t>
      </w:r>
    </w:p>
    <w:p>
      <w:pPr>
        <w:pStyle w:val="ManualHeading2"/>
        <w:rPr>
          <w:noProof/>
        </w:rPr>
      </w:pPr>
      <w:r>
        <w:rPr>
          <w:noProof/>
        </w:rPr>
        <w:t>Systemy zarządzania i kontroli</w:t>
      </w:r>
    </w:p>
    <w:p>
      <w:pPr>
        <w:pStyle w:val="ManualNumPar1"/>
        <w:rPr>
          <w:noProof/>
        </w:rPr>
      </w:pPr>
      <w:r>
        <w:t>43.</w:t>
      </w:r>
      <w:r>
        <w:tab/>
      </w:r>
      <w:r>
        <w:rPr>
          <w:noProof/>
        </w:rPr>
        <w:t>Belgia poinformowała Komisję, że zarządzanie wkładem finansowym i nadzór nad nim będą leżeć w gestii tych samych organów, które są odpowiedzialne za zarządzanie EFS i nadzór nad nim.</w:t>
      </w:r>
    </w:p>
    <w:p>
      <w:pPr>
        <w:pStyle w:val="ManualHeading2"/>
        <w:rPr>
          <w:noProof/>
        </w:rPr>
      </w:pPr>
      <w:r>
        <w:rPr>
          <w:noProof/>
        </w:rPr>
        <w:t>Zobowiązania podjęte przez przedmiotowe państwo członkowskie</w:t>
      </w:r>
    </w:p>
    <w:p>
      <w:pPr>
        <w:pStyle w:val="ManualNumPar1"/>
        <w:rPr>
          <w:noProof/>
        </w:rPr>
      </w:pPr>
      <w:r>
        <w:t>44.</w:t>
      </w:r>
      <w:r>
        <w:tab/>
      </w:r>
      <w:r>
        <w:rPr>
          <w:noProof/>
        </w:rPr>
        <w:t xml:space="preserve">Belgia przedstawiła wszelkie niezbędne gwarancje, zgodnie z którymi: </w:t>
      </w:r>
    </w:p>
    <w:p>
      <w:pPr>
        <w:pStyle w:val="Tiret1"/>
        <w:rPr>
          <w:noProof/>
        </w:rPr>
      </w:pPr>
      <w:r>
        <w:rPr>
          <w:noProof/>
        </w:rPr>
        <w:t>w zakresie dostępu do proponowanych działań i ich wdrażania przestrzegane będą zasady równego traktowania i niedyskryminacji;</w:t>
      </w:r>
    </w:p>
    <w:p>
      <w:pPr>
        <w:pStyle w:val="Tiret1"/>
        <w:rPr>
          <w:noProof/>
        </w:rPr>
      </w:pPr>
      <w:r>
        <w:rPr>
          <w:noProof/>
        </w:rPr>
        <w:t>spełniono określone w przepisach krajowych i UE wymogi dotyczące zwolnień grupowych;</w:t>
      </w:r>
    </w:p>
    <w:p>
      <w:pPr>
        <w:pStyle w:val="Tiret1"/>
        <w:rPr>
          <w:noProof/>
        </w:rPr>
      </w:pPr>
      <w:r>
        <w:rPr>
          <w:noProof/>
        </w:rPr>
        <w:t>kontynuując działalność po dokonaniu zwolnień, przedsiębiorstwo Carrefour wywiązało się ze zobowiązań prawnych dotyczących zwolnień i odpowiednio zatroszczyło się o pracowników;</w:t>
      </w:r>
    </w:p>
    <w:p>
      <w:pPr>
        <w:pStyle w:val="Tiret1"/>
        <w:rPr>
          <w:noProof/>
        </w:rPr>
      </w:pPr>
      <w:r>
        <w:rPr>
          <w:noProof/>
        </w:rPr>
        <w:t>proponowane działania nie będą finansowane ze środków innych unijnych funduszy lub instrumentów finansowych oraz będzie się zapobiegać wszelkim przypadkom podwójnego finansowania;</w:t>
      </w:r>
    </w:p>
    <w:p>
      <w:pPr>
        <w:pStyle w:val="Tiret1"/>
        <w:rPr>
          <w:noProof/>
        </w:rPr>
      </w:pPr>
      <w:r>
        <w:rPr>
          <w:noProof/>
        </w:rPr>
        <w:t>proponowane działania będą komplementarne względem działań finansowanych z funduszy strukturalnych;</w:t>
      </w:r>
    </w:p>
    <w:p>
      <w:pPr>
        <w:pStyle w:val="Tiret1"/>
        <w:rPr>
          <w:noProof/>
        </w:rPr>
      </w:pPr>
      <w:r>
        <w:rPr>
          <w:noProof/>
        </w:rPr>
        <w:t>wkład finansowy z EFG będzie zgodny z unijnymi przepisami proceduralnymi i materialnymi w zakresie pomocy państwa.</w:t>
      </w:r>
    </w:p>
    <w:p>
      <w:pPr>
        <w:pStyle w:val="ManualHeading1"/>
        <w:rPr>
          <w:noProof/>
        </w:rPr>
      </w:pPr>
      <w:r>
        <w:rPr>
          <w:noProof/>
        </w:rPr>
        <w:t>WPŁYW NA BUDŻET</w:t>
      </w:r>
    </w:p>
    <w:p>
      <w:pPr>
        <w:pStyle w:val="ManualHeading2"/>
        <w:rPr>
          <w:noProof/>
        </w:rPr>
      </w:pPr>
      <w:r>
        <w:rPr>
          <w:noProof/>
        </w:rPr>
        <w:t>Wniosek budżetowy</w:t>
      </w:r>
    </w:p>
    <w:p>
      <w:pPr>
        <w:pStyle w:val="ManualNumPar1"/>
        <w:rPr>
          <w:noProof/>
        </w:rPr>
      </w:pPr>
      <w:r>
        <w:t>45.</w:t>
      </w:r>
      <w:r>
        <w:tab/>
      </w:r>
      <w:r>
        <w:rPr>
          <w:noProof/>
        </w:rPr>
        <w:t xml:space="preserve">Środki EFG nie mogą przekroczyć maksymalnej rocznej kwoty 150 mln EUR (w cenach z 2011 r.), zgodnie z art. 12 rozporządzenia Rady (UE, Euratom) </w:t>
      </w:r>
      <w:r>
        <w:rPr>
          <w:noProof/>
        </w:rPr>
        <w:lastRenderedPageBreak/>
        <w:t>nr 1311/2013 z dnia 2 grudnia 2013 r. określającego wieloletnie ramy finansowe na lata 2014–2020</w:t>
      </w:r>
      <w:r>
        <w:rPr>
          <w:rStyle w:val="FootnoteReference"/>
          <w:noProof/>
        </w:rPr>
        <w:footnoteReference w:id="37"/>
      </w:r>
      <w:r>
        <w:rPr>
          <w:noProof/>
        </w:rPr>
        <w:t>.</w:t>
      </w:r>
    </w:p>
    <w:p>
      <w:pPr>
        <w:pStyle w:val="ManualNumPar1"/>
        <w:rPr>
          <w:rFonts w:eastAsia="Calibri"/>
          <w:noProof/>
        </w:rPr>
      </w:pPr>
      <w:r>
        <w:t>46.</w:t>
      </w:r>
      <w:r>
        <w:tab/>
      </w:r>
      <w:r>
        <w:rPr>
          <w:noProof/>
        </w:rPr>
        <w:t>Po przeanalizowaniu wniosku pod kątem warunków określonych w art. 13 ust. 1 rozporządzenia w sprawie EFG i po uwzględnieniu liczby beneficjentów objętych wsparciem, proponowanych działań i szacowanych kosztów Komisja wnosi o uruchomienie środków z EFG w kwocie 1 632 028 EUR, która stanowi 60 % łącznych kosztów proponowanych działań, tak by zapewnić wkład finansowy w odpowiedzi na złożony wniosek.</w:t>
      </w:r>
    </w:p>
    <w:p>
      <w:pPr>
        <w:pStyle w:val="ManualNumPar1"/>
        <w:rPr>
          <w:rFonts w:eastAsia="Times New Roman"/>
          <w:noProof/>
        </w:rPr>
      </w:pPr>
      <w:r>
        <w:t>47.</w:t>
      </w:r>
      <w:r>
        <w:tab/>
      </w:r>
      <w:r>
        <w:rPr>
          <w:noProof/>
        </w:rPr>
        <w:t>Decyzja o uruchomieniu EFG, której dotyczy wniosek, zostanie podjęta wspólnie przez Parlament Europejski i Radę, jak określono w pkt 13 Porozumienia międzyinstytucjonalnego z dnia 2 grudnia 2013 r. pomiędzy Parlamentem Europejskim, Radą i Komisją w sprawie dyscypliny budżetowej, współpracy w kwestiach budżetowych i należytego zarządzania finansami</w:t>
      </w:r>
      <w:r>
        <w:rPr>
          <w:rStyle w:val="FootnoteReference"/>
          <w:noProof/>
        </w:rPr>
        <w:footnoteReference w:id="38"/>
      </w:r>
      <w:r>
        <w:rPr>
          <w:noProof/>
        </w:rPr>
        <w:t>.</w:t>
      </w:r>
    </w:p>
    <w:p>
      <w:pPr>
        <w:pStyle w:val="ManualHeading2"/>
        <w:rPr>
          <w:noProof/>
        </w:rPr>
      </w:pPr>
      <w:r>
        <w:rPr>
          <w:noProof/>
        </w:rPr>
        <w:t>Powiązane akty prawne</w:t>
      </w:r>
    </w:p>
    <w:p>
      <w:pPr>
        <w:pStyle w:val="ManualNumPar1"/>
        <w:rPr>
          <w:noProof/>
        </w:rPr>
      </w:pPr>
      <w:r>
        <w:t>48.</w:t>
      </w:r>
      <w:r>
        <w:tab/>
      </w:r>
      <w:r>
        <w:rPr>
          <w:noProof/>
        </w:rPr>
        <w:t>Równocześnie z przedstawieniem wniosku dotyczącego decyzji w sprawie uruchomienia środków z EFG Komisja przedstawi Parlamentowi Europejskiemu i Radzie wniosek dotyczący przesunięcia kwoty 1 632 028 EUR do odpowiedniej linii budżetowej.</w:t>
      </w:r>
    </w:p>
    <w:p>
      <w:pPr>
        <w:pStyle w:val="ManualNumPar1"/>
        <w:rPr>
          <w:noProof/>
        </w:rPr>
      </w:pPr>
      <w:r>
        <w:t>49.</w:t>
      </w:r>
      <w:r>
        <w:tab/>
      </w:r>
      <w:r>
        <w:rPr>
          <w:noProof/>
        </w:rPr>
        <w:t>Równocześnie z przyjęciem niniejszego wniosku dotyczącego decyzji w sprawie uruchomienia EFG Komisja przyjmie decyzję w sprawie wkładu finansowego w drodze aktu wykonawczego wchodzącego w życie w dniu, w którym Parlament Europejski i Rada przyjmą proponowaną decyzję w sprawie uruchomienia środków z EFG.</w:t>
      </w:r>
    </w:p>
    <w:p>
      <w:pPr>
        <w:rPr>
          <w:noProof/>
        </w:rPr>
        <w:sectPr>
          <w:footerReference w:type="default" r:id="rId16"/>
          <w:footerReference w:type="first" r:id="rId17"/>
          <w:pgSz w:w="11907" w:h="16839"/>
          <w:pgMar w:top="1134" w:right="1417" w:bottom="1134" w:left="1417" w:header="709" w:footer="709" w:gutter="0"/>
          <w:pgNumType w:start="1"/>
          <w:cols w:space="708"/>
          <w:docGrid w:linePitch="360"/>
        </w:sectPr>
      </w:pPr>
    </w:p>
    <w:p>
      <w:pPr>
        <w:pStyle w:val="Statut"/>
        <w:rPr>
          <w:noProof/>
        </w:rPr>
      </w:pPr>
      <w:r>
        <w:rPr>
          <w:noProof/>
        </w:rPr>
        <w:lastRenderedPageBreak/>
        <w:t>Wniosek</w:t>
      </w:r>
    </w:p>
    <w:p>
      <w:pPr>
        <w:pStyle w:val="Typedudocument"/>
        <w:rPr>
          <w:noProof/>
        </w:rPr>
      </w:pPr>
      <w:r>
        <w:rPr>
          <w:noProof/>
        </w:rPr>
        <w:t>DECYZJA PARLAMENTU EUROPEJSKIEGO I RADY</w:t>
      </w:r>
    </w:p>
    <w:p>
      <w:pPr>
        <w:pStyle w:val="Titreobjet"/>
        <w:rPr>
          <w:noProof/>
        </w:rPr>
      </w:pPr>
      <w:r>
        <w:rPr>
          <w:noProof/>
        </w:rPr>
        <w:t>w sprawie uruchomienia Europejskiego Funduszu Dostosowania do Globalizacji w następstwie</w:t>
      </w:r>
      <w:r>
        <w:rPr>
          <w:noProof/>
        </w:rPr>
        <w:br/>
        <w:t>wniosku złożonego przez Belgię – EGF/2019/001 BE/Carrefour</w:t>
      </w:r>
    </w:p>
    <w:p>
      <w:pPr>
        <w:pStyle w:val="Institutionquiagit"/>
        <w:rPr>
          <w:noProof/>
        </w:rPr>
      </w:pPr>
      <w:r>
        <w:rPr>
          <w:noProof/>
        </w:rPr>
        <w:t>PARLAMENT EUROPEJSKI I RADA UNII EUROPEJSKIEJ,</w:t>
      </w:r>
    </w:p>
    <w:p>
      <w:pPr>
        <w:rPr>
          <w:noProof/>
        </w:rPr>
      </w:pPr>
      <w:r>
        <w:rPr>
          <w:noProof/>
        </w:rPr>
        <w:t>uwzględniając Traktat o funkcjonowaniu Unii Europejskiej,</w:t>
      </w:r>
    </w:p>
    <w:p>
      <w:pPr>
        <w:rPr>
          <w:noProof/>
        </w:rPr>
      </w:pPr>
      <w:r>
        <w:rPr>
          <w:noProof/>
        </w:rPr>
        <w:t>uwzględniając rozporządzenie Parlamentu Europejskiego i Rady (UE) nr 1309/2013 z dnia 17 grudnia 2013 r. w sprawie Europejskiego Funduszu Dostosowania do Globalizacji (2014–2020) i uchylenia rozporządzenia (WE) nr 1927/2006</w:t>
      </w:r>
      <w:r>
        <w:rPr>
          <w:rStyle w:val="FootnoteReference"/>
          <w:noProof/>
        </w:rPr>
        <w:footnoteReference w:id="39"/>
      </w:r>
      <w:r>
        <w:rPr>
          <w:noProof/>
        </w:rPr>
        <w:t>, w szczególności jego art. 15 ust. 4,</w:t>
      </w:r>
    </w:p>
    <w:p>
      <w:pPr>
        <w:rPr>
          <w:noProof/>
        </w:rPr>
      </w:pPr>
      <w:r>
        <w:rPr>
          <w:noProof/>
        </w:rPr>
        <w:t>uwzględniając Porozumienie międzyinstytucjonalne z dnia 2 grudnia 2013 r. pomiędzy Parlamentem Europejskim, Radą i Komisją w sprawie dyscypliny budżetowej, współpracy w sprawach budżetowych i należytego zarządzania finansami</w:t>
      </w:r>
      <w:r>
        <w:rPr>
          <w:rStyle w:val="FootnoteReference"/>
          <w:noProof/>
        </w:rPr>
        <w:footnoteReference w:id="40"/>
      </w:r>
      <w:r>
        <w:rPr>
          <w:noProof/>
        </w:rPr>
        <w:t>, w szczególności jego pkt 13,</w:t>
      </w:r>
    </w:p>
    <w:p>
      <w:pPr>
        <w:rPr>
          <w:noProof/>
        </w:rPr>
      </w:pPr>
      <w:r>
        <w:rPr>
          <w:noProof/>
        </w:rPr>
        <w:t>uwzględniając wniosek Komisji Europejskiej,</w:t>
      </w:r>
    </w:p>
    <w:p>
      <w:pPr>
        <w:rPr>
          <w:noProof/>
        </w:rPr>
      </w:pPr>
      <w:r>
        <w:rPr>
          <w:noProof/>
        </w:rPr>
        <w:t>a także mając na uwadze, co następuje:</w:t>
      </w:r>
    </w:p>
    <w:p>
      <w:pPr>
        <w:pStyle w:val="ManualConsidrant"/>
        <w:rPr>
          <w:noProof/>
        </w:rPr>
      </w:pPr>
      <w:r>
        <w:t>(1)</w:t>
      </w:r>
      <w:r>
        <w:tab/>
      </w:r>
      <w:r>
        <w:rPr>
          <w:noProof/>
        </w:rPr>
        <w:t>Celem Europejskiego Funduszu Dostosowania do Globalizacji (EFG) jest zapewnienie wsparcia zwolnionym pracownikom i osobom, które zaprzestały prowadzenia działalności na własny rachunek w wyniku istotnych zmian w strukturze światowego handlu, spowodowanych globalizacją, w wyniku dalszego trwania światowego kryzysu finansowego i gospodarczego lub w wyniku nowego światowego kryzysu finansowego i gospodarczego oraz w celu udzielenia im pomocy umożliwiającej reintegrację na rynku pracy.</w:t>
      </w:r>
    </w:p>
    <w:p>
      <w:pPr>
        <w:pStyle w:val="ManualConsidrant"/>
        <w:rPr>
          <w:noProof/>
        </w:rPr>
      </w:pPr>
      <w:r>
        <w:t>(2)</w:t>
      </w:r>
      <w:r>
        <w:tab/>
      </w:r>
      <w:r>
        <w:rPr>
          <w:noProof/>
        </w:rPr>
        <w:t>Zgodnie z art. 12 rozporządzenia Rady (UE, Euratom) nr 1311/2013</w:t>
      </w:r>
      <w:r>
        <w:rPr>
          <w:rStyle w:val="FootnoteReference"/>
          <w:noProof/>
        </w:rPr>
        <w:footnoteReference w:id="41"/>
      </w:r>
      <w:r>
        <w:rPr>
          <w:noProof/>
        </w:rPr>
        <w:t xml:space="preserve"> środki EFG nie mogą przekroczyć maksymalnej rocznej kwoty 150 mln EUR (w cenach z 2011 r.).</w:t>
      </w:r>
    </w:p>
    <w:p>
      <w:pPr>
        <w:pStyle w:val="ManualConsidrant"/>
        <w:rPr>
          <w:noProof/>
        </w:rPr>
      </w:pPr>
      <w:r>
        <w:t>(3)</w:t>
      </w:r>
      <w:r>
        <w:tab/>
      </w:r>
      <w:r>
        <w:rPr>
          <w:noProof/>
        </w:rPr>
        <w:t>W dniu 20 czerwca 2019 r. Belgia przedłożyła wniosek o uruchomienie środków z EFG w związku ze zwolnieniami w Carrefour Belgique SA w Belgii. Wniosek został uzupełniony o dodatkowe informacje złożone zgodnie z art. 8 ust. 3 rozporządzenia (UE) nr 1309/2013. Wniosek ten spełnia wymogi dotyczące określenia wkładu finansowego z EFG, ustanowione w art. 13 rozporządzenia (UE) nr 1309/2013.</w:t>
      </w:r>
    </w:p>
    <w:p>
      <w:pPr>
        <w:pStyle w:val="ManualConsidrant"/>
        <w:rPr>
          <w:noProof/>
        </w:rPr>
      </w:pPr>
      <w:r>
        <w:t>(4)</w:t>
      </w:r>
      <w:r>
        <w:tab/>
      </w:r>
      <w:r>
        <w:rPr>
          <w:noProof/>
        </w:rPr>
        <w:t>Zgodnie z art. 6 ust. 2 rozporządzenia (UE) nr 1309/2013 Belgia zdecydowała się na świadczenie zindywidualizowanych usług współfinansowanych przez EFG także na rzecz 330 młodych osób niepracujących, niekształcących się ani nieszkolących się (młodzieży NEET).</w:t>
      </w:r>
    </w:p>
    <w:p>
      <w:pPr>
        <w:pStyle w:val="ManualConsidrant"/>
        <w:rPr>
          <w:noProof/>
        </w:rPr>
      </w:pPr>
      <w:r>
        <w:t>(5)</w:t>
      </w:r>
      <w:r>
        <w:tab/>
      </w:r>
      <w:r>
        <w:rPr>
          <w:noProof/>
        </w:rPr>
        <w:t>Należy zatem uruchomić środki z EFG, aby zapewnić wkład finansowy w kwocie 1 632 028 EUR w odpowiedzi na wniosek złożony przez Belgię.</w:t>
      </w:r>
    </w:p>
    <w:p>
      <w:pPr>
        <w:pStyle w:val="ManualConsidrant"/>
        <w:rPr>
          <w:noProof/>
        </w:rPr>
      </w:pPr>
      <w:r>
        <w:lastRenderedPageBreak/>
        <w:t>(6)</w:t>
      </w:r>
      <w:r>
        <w:tab/>
      </w:r>
      <w:r>
        <w:rPr>
          <w:noProof/>
        </w:rPr>
        <w:t>W celu ograniczenia do minimum czasu potrzebnego do uruchomienia EFG niniejszą decyzję należy stosować od dnia jej przyjęcia,</w:t>
      </w:r>
    </w:p>
    <w:p>
      <w:pPr>
        <w:pStyle w:val="Formuledadoption"/>
        <w:rPr>
          <w:noProof/>
        </w:rPr>
      </w:pPr>
      <w:r>
        <w:rPr>
          <w:noProof/>
        </w:rPr>
        <w:t xml:space="preserve">PRZYJMUJĄ NINIEJSZĄ DECYZJĘ: </w:t>
      </w:r>
    </w:p>
    <w:p>
      <w:pPr>
        <w:pStyle w:val="Titrearticle"/>
        <w:rPr>
          <w:noProof/>
        </w:rPr>
      </w:pPr>
      <w:r>
        <w:rPr>
          <w:noProof/>
        </w:rPr>
        <w:t>Artykuł 1</w:t>
      </w:r>
    </w:p>
    <w:p>
      <w:pPr>
        <w:rPr>
          <w:noProof/>
        </w:rPr>
      </w:pPr>
      <w:r>
        <w:rPr>
          <w:noProof/>
        </w:rPr>
        <w:t>W ramach budżetu ogólnego Unii na rok budżetowy 2019 uruchamia się środki z Europejskiego Funduszu Dostosowania do Globalizacji, aby udostępnić kwotę 1 632 028 EUR w formie środków na zobowiązania i środków na płatności.</w:t>
      </w:r>
    </w:p>
    <w:p>
      <w:pPr>
        <w:pStyle w:val="Titrearticle"/>
        <w:rPr>
          <w:noProof/>
        </w:rPr>
      </w:pPr>
      <w:r>
        <w:rPr>
          <w:noProof/>
        </w:rPr>
        <w:t>Artykuł 2</w:t>
      </w:r>
    </w:p>
    <w:p>
      <w:pPr>
        <w:keepNext/>
        <w:keepLines/>
        <w:rPr>
          <w:noProof/>
        </w:rPr>
      </w:pPr>
      <w:r>
        <w:rPr>
          <w:noProof/>
        </w:rPr>
        <w:t xml:space="preserve">Niniejsza decyzja wchodzi w życie z dniem jej opublikowania w Dzienniku Urzędowym Unii Europejskiej. Stosuje się ją od dnia </w:t>
      </w:r>
      <w:r>
        <w:rPr>
          <w:noProof/>
          <w:color w:val="FF0000"/>
        </w:rPr>
        <w:t>[</w:t>
      </w:r>
      <w:r>
        <w:rPr>
          <w:i/>
          <w:noProof/>
          <w:color w:val="FF0000"/>
        </w:rPr>
        <w:t>data przyjęcia decyzji</w:t>
      </w:r>
      <w:r>
        <w:rPr>
          <w:noProof/>
          <w:color w:val="FF0000"/>
        </w:rPr>
        <w:t>]</w:t>
      </w:r>
      <w:r>
        <w:rPr>
          <w:rStyle w:val="FootnoteReference"/>
          <w:noProof/>
          <w:color w:val="FF0000"/>
        </w:rPr>
        <w:footnoteReference w:customMarkFollows="1" w:id="42"/>
        <w:sym w:font="Symbol" w:char="F02A"/>
      </w:r>
      <w:r>
        <w:rPr>
          <w:noProof/>
        </w:rPr>
        <w:t>.</w:t>
      </w:r>
    </w:p>
    <w:p>
      <w:pPr>
        <w:pStyle w:val="Fait"/>
        <w:rPr>
          <w:noProof/>
        </w:rPr>
      </w:pPr>
      <w:r>
        <w:t xml:space="preserve">Sporządzono w Brukseli dnia </w:t>
      </w:r>
      <w:r>
        <w:rPr>
          <w:rStyle w:val="Marker"/>
        </w:rPr>
        <w:t>[…]</w:t>
      </w:r>
      <w:r>
        <w:t xml:space="preserve"> r.</w:t>
      </w:r>
    </w:p>
    <w:p>
      <w:pPr>
        <w:pStyle w:val="Institutionquisigne"/>
        <w:rPr>
          <w:noProof/>
        </w:rPr>
      </w:pPr>
      <w:r>
        <w:rPr>
          <w:noProof/>
        </w:rPr>
        <w:t>W imieniu Parlamentu Europejskiego</w:t>
      </w:r>
      <w:r>
        <w:rPr>
          <w:noProof/>
        </w:rPr>
        <w:tab/>
        <w:t>W imieniu Rady</w:t>
      </w:r>
    </w:p>
    <w:p>
      <w:pPr>
        <w:pStyle w:val="Personnequisigne"/>
        <w:rPr>
          <w:noProof/>
        </w:rPr>
      </w:pPr>
      <w:r>
        <w:rPr>
          <w:noProof/>
        </w:rPr>
        <w:t>Przewodniczący</w:t>
      </w:r>
      <w:r>
        <w:rPr>
          <w:noProof/>
        </w:rPr>
        <w:tab/>
        <w:t>Przewodniczący</w:t>
      </w:r>
    </w:p>
    <w:sectPr>
      <w:pgSz w:w="11907" w:h="16839"/>
      <w:pgMar w:top="1134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PL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PL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PL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17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PL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  <w:footnote w:id="1">
    <w:p>
      <w:pPr>
        <w:pStyle w:val="FootnoteText"/>
      </w:pPr>
      <w:r>
        <w:rPr>
          <w:rStyle w:val="FootnoteReference"/>
        </w:rPr>
        <w:footnoteRef/>
      </w:r>
      <w:r>
        <w:tab/>
        <w:t>Dz.U. L 347 z 20.12.2013, s. 855.</w:t>
      </w:r>
    </w:p>
  </w:footnote>
  <w:footnote w:id="2">
    <w:p>
      <w:pPr>
        <w:pStyle w:val="FootnoteText"/>
      </w:pPr>
      <w:r>
        <w:rPr>
          <w:rStyle w:val="FootnoteReference"/>
        </w:rPr>
        <w:footnoteRef/>
      </w:r>
      <w:r>
        <w:tab/>
        <w:t>W rozumieniu art. 3 rozporządzenia w sprawie EFG.</w:t>
      </w:r>
    </w:p>
  </w:footnote>
  <w:footnote w:id="3">
    <w:p>
      <w:pPr>
        <w:pStyle w:val="FootnoteText"/>
      </w:pPr>
      <w:r>
        <w:rPr>
          <w:rStyle w:val="FootnoteReference"/>
        </w:rPr>
        <w:footnoteRef/>
      </w:r>
      <w:r>
        <w:tab/>
        <w:t>Rozporządzenie Komisji (UE) nr 1046/2012 z dnia 8 listopada 2012 r. wykonujące rozporządzenie (WE) nr 1059/2003 Parlamentu Europejskiego i Rady w sprawie ustalenia wspólnej klasyfikacji Jednostek Terytorialnych do Celów Statystycznych (NUTS) w zakresie przekazywania szeregów czasowych dla nowego podziału regionalnego (Dz.U. L 310 z 9.11.2012, s. 34).</w:t>
      </w:r>
    </w:p>
  </w:footnote>
  <w:footnote w:id="4">
    <w:p>
      <w:pPr>
        <w:pStyle w:val="FootnoteText"/>
      </w:pPr>
      <w:r>
        <w:rPr>
          <w:rStyle w:val="FootnoteReference"/>
        </w:rPr>
        <w:footnoteRef/>
      </w:r>
      <w:r>
        <w:tab/>
        <w:t>Dz.U. L 393 z 30.12.2006, s. 1.</w:t>
      </w:r>
    </w:p>
  </w:footnote>
  <w:footnote w:id="5">
    <w:p>
      <w:pPr>
        <w:pStyle w:val="FootnoteText"/>
      </w:pPr>
      <w:r>
        <w:rPr>
          <w:rStyle w:val="FootnoteReference"/>
        </w:rPr>
        <w:footnoteRef/>
      </w:r>
      <w:r>
        <w:tab/>
        <w:t>Zgodnie z art. 7 ust. 4 rozporządzenia (UE) nr 1309/2013.</w:t>
      </w:r>
    </w:p>
  </w:footnote>
  <w:footnote w:id="6">
    <w:p>
      <w:pPr>
        <w:pStyle w:val="FootnoteText"/>
      </w:pPr>
      <w:r>
        <w:rPr>
          <w:rStyle w:val="FootnoteReference"/>
        </w:rPr>
        <w:footnoteRef/>
      </w:r>
      <w:r>
        <w:tab/>
      </w:r>
      <w:hyperlink r:id="rId1" w:history="1">
        <w:r>
          <w:rPr>
            <w:rStyle w:val="Hyperlink"/>
          </w:rPr>
          <w:t>http://www.gondola.be/fr/news/food-retail/plan-de-transformation-carrefour-belgique-signature-du-protocole-daccord</w:t>
        </w:r>
      </w:hyperlink>
    </w:p>
  </w:footnote>
  <w:footnote w:id="7">
    <w:p>
      <w:pPr>
        <w:pStyle w:val="FootnoteText"/>
        <w:jc w:val="left"/>
      </w:pPr>
      <w:r>
        <w:rPr>
          <w:rStyle w:val="FootnoteReference"/>
        </w:rPr>
        <w:footnoteRef/>
      </w:r>
      <w:r>
        <w:tab/>
        <w:t>Światowa sprzedaż w handlu elektronicznym (</w:t>
      </w:r>
      <w:hyperlink r:id="rId2" w:history="1">
        <w:r>
          <w:rPr>
            <w:rStyle w:val="Hyperlink"/>
          </w:rPr>
          <w:t>https://www.emarketer.com/content/global-ecommerce-2019</w:t>
        </w:r>
      </w:hyperlink>
      <w:r>
        <w:rPr>
          <w:rStyle w:val="Hyperlink"/>
        </w:rPr>
        <w:t>)</w:t>
      </w:r>
    </w:p>
  </w:footnote>
  <w:footnote w:id="8">
    <w:p>
      <w:pPr>
        <w:pStyle w:val="FootnoteText"/>
      </w:pPr>
      <w:r>
        <w:rPr>
          <w:rStyle w:val="FootnoteReference"/>
        </w:rPr>
        <w:footnoteRef/>
      </w:r>
      <w:r>
        <w:tab/>
        <w:t>Tamże.</w:t>
      </w:r>
    </w:p>
  </w:footnote>
  <w:footnote w:id="9">
    <w:p>
      <w:pPr>
        <w:pStyle w:val="FootnoteText"/>
      </w:pPr>
      <w:r>
        <w:rPr>
          <w:rStyle w:val="FootnoteReference"/>
        </w:rPr>
        <w:footnoteRef/>
      </w:r>
      <w:r>
        <w:tab/>
        <w:t xml:space="preserve">Dane Eurostatu. Zakupy przez internet osób fizycznych </w:t>
      </w:r>
      <w:r>
        <w:rPr>
          <w:rStyle w:val="rightside"/>
        </w:rPr>
        <w:t>[isoc_ec_ibuy].</w:t>
      </w:r>
    </w:p>
  </w:footnote>
  <w:footnote w:id="10">
    <w:p>
      <w:pPr>
        <w:pStyle w:val="FootnoteText"/>
      </w:pPr>
      <w:r>
        <w:rPr>
          <w:rStyle w:val="FootnoteReference"/>
        </w:rPr>
        <w:footnoteRef/>
      </w:r>
      <w:r>
        <w:tab/>
        <w:t xml:space="preserve">Dane Eurostatu. </w:t>
      </w:r>
      <w:hyperlink r:id="rId3" w:history="1">
        <w:r>
          <w:rPr>
            <w:rStyle w:val="Hyperlink"/>
          </w:rPr>
          <w:t>https://ec.europa.eu/eurostat/statistics-explained/pdfscache/46776.pdf</w:t>
        </w:r>
      </w:hyperlink>
    </w:p>
  </w:footnote>
  <w:footnote w:id="11">
    <w:p>
      <w:pPr>
        <w:pStyle w:val="FootnoteText"/>
        <w:jc w:val="left"/>
      </w:pPr>
      <w:r>
        <w:rPr>
          <w:rStyle w:val="FootnoteReference"/>
        </w:rPr>
        <w:footnoteRef/>
      </w:r>
      <w:r>
        <w:tab/>
        <w:t>Badanie klientów transgranicznego handlu przez internet, 2017</w:t>
      </w:r>
      <w:r>
        <w:br/>
      </w:r>
      <w:hyperlink r:id="rId4" w:history="1">
        <w:r>
          <w:rPr>
            <w:rStyle w:val="Hyperlink"/>
          </w:rPr>
          <w:t>https://www.eurocommerce.eu/media/159952/2018.07.02%20-%20ecommerce%20report_annex.pdf</w:t>
        </w:r>
      </w:hyperlink>
    </w:p>
  </w:footnote>
  <w:footnote w:id="12">
    <w:p>
      <w:pPr>
        <w:pStyle w:val="FootnoteText"/>
      </w:pPr>
      <w:r>
        <w:rPr>
          <w:rStyle w:val="FootnoteReference"/>
        </w:rPr>
        <w:footnoteRef/>
      </w:r>
      <w:r>
        <w:tab/>
        <w:t>Belgijska Federacja Handlu i Usług</w:t>
      </w:r>
    </w:p>
  </w:footnote>
  <w:footnote w:id="13">
    <w:p>
      <w:pPr>
        <w:pStyle w:val="FootnoteText"/>
      </w:pPr>
      <w:r>
        <w:rPr>
          <w:rStyle w:val="FootnoteReference"/>
        </w:rPr>
        <w:footnoteRef/>
      </w:r>
      <w:r>
        <w:tab/>
        <w:t xml:space="preserve">Comeos. E-commerce Belgium 2018. </w:t>
      </w:r>
      <w:hyperlink r:id="rId5" w:history="1">
        <w:r>
          <w:rPr>
            <w:rStyle w:val="Hyperlink"/>
          </w:rPr>
          <w:t>https://static.comeos.be/E-commerce_Belgium_2018.pdf</w:t>
        </w:r>
      </w:hyperlink>
    </w:p>
  </w:footnote>
  <w:footnote w:id="14">
    <w:p>
      <w:pPr>
        <w:pStyle w:val="FootnoteText"/>
      </w:pPr>
      <w:r>
        <w:rPr>
          <w:rStyle w:val="FootnoteReference"/>
        </w:rPr>
        <w:footnoteRef/>
      </w:r>
      <w:r>
        <w:tab/>
        <w:t xml:space="preserve">Obecny wniosek oraz EGF/2017/005 FI/Retail, COM(2017) 618. </w:t>
      </w:r>
    </w:p>
  </w:footnote>
  <w:footnote w:id="15">
    <w:p>
      <w:pPr>
        <w:pStyle w:val="FootnoteText"/>
        <w:jc w:val="left"/>
      </w:pPr>
      <w:r>
        <w:rPr>
          <w:rStyle w:val="FootnoteReference"/>
        </w:rPr>
        <w:footnoteRef/>
      </w:r>
      <w:r>
        <w:tab/>
        <w:t>EGF/2010/010 CZ/Unilever, COM(2011) 61,</w:t>
      </w:r>
      <w:r>
        <w:br/>
        <w:t>EGF/2010/016 ES/Aragón Retail, COM(2010) 615,</w:t>
      </w:r>
      <w:r>
        <w:br/>
        <w:t>EGF/2011/004 EL/ALDI Hellas, COM(2011) 580,</w:t>
      </w:r>
      <w:r>
        <w:br/>
        <w:t>EGF/2014/009 EL/Sprider Stores, COM(2014) 620,</w:t>
      </w:r>
      <w:r>
        <w:br/>
        <w:t>EGF/2014/013 EL/Odyssefs Fokas, COM(2014) 702,</w:t>
      </w:r>
      <w:r>
        <w:br/>
        <w:t>EGF/2015/011 GR/Supermarket Larissa, COM(2016) 210,</w:t>
      </w:r>
      <w:r>
        <w:br/>
        <w:t>EGF/2016/005 NL/Drenthe Overijssel Retail,COM(2016) 742 oraz</w:t>
      </w:r>
      <w:r>
        <w:br/>
        <w:t>EGF/2017/003 GR Attica Retail, COM(2017) 613.</w:t>
      </w:r>
    </w:p>
  </w:footnote>
  <w:footnote w:id="16">
    <w:p>
      <w:pPr>
        <w:pStyle w:val="FootnoteText"/>
        <w:rPr>
          <w:lang w:val="fr-BE"/>
        </w:rPr>
      </w:pPr>
      <w:r>
        <w:rPr>
          <w:rStyle w:val="FootnoteReference"/>
        </w:rPr>
        <w:footnoteRef/>
      </w:r>
      <w:r>
        <w:tab/>
        <w:t xml:space="preserve">Carrefour. </w:t>
      </w:r>
      <w:r>
        <w:rPr>
          <w:lang w:val="fr-BE"/>
        </w:rPr>
        <w:t>„Plan de transformation Carrefour Belgique” (styczeń 2018 r.)</w:t>
      </w:r>
    </w:p>
  </w:footnote>
  <w:footnote w:id="17">
    <w:p>
      <w:pPr>
        <w:pStyle w:val="FootnoteText"/>
      </w:pPr>
      <w:r>
        <w:rPr>
          <w:rStyle w:val="FootnoteReference"/>
        </w:rPr>
        <w:footnoteRef/>
      </w:r>
      <w:r>
        <w:tab/>
        <w:t>Hity sprzedaży to produkty, które wielu konsumentów już teraz kupuje „online” i planuje robić to częściej w przyszłości.</w:t>
      </w:r>
    </w:p>
  </w:footnote>
  <w:footnote w:id="18">
    <w:p>
      <w:pPr>
        <w:pStyle w:val="FootnoteText"/>
      </w:pPr>
      <w:r>
        <w:rPr>
          <w:rStyle w:val="FootnoteReference"/>
        </w:rPr>
        <w:footnoteRef/>
      </w:r>
      <w:r>
        <w:tab/>
        <w:t>Comeos. E-commerce Belgium 2018, op.cit.</w:t>
      </w:r>
    </w:p>
  </w:footnote>
  <w:footnote w:id="19">
    <w:p>
      <w:pPr>
        <w:pStyle w:val="FootnoteText"/>
        <w:rPr>
          <w:lang w:val="fr-BE"/>
        </w:rPr>
      </w:pPr>
      <w:r>
        <w:rPr>
          <w:rStyle w:val="FootnoteReference"/>
        </w:rPr>
        <w:footnoteRef/>
      </w:r>
      <w:r>
        <w:tab/>
        <w:t xml:space="preserve">Carrefour. </w:t>
      </w:r>
      <w:r>
        <w:rPr>
          <w:lang w:val="fr-BE"/>
        </w:rPr>
        <w:t>„Plan de transformation Carrefour Belgique” (styczeń 2018 r.)</w:t>
      </w:r>
    </w:p>
  </w:footnote>
  <w:footnote w:id="20">
    <w:p>
      <w:pPr>
        <w:pStyle w:val="FootnoteText"/>
      </w:pPr>
      <w:r>
        <w:rPr>
          <w:rStyle w:val="FootnoteReference"/>
        </w:rPr>
        <w:footnoteRef/>
      </w:r>
      <w:r>
        <w:tab/>
        <w:t>Tamże.</w:t>
      </w:r>
    </w:p>
  </w:footnote>
  <w:footnote w:id="21">
    <w:p>
      <w:pPr>
        <w:pStyle w:val="FootnoteText"/>
      </w:pPr>
      <w:r>
        <w:rPr>
          <w:rStyle w:val="FootnoteReference"/>
        </w:rPr>
        <w:footnoteRef/>
      </w:r>
      <w:r>
        <w:tab/>
        <w:t>ROC (stopa zwrotu z inwestycji, ang. „return on customers”) jest wskaźnikiem rentowności sklepów. Przy jego pomocy oblicza się przewidywaną rentowność sprzedaży klientom w związku z dokonanymi i przyszłymi inwestycjami mającymi na celu obsługę klientów, zaspokajanie ich potrzeb oraz zatrzymanie ich. ROC to przepływy środków pieniężnych od klientów przedsiębiorstwa w danym okresie powiększone o wszelkie ewentualne zmiany w zdolności nabywczej klientów, podzielone przez całkowitą wartość tej zdolności nabywczej na początku okresu.</w:t>
      </w:r>
    </w:p>
  </w:footnote>
  <w:footnote w:id="22">
    <w:p>
      <w:pPr>
        <w:pStyle w:val="FootnoteText"/>
        <w:jc w:val="left"/>
      </w:pPr>
      <w:r>
        <w:rPr>
          <w:rStyle w:val="FootnoteReference"/>
        </w:rPr>
        <w:footnoteRef/>
      </w:r>
      <w:r>
        <w:tab/>
        <w:t>Statbel</w:t>
      </w:r>
      <w:r>
        <w:br/>
        <w:t>(</w:t>
      </w:r>
      <w:hyperlink r:id="rId6" w:anchor="panel-11" w:history="1">
        <w:r>
          <w:rPr>
            <w:rStyle w:val="Hyperlink"/>
          </w:rPr>
          <w:t>https://statbel.fgov.be/fr/themes/emploi-formation/marche-du-travail/emploi-et-chomage#panel-11</w:t>
        </w:r>
      </w:hyperlink>
      <w:r>
        <w:t>)</w:t>
      </w:r>
    </w:p>
  </w:footnote>
  <w:footnote w:id="23">
    <w:p>
      <w:pPr>
        <w:pStyle w:val="FootnoteText"/>
      </w:pPr>
      <w:r>
        <w:rPr>
          <w:rStyle w:val="FootnoteReference"/>
        </w:rPr>
        <w:footnoteRef/>
      </w:r>
      <w:r>
        <w:tab/>
        <w:t>Tamże.</w:t>
      </w:r>
    </w:p>
  </w:footnote>
  <w:footnote w:id="24">
    <w:p>
      <w:pPr>
        <w:pStyle w:val="FootnoteText"/>
      </w:pPr>
      <w:r>
        <w:rPr>
          <w:rStyle w:val="FootnoteReference"/>
        </w:rPr>
        <w:footnoteRef/>
      </w:r>
      <w:r>
        <w:tab/>
        <w:t>Le Forem. Marché de l’emploi. Tendances et conjoncture en Wallonie. Janvier 2019</w:t>
      </w:r>
    </w:p>
  </w:footnote>
  <w:footnote w:id="25">
    <w:p>
      <w:pPr>
        <w:pStyle w:val="FootnoteText"/>
        <w:jc w:val="left"/>
      </w:pPr>
      <w:r>
        <w:rPr>
          <w:rStyle w:val="FootnoteReference"/>
        </w:rPr>
        <w:footnoteRef/>
      </w:r>
      <w:r>
        <w:tab/>
        <w:t>Iweps. Séries statistiques du marché du travail en Wallonie. Décembre 2018</w:t>
      </w:r>
      <w:r>
        <w:br/>
        <w:t>(</w:t>
      </w:r>
      <w:hyperlink r:id="rId7" w:history="1">
        <w:r>
          <w:rPr>
            <w:rStyle w:val="Hyperlink"/>
          </w:rPr>
          <w:t>https://www.iweps.be/wp-content/uploads/2019/01/dmc1812.pdf</w:t>
        </w:r>
      </w:hyperlink>
      <w:r>
        <w:t>)</w:t>
      </w:r>
    </w:p>
  </w:footnote>
  <w:footnote w:id="26">
    <w:p>
      <w:pPr>
        <w:pStyle w:val="FootnoteText"/>
      </w:pPr>
      <w:r>
        <w:rPr>
          <w:rStyle w:val="FootnoteReference"/>
        </w:rPr>
        <w:footnoteRef/>
      </w:r>
      <w:r>
        <w:tab/>
      </w:r>
      <w:hyperlink r:id="rId8" w:history="1">
        <w:r>
          <w:rPr>
            <w:rStyle w:val="Hyperlink"/>
          </w:rPr>
          <w:t>https://www.lecho.be/entreprises/grande-distribution/Malgre-Carrefour-l-emploi-dans-la-grande-distribution-a-progresse/9976847</w:t>
        </w:r>
      </w:hyperlink>
    </w:p>
  </w:footnote>
  <w:footnote w:id="27">
    <w:p>
      <w:pPr>
        <w:pStyle w:val="FootnoteText"/>
      </w:pPr>
      <w:r>
        <w:rPr>
          <w:rStyle w:val="FootnoteReference"/>
        </w:rPr>
        <w:footnoteRef/>
      </w:r>
      <w:r>
        <w:tab/>
        <w:t>Province Hainaut (27,6%), Province Liège (21,1 %).</w:t>
      </w:r>
    </w:p>
  </w:footnote>
  <w:footnote w:id="28">
    <w:p>
      <w:pPr>
        <w:pStyle w:val="FootnoteText"/>
      </w:pPr>
      <w:r>
        <w:rPr>
          <w:rStyle w:val="FootnoteReference"/>
        </w:rPr>
        <w:footnoteRef/>
      </w:r>
      <w:r>
        <w:tab/>
        <w:t xml:space="preserve">Źródło: Eurostat, zbiór danych: </w:t>
      </w:r>
      <w:r>
        <w:rPr>
          <w:rStyle w:val="rightside"/>
        </w:rPr>
        <w:t>[lfst_r_lfu3rt].</w:t>
      </w:r>
    </w:p>
  </w:footnote>
  <w:footnote w:id="29">
    <w:p>
      <w:pPr>
        <w:pStyle w:val="FootnoteText"/>
      </w:pPr>
      <w:r>
        <w:rPr>
          <w:rStyle w:val="FootnoteReference"/>
        </w:rPr>
        <w:footnoteRef/>
      </w:r>
      <w:r>
        <w:tab/>
      </w:r>
      <w:r>
        <w:rPr>
          <w:rStyle w:val="tlid-translation"/>
        </w:rPr>
        <w:t>dla pracowników powyżej 45 r.ż., 6 miesięcy (60 godzin); dla pracowników do 44 r.ż., 3 miesiące (30 godzin).</w:t>
      </w:r>
    </w:p>
  </w:footnote>
  <w:footnote w:id="30">
    <w:p>
      <w:pPr>
        <w:pStyle w:val="FootnoteText"/>
      </w:pPr>
      <w:r>
        <w:rPr>
          <w:rStyle w:val="FootnoteReference"/>
        </w:rPr>
        <w:footnoteRef/>
      </w:r>
      <w:r>
        <w:tab/>
        <w:t>Zgodnie z dekretem walońskim z dnia 29 stycznia 2004 r. (</w:t>
      </w:r>
      <w:r>
        <w:rPr>
          <w:i/>
        </w:rPr>
        <w:t>Décret relatif au plan d’accompagnement des reconversions</w:t>
      </w:r>
      <w:r>
        <w:t>)</w:t>
      </w:r>
    </w:p>
  </w:footnote>
  <w:footnote w:id="31">
    <w:p>
      <w:pPr>
        <w:pStyle w:val="FootnoteText"/>
      </w:pPr>
      <w:r>
        <w:rPr>
          <w:rStyle w:val="FootnoteReference"/>
        </w:rPr>
        <w:footnoteRef/>
      </w:r>
      <w:r>
        <w:tab/>
        <w:t>500 EUR, jeżeli dojeżdżają do pracy samochodem lub 750 EUR, jeżeli dojeżdżają do pracy transportem publicznym.</w:t>
      </w:r>
    </w:p>
  </w:footnote>
  <w:footnote w:id="32">
    <w:p>
      <w:pPr>
        <w:pStyle w:val="FootnoteText"/>
      </w:pPr>
      <w:r>
        <w:rPr>
          <w:rStyle w:val="FootnoteReference"/>
        </w:rPr>
        <w:footnoteRef/>
      </w:r>
      <w:r>
        <w:tab/>
        <w:t>Wypłacanie dodatku kończy się w momencie rozpoczęcia działalności.</w:t>
      </w:r>
    </w:p>
  </w:footnote>
  <w:footnote w:id="33">
    <w:p>
      <w:pPr>
        <w:pStyle w:val="FootnoteText"/>
      </w:pPr>
      <w:r>
        <w:rPr>
          <w:rStyle w:val="FootnoteReference"/>
        </w:rPr>
        <w:footnoteRef/>
      </w:r>
      <w:r>
        <w:tab/>
        <w:t>W celu uniknięcia ułamków szacunkowe koszty przypadające na jednego pracownika zostały zaokrąglone. Zaokrąglenie nie ma jednak wpływu na całkowity koszt każdego środka. Pozostaje on w tej samej wysokości, co w złożonym przez Belgię wniosku.</w:t>
      </w:r>
    </w:p>
  </w:footnote>
  <w:footnote w:id="34">
    <w:p>
      <w:pPr>
        <w:pStyle w:val="FootnoteText"/>
      </w:pPr>
      <w:r>
        <w:rPr>
          <w:rStyle w:val="FootnoteReference"/>
        </w:rPr>
        <w:footnoteRef/>
      </w:r>
      <w:r>
        <w:tab/>
        <w:t>Sumy nie są równe kwocie łącznej ze względu na zaokrąglenie.</w:t>
      </w:r>
    </w:p>
  </w:footnote>
  <w:footnote w:id="35">
    <w:p>
      <w:pPr>
        <w:pStyle w:val="FootnoteText"/>
      </w:pPr>
      <w:r>
        <w:rPr>
          <w:rStyle w:val="FootnoteReference"/>
        </w:rPr>
        <w:footnoteRef/>
      </w:r>
      <w:r>
        <w:tab/>
        <w:t>W dniach 15 i 27 marca 2019 r.</w:t>
      </w:r>
    </w:p>
  </w:footnote>
  <w:footnote w:id="36">
    <w:p>
      <w:pPr>
        <w:pStyle w:val="FootnoteText"/>
      </w:pPr>
      <w:r>
        <w:rPr>
          <w:rStyle w:val="FootnoteReference"/>
        </w:rPr>
        <w:footnoteRef/>
      </w:r>
      <w:r>
        <w:tab/>
        <w:t>W dniu 15 marca 2019 r.</w:t>
      </w:r>
    </w:p>
  </w:footnote>
  <w:footnote w:id="37">
    <w:p>
      <w:pPr>
        <w:pStyle w:val="FootnoteText"/>
      </w:pPr>
      <w:r>
        <w:rPr>
          <w:rStyle w:val="FootnoteReference"/>
        </w:rPr>
        <w:footnoteRef/>
      </w:r>
      <w:r>
        <w:tab/>
        <w:t>Dz.U. L 347 z 20.12.2013, s. 884.</w:t>
      </w:r>
    </w:p>
  </w:footnote>
  <w:footnote w:id="38">
    <w:p>
      <w:pPr>
        <w:pStyle w:val="FootnoteText"/>
      </w:pPr>
      <w:r>
        <w:rPr>
          <w:rStyle w:val="FootnoteReference"/>
        </w:rPr>
        <w:footnoteRef/>
      </w:r>
      <w:r>
        <w:tab/>
        <w:t>Dz.U. C 373 z 20.12.2013, s. 1.</w:t>
      </w:r>
    </w:p>
  </w:footnote>
  <w:footnote w:id="39">
    <w:p>
      <w:pPr>
        <w:pStyle w:val="FootnoteText"/>
      </w:pPr>
      <w:r>
        <w:rPr>
          <w:rStyle w:val="FootnoteReference"/>
        </w:rPr>
        <w:footnoteRef/>
      </w:r>
      <w:r>
        <w:tab/>
        <w:t>Dz.U. L 347 z 20.12.2013, s. 855.</w:t>
      </w:r>
    </w:p>
  </w:footnote>
  <w:footnote w:id="40">
    <w:p>
      <w:pPr>
        <w:pStyle w:val="FootnoteText"/>
      </w:pPr>
      <w:r>
        <w:rPr>
          <w:rStyle w:val="FootnoteReference"/>
        </w:rPr>
        <w:footnoteRef/>
      </w:r>
      <w:r>
        <w:tab/>
        <w:t>Dz.U. C 373 z 20.12.2013, s. 1.</w:t>
      </w:r>
    </w:p>
  </w:footnote>
  <w:footnote w:id="41">
    <w:p>
      <w:pPr>
        <w:pStyle w:val="FootnoteText"/>
      </w:pPr>
      <w:r>
        <w:rPr>
          <w:rStyle w:val="FootnoteReference"/>
        </w:rPr>
        <w:footnoteRef/>
      </w:r>
      <w:r>
        <w:tab/>
        <w:t>Rozporządzenie Rady (UE, Euratom) nr 1311/2013 z dnia 2 grudnia 2013 r. określające wieloletnie ramy finansowe na lata 2014–2020 (Dz.U. L 347 z 20.12.2013, s. 884).</w:t>
      </w:r>
    </w:p>
  </w:footnote>
  <w:footnote w:id="42">
    <w:p>
      <w:pPr>
        <w:pStyle w:val="FootnoteText"/>
        <w:rPr>
          <w:color w:val="FF0000"/>
        </w:rPr>
      </w:pPr>
      <w:r>
        <w:rPr>
          <w:rStyle w:val="FootnoteReference"/>
          <w:color w:val="FF0000"/>
        </w:rPr>
        <w:sym w:font="Symbol" w:char="F02A"/>
      </w:r>
      <w:r>
        <w:rPr>
          <w:color w:val="FF0000"/>
        </w:rPr>
        <w:t xml:space="preserve"> </w:t>
      </w:r>
      <w:r>
        <w:rPr>
          <w:color w:val="FF0000"/>
        </w:rPr>
        <w:tab/>
        <w:t>Datę wprowadza Parlament przed opublikowaniem w Dz.U.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CBB686B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99E463D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780CFFF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4498EC5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332C75C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1F90476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9C28232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45869BF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1"/>
    </w:lvlOverride>
  </w:num>
  <w:num w:numId="7">
    <w:abstractNumId w:val="6"/>
  </w:num>
  <w:num w:numId="8">
    <w:abstractNumId w:val="2"/>
  </w:num>
  <w:num w:numId="9">
    <w:abstractNumId w:val="1"/>
  </w:num>
  <w:num w:numId="10">
    <w:abstractNumId w:val="0"/>
  </w:num>
  <w:num w:numId="11">
    <w:abstractNumId w:val="12"/>
    <w:lvlOverride w:ilvl="0">
      <w:startOverride w:val="1"/>
    </w:lvlOverride>
  </w:num>
  <w:num w:numId="12">
    <w:abstractNumId w:val="18"/>
  </w:num>
  <w:num w:numId="13">
    <w:abstractNumId w:val="12"/>
  </w:num>
  <w:num w:numId="14">
    <w:abstractNumId w:val="20"/>
  </w:num>
  <w:num w:numId="15">
    <w:abstractNumId w:val="11"/>
  </w:num>
  <w:num w:numId="16">
    <w:abstractNumId w:val="13"/>
  </w:num>
  <w:num w:numId="17">
    <w:abstractNumId w:val="9"/>
  </w:num>
  <w:num w:numId="18">
    <w:abstractNumId w:val="19"/>
  </w:num>
  <w:num w:numId="19">
    <w:abstractNumId w:val="8"/>
  </w:num>
  <w:num w:numId="20">
    <w:abstractNumId w:val="14"/>
  </w:num>
  <w:num w:numId="21">
    <w:abstractNumId w:val="16"/>
  </w:num>
  <w:num w:numId="22">
    <w:abstractNumId w:val="17"/>
  </w:num>
  <w:num w:numId="23">
    <w:abstractNumId w:val="10"/>
  </w:num>
  <w:num w:numId="24">
    <w:abstractNumId w:val="15"/>
  </w:num>
  <w:num w:numId="25">
    <w:abstractNumId w:val="21"/>
  </w:num>
  <w:num w:numId="26">
    <w:abstractNumId w:val="18"/>
  </w:num>
  <w:num w:numId="27">
    <w:abstractNumId w:val="12"/>
  </w:num>
  <w:num w:numId="28">
    <w:abstractNumId w:val="20"/>
  </w:num>
  <w:num w:numId="29">
    <w:abstractNumId w:val="11"/>
  </w:num>
  <w:num w:numId="30">
    <w:abstractNumId w:val="13"/>
  </w:num>
  <w:num w:numId="31">
    <w:abstractNumId w:val="9"/>
  </w:num>
  <w:num w:numId="32">
    <w:abstractNumId w:val="19"/>
  </w:num>
  <w:num w:numId="33">
    <w:abstractNumId w:val="8"/>
  </w:num>
  <w:num w:numId="34">
    <w:abstractNumId w:val="14"/>
  </w:num>
  <w:num w:numId="35">
    <w:abstractNumId w:val="16"/>
  </w:num>
  <w:num w:numId="36">
    <w:abstractNumId w:val="17"/>
  </w:num>
  <w:num w:numId="37">
    <w:abstractNumId w:val="10"/>
  </w:num>
  <w:num w:numId="38">
    <w:abstractNumId w:val="15"/>
  </w:num>
  <w:num w:numId="39">
    <w:abstractNumId w:val="2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attachedTemplate r:id="rId1"/>
  <w:revisionView w:markup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QCDateTime" w:val="2019-10-02 08:16:09"/>
    <w:docVar w:name="DQCResult_Distribution" w:val="0;1"/>
    <w:docVar w:name="DQCResult_DocumentContent" w:val="0;0"/>
    <w:docVar w:name="DQCResult_DocumentSize" w:val="0;0"/>
    <w:docVar w:name="DQCResult_DocumentVersions" w:val="0;0"/>
    <w:docVar w:name="DQCResult_InvalidFootnotes" w:val="0;1"/>
    <w:docVar w:name="DQCResult_LinkedStyles" w:val="0;0"/>
    <w:docVar w:name="DQCResult_ModifiedMargins" w:val="0;4"/>
    <w:docVar w:name="DQCResult_ModifiedMarkers" w:val="0;0"/>
    <w:docVar w:name="DQCResult_ModifiedNumbering" w:val="0;0"/>
    <w:docVar w:name="DQCResult_Objects" w:val="0;0"/>
    <w:docVar w:name="DQCResult_Sections" w:val="0;1"/>
    <w:docVar w:name="DQCResult_StructureCheck" w:val="0;0"/>
    <w:docVar w:name="DQCResult_SuperfluousWhitespace" w:val="0;3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CORRIGENDUM" w:val="&lt;UNUSED&gt;"/>
    <w:docVar w:name="LW_COVERPAGE_EXISTS" w:val="True"/>
    <w:docVar w:name="LW_COVERPAGE_GUID" w:val="8EDF18C3-A407-4BB1-AD74-45BAFDC7C030"/>
    <w:docVar w:name="LW_COVERPAGE_TYPE" w:val="1"/>
    <w:docVar w:name="LW_CROSSREFERENCE" w:val="&lt;UNUSED&gt;"/>
    <w:docVar w:name="LW_DocType" w:val="COM"/>
    <w:docVar w:name="LW_EMISSION" w:val="4.10.2019"/>
    <w:docVar w:name="LW_EMISSION_ISODATE" w:val="2019-10-04"/>
    <w:docVar w:name="LW_EMISSION_LOCATION" w:val="BRX"/>
    <w:docVar w:name="LW_EMISSION_PREFIX" w:val="Bruksela, dnia "/>
    <w:docVar w:name="LW_EMISSION_SUFFIX" w:val="&lt;EMPTY&gt;"/>
    <w:docVar w:name="LW_ID_DOCMODEL" w:val="SJ-026"/>
    <w:docVar w:name="LW_ID_DOCSIGNATURE" w:val="SJ-026"/>
    <w:docVar w:name="LW_ID_DOCSTRUCTURE" w:val="COM/PL/ORG"/>
    <w:docVar w:name="LW_ID_DOCTYPE" w:val="SJ-026"/>
    <w:docVar w:name="LW_ID_EXP.MOTIFS.NEW" w:val="EM_PL_"/>
    <w:docVar w:name="LW_ID_STATUT" w:val="SJ-026"/>
    <w:docVar w:name="LW_INTERETEEE.CP" w:val="&lt;UNUSED&gt;"/>
    <w:docVar w:name="LW_LANGUE" w:val="PL"/>
    <w:docVar w:name="LW_LEVEL_OF_SENSITIVITY" w:val="Standard treatment"/>
    <w:docVar w:name="LW_NOM.INST" w:val="KOMISJA EUROPEJSKA"/>
    <w:docVar w:name="LW_NOM.INST_JOINTDOC" w:val="&lt;EMPTY&gt;"/>
    <w:docVar w:name="LW_PART_NBR" w:val="1"/>
    <w:docVar w:name="LW_PART_NBR_TOTAL" w:val="1"/>
    <w:docVar w:name="LW_REF.II.NEW.CP" w:val="&lt;UNUSED&gt;"/>
    <w:docVar w:name="LW_REF.II.NEW.CP_NUMBER" w:val="&lt;UNUSED&gt;"/>
    <w:docVar w:name="LW_REF.II.NEW.CP_YEAR" w:val="2019"/>
    <w:docVar w:name="LW_REF.INST.NEW" w:val="COM"/>
    <w:docVar w:name="LW_REF.INST.NEW_ADOPTED" w:val="final"/>
    <w:docVar w:name="LW_REF.INST.NEW_TEXT" w:val="(2019) 442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Config isAvailable=&quot;false&quot; isMandatory=&quot;false&quot; sensitiveMarkingMandatory=&quot;false&quot; specialMarkingMandatory=&quot;true&quot; isOptionDisplayInHeaderAvailable=&quot;true&quot; sensitiveMarkingListSee=&quot;SensitiveMarkings&quot; specialMarkingListSee=&quot;SpecialMarkings&quot; sensitiveFootnoteTextSee=&quot;sensitiveFootnote&quot; specialFootnoteTextSee=&quot;specialFootnote&quot; /&gt;_x000d__x000a_  &lt;chosenMainMarking xsi:nil=&quot;true&quot; /&gt;_x000d__x000a_  &lt;dateMarking xsi:nil=&quot;true&quot; /&gt;_x000d__x000a_  &lt;releasableToConfig isAvailable=&quot;false&quot; institutionListSee=&quot;DefaultInstitutions&quot; /&gt;_x000d__x000a_  &lt;chosenReleasableTo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isRestricted&gt;false&lt;/isRestricted&gt;_x000d__x000a_&lt;/SensitivityLevel&gt;"/>
    <w:docVar w:name="LW_STATUT.CP" w:val="Wniosek"/>
    <w:docVar w:name="LW_SUPERTITRE" w:val="&lt;UNUSED&gt;"/>
    <w:docVar w:name="LW_TITRE.OBJ.CP" w:val="w sprawie uruchomienia Europejskiego Funduszu Dostosowania do Globalizacji w nast\u281?pstwie_x000b_wniosku z\u322?o\u380?onego przez Belgi\u281? \u8211? EGF/2019/001 BE/Carrefour"/>
    <w:docVar w:name="LW_TYPE.DOC.CP" w:val="DECYZJA PARLAMENTU EUROPEJSKIEGO I RADY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pl-PL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32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32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32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32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pl-PL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Times New Roman" w:hAnsi="Times New Roman" w:cs="Times New Roman"/>
      <w:sz w:val="20"/>
      <w:szCs w:val="20"/>
      <w:lang w:val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pl-PL"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10"/>
      </w:numPr>
      <w:contextualSpacing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Sous-titreobjetPagedecouverture">
    <w:name w:val="Sous-titre objet (Page de couverture)"/>
    <w:basedOn w:val="Sous-titreobjet"/>
  </w:style>
  <w:style w:type="character" w:customStyle="1" w:styleId="rightside">
    <w:name w:val="right_side"/>
    <w:basedOn w:val="DefaultParagraphFont"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basedOn w:val="DefaultParagraphFont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pl-PL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pl-PL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HeaderSensitivityRight">
    <w:name w:val="Header Sensitivity Right"/>
    <w:basedOn w:val="Normal"/>
    <w:pPr>
      <w:spacing w:before="0"/>
      <w:jc w:val="right"/>
    </w:pPr>
    <w:rPr>
      <w:sz w:val="28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6"/>
      </w:numPr>
    </w:pPr>
  </w:style>
  <w:style w:type="paragraph" w:customStyle="1" w:styleId="Tiret1">
    <w:name w:val="Tiret 1"/>
    <w:basedOn w:val="Point1"/>
    <w:pPr>
      <w:numPr>
        <w:numId w:val="27"/>
      </w:numPr>
    </w:pPr>
  </w:style>
  <w:style w:type="paragraph" w:customStyle="1" w:styleId="Tiret2">
    <w:name w:val="Tiret 2"/>
    <w:basedOn w:val="Point2"/>
    <w:pPr>
      <w:numPr>
        <w:numId w:val="28"/>
      </w:numPr>
    </w:pPr>
  </w:style>
  <w:style w:type="paragraph" w:customStyle="1" w:styleId="Tiret3">
    <w:name w:val="Tiret 3"/>
    <w:basedOn w:val="Point3"/>
    <w:pPr>
      <w:numPr>
        <w:numId w:val="29"/>
      </w:numPr>
    </w:pPr>
  </w:style>
  <w:style w:type="paragraph" w:customStyle="1" w:styleId="Tiret4">
    <w:name w:val="Tiret 4"/>
    <w:basedOn w:val="Point4"/>
    <w:pPr>
      <w:numPr>
        <w:numId w:val="30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31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31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31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31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3"/>
      </w:numPr>
    </w:pPr>
  </w:style>
  <w:style w:type="paragraph" w:customStyle="1" w:styleId="Point1number">
    <w:name w:val="Point 1 (number)"/>
    <w:basedOn w:val="Normal"/>
    <w:pPr>
      <w:numPr>
        <w:ilvl w:val="2"/>
        <w:numId w:val="33"/>
      </w:numPr>
    </w:pPr>
  </w:style>
  <w:style w:type="paragraph" w:customStyle="1" w:styleId="Point2number">
    <w:name w:val="Point 2 (number)"/>
    <w:basedOn w:val="Normal"/>
    <w:pPr>
      <w:numPr>
        <w:ilvl w:val="4"/>
        <w:numId w:val="33"/>
      </w:numPr>
    </w:pPr>
  </w:style>
  <w:style w:type="paragraph" w:customStyle="1" w:styleId="Point3number">
    <w:name w:val="Point 3 (number)"/>
    <w:basedOn w:val="Normal"/>
    <w:pPr>
      <w:numPr>
        <w:ilvl w:val="6"/>
        <w:numId w:val="33"/>
      </w:numPr>
    </w:pPr>
  </w:style>
  <w:style w:type="paragraph" w:customStyle="1" w:styleId="Point0letter">
    <w:name w:val="Point 0 (letter)"/>
    <w:basedOn w:val="Normal"/>
    <w:pPr>
      <w:numPr>
        <w:ilvl w:val="1"/>
        <w:numId w:val="33"/>
      </w:numPr>
    </w:pPr>
  </w:style>
  <w:style w:type="paragraph" w:customStyle="1" w:styleId="Point1letter">
    <w:name w:val="Point 1 (letter)"/>
    <w:basedOn w:val="Normal"/>
    <w:pPr>
      <w:numPr>
        <w:ilvl w:val="3"/>
        <w:numId w:val="33"/>
      </w:numPr>
    </w:pPr>
  </w:style>
  <w:style w:type="paragraph" w:customStyle="1" w:styleId="Point2letter">
    <w:name w:val="Point 2 (letter)"/>
    <w:basedOn w:val="Normal"/>
    <w:pPr>
      <w:numPr>
        <w:ilvl w:val="5"/>
        <w:numId w:val="33"/>
      </w:numPr>
    </w:pPr>
  </w:style>
  <w:style w:type="paragraph" w:customStyle="1" w:styleId="Point3letter">
    <w:name w:val="Point 3 (letter)"/>
    <w:basedOn w:val="Normal"/>
    <w:pPr>
      <w:numPr>
        <w:ilvl w:val="7"/>
        <w:numId w:val="33"/>
      </w:numPr>
    </w:pPr>
  </w:style>
  <w:style w:type="paragraph" w:customStyle="1" w:styleId="Point4letter">
    <w:name w:val="Point 4 (letter)"/>
    <w:basedOn w:val="Normal"/>
    <w:pPr>
      <w:numPr>
        <w:ilvl w:val="8"/>
        <w:numId w:val="33"/>
      </w:numPr>
    </w:pPr>
  </w:style>
  <w:style w:type="paragraph" w:customStyle="1" w:styleId="Bullet0">
    <w:name w:val="Bullet 0"/>
    <w:basedOn w:val="Normal"/>
    <w:pPr>
      <w:numPr>
        <w:numId w:val="34"/>
      </w:numPr>
    </w:pPr>
  </w:style>
  <w:style w:type="paragraph" w:customStyle="1" w:styleId="Bullet1">
    <w:name w:val="Bullet 1"/>
    <w:basedOn w:val="Normal"/>
    <w:pPr>
      <w:numPr>
        <w:numId w:val="35"/>
      </w:numPr>
    </w:pPr>
  </w:style>
  <w:style w:type="paragraph" w:customStyle="1" w:styleId="Bullet2">
    <w:name w:val="Bullet 2"/>
    <w:basedOn w:val="Normal"/>
    <w:pPr>
      <w:numPr>
        <w:numId w:val="36"/>
      </w:numPr>
    </w:pPr>
  </w:style>
  <w:style w:type="paragraph" w:customStyle="1" w:styleId="Bullet3">
    <w:name w:val="Bullet 3"/>
    <w:basedOn w:val="Normal"/>
    <w:pPr>
      <w:numPr>
        <w:numId w:val="37"/>
      </w:numPr>
    </w:pPr>
  </w:style>
  <w:style w:type="paragraph" w:customStyle="1" w:styleId="Bullet4">
    <w:name w:val="Bullet 4"/>
    <w:basedOn w:val="Normal"/>
    <w:pPr>
      <w:numPr>
        <w:numId w:val="38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SecurityMarking">
    <w:name w:val="SecurityMarking"/>
    <w:basedOn w:val="Normal"/>
    <w:pPr>
      <w:spacing w:before="0" w:after="0" w:line="276" w:lineRule="auto"/>
      <w:ind w:left="5103"/>
      <w:jc w:val="left"/>
    </w:pPr>
    <w:rPr>
      <w:sz w:val="28"/>
    </w:rPr>
  </w:style>
  <w:style w:type="paragraph" w:customStyle="1" w:styleId="DateMarking">
    <w:name w:val="DateMarking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ReleasableTo">
    <w:name w:val="ReleasableTo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9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IntrtEEE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IntrtEEE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pl-PL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32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32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32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32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pl-PL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Times New Roman" w:hAnsi="Times New Roman" w:cs="Times New Roman"/>
      <w:sz w:val="20"/>
      <w:szCs w:val="20"/>
      <w:lang w:val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pl-PL"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10"/>
      </w:numPr>
      <w:contextualSpacing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Sous-titreobjetPagedecouverture">
    <w:name w:val="Sous-titre objet (Page de couverture)"/>
    <w:basedOn w:val="Sous-titreobjet"/>
  </w:style>
  <w:style w:type="character" w:customStyle="1" w:styleId="rightside">
    <w:name w:val="right_side"/>
    <w:basedOn w:val="DefaultParagraphFont"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basedOn w:val="DefaultParagraphFont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pl-PL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pl-PL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HeaderSensitivityRight">
    <w:name w:val="Header Sensitivity Right"/>
    <w:basedOn w:val="Normal"/>
    <w:pPr>
      <w:spacing w:before="0"/>
      <w:jc w:val="right"/>
    </w:pPr>
    <w:rPr>
      <w:sz w:val="28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6"/>
      </w:numPr>
    </w:pPr>
  </w:style>
  <w:style w:type="paragraph" w:customStyle="1" w:styleId="Tiret1">
    <w:name w:val="Tiret 1"/>
    <w:basedOn w:val="Point1"/>
    <w:pPr>
      <w:numPr>
        <w:numId w:val="27"/>
      </w:numPr>
    </w:pPr>
  </w:style>
  <w:style w:type="paragraph" w:customStyle="1" w:styleId="Tiret2">
    <w:name w:val="Tiret 2"/>
    <w:basedOn w:val="Point2"/>
    <w:pPr>
      <w:numPr>
        <w:numId w:val="28"/>
      </w:numPr>
    </w:pPr>
  </w:style>
  <w:style w:type="paragraph" w:customStyle="1" w:styleId="Tiret3">
    <w:name w:val="Tiret 3"/>
    <w:basedOn w:val="Point3"/>
    <w:pPr>
      <w:numPr>
        <w:numId w:val="29"/>
      </w:numPr>
    </w:pPr>
  </w:style>
  <w:style w:type="paragraph" w:customStyle="1" w:styleId="Tiret4">
    <w:name w:val="Tiret 4"/>
    <w:basedOn w:val="Point4"/>
    <w:pPr>
      <w:numPr>
        <w:numId w:val="30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31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31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31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31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3"/>
      </w:numPr>
    </w:pPr>
  </w:style>
  <w:style w:type="paragraph" w:customStyle="1" w:styleId="Point1number">
    <w:name w:val="Point 1 (number)"/>
    <w:basedOn w:val="Normal"/>
    <w:pPr>
      <w:numPr>
        <w:ilvl w:val="2"/>
        <w:numId w:val="33"/>
      </w:numPr>
    </w:pPr>
  </w:style>
  <w:style w:type="paragraph" w:customStyle="1" w:styleId="Point2number">
    <w:name w:val="Point 2 (number)"/>
    <w:basedOn w:val="Normal"/>
    <w:pPr>
      <w:numPr>
        <w:ilvl w:val="4"/>
        <w:numId w:val="33"/>
      </w:numPr>
    </w:pPr>
  </w:style>
  <w:style w:type="paragraph" w:customStyle="1" w:styleId="Point3number">
    <w:name w:val="Point 3 (number)"/>
    <w:basedOn w:val="Normal"/>
    <w:pPr>
      <w:numPr>
        <w:ilvl w:val="6"/>
        <w:numId w:val="33"/>
      </w:numPr>
    </w:pPr>
  </w:style>
  <w:style w:type="paragraph" w:customStyle="1" w:styleId="Point0letter">
    <w:name w:val="Point 0 (letter)"/>
    <w:basedOn w:val="Normal"/>
    <w:pPr>
      <w:numPr>
        <w:ilvl w:val="1"/>
        <w:numId w:val="33"/>
      </w:numPr>
    </w:pPr>
  </w:style>
  <w:style w:type="paragraph" w:customStyle="1" w:styleId="Point1letter">
    <w:name w:val="Point 1 (letter)"/>
    <w:basedOn w:val="Normal"/>
    <w:pPr>
      <w:numPr>
        <w:ilvl w:val="3"/>
        <w:numId w:val="33"/>
      </w:numPr>
    </w:pPr>
  </w:style>
  <w:style w:type="paragraph" w:customStyle="1" w:styleId="Point2letter">
    <w:name w:val="Point 2 (letter)"/>
    <w:basedOn w:val="Normal"/>
    <w:pPr>
      <w:numPr>
        <w:ilvl w:val="5"/>
        <w:numId w:val="33"/>
      </w:numPr>
    </w:pPr>
  </w:style>
  <w:style w:type="paragraph" w:customStyle="1" w:styleId="Point3letter">
    <w:name w:val="Point 3 (letter)"/>
    <w:basedOn w:val="Normal"/>
    <w:pPr>
      <w:numPr>
        <w:ilvl w:val="7"/>
        <w:numId w:val="33"/>
      </w:numPr>
    </w:pPr>
  </w:style>
  <w:style w:type="paragraph" w:customStyle="1" w:styleId="Point4letter">
    <w:name w:val="Point 4 (letter)"/>
    <w:basedOn w:val="Normal"/>
    <w:pPr>
      <w:numPr>
        <w:ilvl w:val="8"/>
        <w:numId w:val="33"/>
      </w:numPr>
    </w:pPr>
  </w:style>
  <w:style w:type="paragraph" w:customStyle="1" w:styleId="Bullet0">
    <w:name w:val="Bullet 0"/>
    <w:basedOn w:val="Normal"/>
    <w:pPr>
      <w:numPr>
        <w:numId w:val="34"/>
      </w:numPr>
    </w:pPr>
  </w:style>
  <w:style w:type="paragraph" w:customStyle="1" w:styleId="Bullet1">
    <w:name w:val="Bullet 1"/>
    <w:basedOn w:val="Normal"/>
    <w:pPr>
      <w:numPr>
        <w:numId w:val="35"/>
      </w:numPr>
    </w:pPr>
  </w:style>
  <w:style w:type="paragraph" w:customStyle="1" w:styleId="Bullet2">
    <w:name w:val="Bullet 2"/>
    <w:basedOn w:val="Normal"/>
    <w:pPr>
      <w:numPr>
        <w:numId w:val="36"/>
      </w:numPr>
    </w:pPr>
  </w:style>
  <w:style w:type="paragraph" w:customStyle="1" w:styleId="Bullet3">
    <w:name w:val="Bullet 3"/>
    <w:basedOn w:val="Normal"/>
    <w:pPr>
      <w:numPr>
        <w:numId w:val="37"/>
      </w:numPr>
    </w:pPr>
  </w:style>
  <w:style w:type="paragraph" w:customStyle="1" w:styleId="Bullet4">
    <w:name w:val="Bullet 4"/>
    <w:basedOn w:val="Normal"/>
    <w:pPr>
      <w:numPr>
        <w:numId w:val="38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SecurityMarking">
    <w:name w:val="SecurityMarking"/>
    <w:basedOn w:val="Normal"/>
    <w:pPr>
      <w:spacing w:before="0" w:after="0" w:line="276" w:lineRule="auto"/>
      <w:ind w:left="5103"/>
      <w:jc w:val="left"/>
    </w:pPr>
    <w:rPr>
      <w:sz w:val="28"/>
    </w:rPr>
  </w:style>
  <w:style w:type="paragraph" w:customStyle="1" w:styleId="DateMarking">
    <w:name w:val="DateMarking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ReleasableTo">
    <w:name w:val="ReleasableTo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9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IntrtEEE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IntrtEEE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7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0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3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87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4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6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chart" Target="charts/chart3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chart" Target="charts/chart2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cho.be/entreprises/grande-distribution/Malgre-Carrefour-l-emploi-dans-la-grande-distribution-a-progresse/9976847" TargetMode="External"/><Relationship Id="rId3" Type="http://schemas.openxmlformats.org/officeDocument/2006/relationships/hyperlink" Target="https://ec.europa.eu/eurostat/statistics-explained/pdfscache/46776.pdf" TargetMode="External"/><Relationship Id="rId7" Type="http://schemas.openxmlformats.org/officeDocument/2006/relationships/hyperlink" Target="https://www.iweps.be/wp-content/uploads/2019/01/dmc1812.pdf" TargetMode="External"/><Relationship Id="rId2" Type="http://schemas.openxmlformats.org/officeDocument/2006/relationships/hyperlink" Target="https://www.emarketer.com/content/global-ecommerce-2019" TargetMode="External"/><Relationship Id="rId1" Type="http://schemas.openxmlformats.org/officeDocument/2006/relationships/hyperlink" Target="http://www.gondola.be/fr/news/food-retail/plan-de-transformation-carrefour-belgique-signature-du-protocole-daccord" TargetMode="External"/><Relationship Id="rId6" Type="http://schemas.openxmlformats.org/officeDocument/2006/relationships/hyperlink" Target="https://statbel.fgov.be/fr/themes/emploi-formation/marche-du-travail/emploi-et-chomage" TargetMode="External"/><Relationship Id="rId5" Type="http://schemas.openxmlformats.org/officeDocument/2006/relationships/hyperlink" Target="https://static.comeos.be/E-commerce_Belgium_2018.pdf" TargetMode="External"/><Relationship Id="rId4" Type="http://schemas.openxmlformats.org/officeDocument/2006/relationships/hyperlink" Target="https://www.eurocommerce.eu/media/159952/2018.07.02%20-%20Ecommerce%20report_annex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COM.dotm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microsoft.com/office/2011/relationships/chartStyle" Target="style1.xml"/><Relationship Id="rId2" Type="http://schemas.microsoft.com/office/2011/relationships/chartColorStyle" Target="colors1.xml"/><Relationship Id="rId1" Type="http://schemas.openxmlformats.org/officeDocument/2006/relationships/oleObject" Target="file:///\\net1.cec.eu.int\empl\F\F2\03.10.06.010%20EGF\05%20Individual%20cases\EGF_2019_001%20BE%20Carrefour\02%20Assessment\graphs.xlsx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microsoft.com/office/2011/relationships/chartStyle" Target="style2.xml"/><Relationship Id="rId2" Type="http://schemas.microsoft.com/office/2011/relationships/chartColorStyle" Target="colors2.xml"/><Relationship Id="rId1" Type="http://schemas.openxmlformats.org/officeDocument/2006/relationships/oleObject" Target="file:///\\net1.cec.eu.int\empl\F\F2\03.10.06.010%20EGF\05%20Individual%20cases\EGF_2019_001%20BE%20Carrefour\02%20Assessment\graphs.xlsx" TargetMode="External"/></Relationships>
</file>

<file path=word/charts/_rels/chart3.xml.rels><?xml version="1.0" encoding="UTF-8" standalone="yes"?>
<Relationships xmlns="http://schemas.openxmlformats.org/package/2006/relationships"><Relationship Id="rId3" Type="http://schemas.microsoft.com/office/2011/relationships/chartStyle" Target="style3.xml"/><Relationship Id="rId2" Type="http://schemas.microsoft.com/office/2011/relationships/chartColorStyle" Target="colors3.xml"/><Relationship Id="rId1" Type="http://schemas.openxmlformats.org/officeDocument/2006/relationships/oleObject" Target="file:///\\net1.cec.eu.int\empl\F\F2\03.10.06.010%20EGF\05%20Individual%20cases\EGF_2019_001%20BE%20Carrefour\02%20Assessment\graph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9585498687664041"/>
          <c:y val="3.2732575094779823E-2"/>
          <c:w val="0.45273447069116363"/>
          <c:h val="0.7545574511519394"/>
        </c:manualLayout>
      </c:layout>
      <c:doughnutChart>
        <c:varyColors val="1"/>
        <c:ser>
          <c:idx val="0"/>
          <c:order val="0"/>
          <c:dPt>
            <c:idx val="0"/>
            <c:bubble3D val="0"/>
            <c:spPr>
              <a:gradFill>
                <a:gsLst>
                  <a:gs pos="100000">
                    <a:schemeClr val="accent1">
                      <a:lumMod val="60000"/>
                      <a:lumOff val="40000"/>
                    </a:schemeClr>
                  </a:gs>
                  <a:gs pos="0">
                    <a:schemeClr val="accent1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ACED-45BC-B642-391D9BC516D0}"/>
              </c:ext>
            </c:extLst>
          </c:dPt>
          <c:dPt>
            <c:idx val="1"/>
            <c:bubble3D val="0"/>
            <c:spPr>
              <a:gradFill>
                <a:gsLst>
                  <a:gs pos="100000">
                    <a:schemeClr val="accent2">
                      <a:lumMod val="60000"/>
                      <a:lumOff val="40000"/>
                    </a:schemeClr>
                  </a:gs>
                  <a:gs pos="0">
                    <a:schemeClr val="accent2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ACED-45BC-B642-391D9BC516D0}"/>
              </c:ext>
            </c:extLst>
          </c:dPt>
          <c:dPt>
            <c:idx val="2"/>
            <c:bubble3D val="0"/>
            <c:spPr>
              <a:gradFill>
                <a:gsLst>
                  <a:gs pos="100000">
                    <a:schemeClr val="accent3">
                      <a:lumMod val="60000"/>
                      <a:lumOff val="40000"/>
                    </a:schemeClr>
                  </a:gs>
                  <a:gs pos="0">
                    <a:schemeClr val="accent3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ACED-45BC-B642-391D9BC516D0}"/>
              </c:ext>
            </c:extLst>
          </c:dPt>
          <c:dPt>
            <c:idx val="3"/>
            <c:bubble3D val="0"/>
            <c:spPr>
              <a:gradFill>
                <a:gsLst>
                  <a:gs pos="100000">
                    <a:schemeClr val="accent4">
                      <a:lumMod val="60000"/>
                      <a:lumOff val="40000"/>
                    </a:schemeClr>
                  </a:gs>
                  <a:gs pos="0">
                    <a:schemeClr val="accent4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ACED-45BC-B642-391D9BC516D0}"/>
              </c:ext>
            </c:extLst>
          </c:dPt>
          <c:dPt>
            <c:idx val="4"/>
            <c:bubble3D val="0"/>
            <c:spPr>
              <a:gradFill>
                <a:gsLst>
                  <a:gs pos="100000">
                    <a:schemeClr val="accent5">
                      <a:lumMod val="60000"/>
                      <a:lumOff val="40000"/>
                    </a:schemeClr>
                  </a:gs>
                  <a:gs pos="0">
                    <a:schemeClr val="accent5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ACED-45BC-B642-391D9BC516D0}"/>
              </c:ext>
            </c:extLst>
          </c:dPt>
          <c:dPt>
            <c:idx val="5"/>
            <c:bubble3D val="0"/>
            <c:spPr>
              <a:gradFill>
                <a:gsLst>
                  <a:gs pos="100000">
                    <a:schemeClr val="accent6">
                      <a:lumMod val="60000"/>
                      <a:lumOff val="40000"/>
                    </a:schemeClr>
                  </a:gs>
                  <a:gs pos="0">
                    <a:schemeClr val="accent6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ACED-45BC-B642-391D9BC516D0}"/>
              </c:ext>
            </c:extLst>
          </c:dPt>
          <c:dPt>
            <c:idx val="6"/>
            <c:bubble3D val="0"/>
            <c:spPr>
              <a:gradFill>
                <a:gsLst>
                  <a:gs pos="100000">
                    <a:schemeClr val="accent1">
                      <a:lumMod val="60000"/>
                      <a:lumMod val="60000"/>
                      <a:lumOff val="40000"/>
                    </a:schemeClr>
                  </a:gs>
                  <a:gs pos="0">
                    <a:schemeClr val="accent1">
                      <a:lumMod val="60000"/>
                    </a:schemeClr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ACED-45BC-B642-391D9BC516D0}"/>
              </c:ext>
            </c:extLst>
          </c:dPt>
          <c:dPt>
            <c:idx val="7"/>
            <c:bubble3D val="0"/>
            <c:spPr>
              <a:gradFill>
                <a:gsLst>
                  <a:gs pos="100000">
                    <a:schemeClr val="accent2">
                      <a:lumMod val="60000"/>
                      <a:lumMod val="60000"/>
                      <a:lumOff val="40000"/>
                    </a:schemeClr>
                  </a:gs>
                  <a:gs pos="0">
                    <a:schemeClr val="accent2">
                      <a:lumMod val="60000"/>
                    </a:schemeClr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F-ACED-45BC-B642-391D9BC516D0}"/>
              </c:ext>
            </c:extLst>
          </c:dPt>
          <c:dLbls>
            <c:dLbl>
              <c:idx val="4"/>
              <c:layout>
                <c:manualLayout>
                  <c:x val="-3.1830238726790451E-2"/>
                  <c:y val="0.17142857142857143"/>
                </c:manualLayout>
              </c:layout>
              <c:tx>
                <c:rich>
                  <a:bodyPr/>
                  <a:lstStyle/>
                  <a:p>
                    <a:fld id="{3F5E764C-CA88-4E94-BB88-256283CF0FDB}" type="PERCENTAGE">
                      <a:rPr lang="en-US" baseline="0">
                        <a:solidFill>
                          <a:schemeClr val="tx1"/>
                        </a:solidFill>
                      </a:rPr>
                      <a:pPr/>
                      <a:t>[PERCENTAGE]</a:t>
                    </a:fld>
                    <a:endParaRPr lang="en-US"/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9-ACED-45BC-B642-391D9BC516D0}"/>
                </c:ext>
              </c:extLst>
            </c:dLbl>
            <c:dLbl>
              <c:idx val="5"/>
              <c:layout>
                <c:manualLayout>
                  <c:x val="-7.7807250221043331E-2"/>
                  <c:y val="0.12063492063492064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ACED-45BC-B642-391D9BC516D0}"/>
                </c:ext>
              </c:extLst>
            </c:dLbl>
            <c:dLbl>
              <c:idx val="6"/>
              <c:layout>
                <c:manualLayout>
                  <c:x val="-8.8417329796640146E-2"/>
                  <c:y val="6.3492063492063489E-2"/>
                </c:manualLayout>
              </c:layout>
              <c:tx>
                <c:rich>
                  <a:bodyPr/>
                  <a:lstStyle/>
                  <a:p>
                    <a:fld id="{1EEA385F-CB72-4FD5-A139-C1F174E069CB}" type="PERCENTAGE">
                      <a:rPr lang="en-US" baseline="0"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</a:rPr>
                      <a:pPr/>
                      <a:t>[PERCENTAGE]</a:t>
                    </a:fld>
                    <a:endParaRPr lang="en-US"/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D-ACED-45BC-B642-391D9BC516D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0">
                <a:spAutoFit/>
              </a:bodyPr>
              <a:lstStyle/>
              <a:p>
                <a:pPr algn="ctr"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'retailer choice'!$A$5:$A$12</c:f>
              <c:strCache>
                <c:ptCount val="8"/>
                <c:pt idx="0">
                  <c:v>Amazon</c:v>
                </c:pt>
                <c:pt idx="1">
                  <c:v>Alibaba/Aliexpress</c:v>
                </c:pt>
                <c:pt idx="2">
                  <c:v>eBay</c:v>
                </c:pt>
                <c:pt idx="3">
                  <c:v>Wish</c:v>
                </c:pt>
                <c:pt idx="4">
                  <c:v>Zalando</c:v>
                </c:pt>
                <c:pt idx="5">
                  <c:v>ASOS</c:v>
                </c:pt>
                <c:pt idx="6">
                  <c:v>Apple</c:v>
                </c:pt>
                <c:pt idx="7">
                  <c:v>Other</c:v>
                </c:pt>
              </c:strCache>
            </c:strRef>
          </c:cat>
          <c:val>
            <c:numRef>
              <c:f>'retailer choice'!$B$5:$B$12</c:f>
              <c:numCache>
                <c:formatCode>0%</c:formatCode>
                <c:ptCount val="8"/>
                <c:pt idx="0">
                  <c:v>0.25</c:v>
                </c:pt>
                <c:pt idx="1">
                  <c:v>0.14000000000000001</c:v>
                </c:pt>
                <c:pt idx="2">
                  <c:v>0.08</c:v>
                </c:pt>
                <c:pt idx="3">
                  <c:v>0.08</c:v>
                </c:pt>
                <c:pt idx="4">
                  <c:v>0.02</c:v>
                </c:pt>
                <c:pt idx="5">
                  <c:v>0.02</c:v>
                </c:pt>
                <c:pt idx="6">
                  <c:v>0.01</c:v>
                </c:pt>
                <c:pt idx="7">
                  <c:v>0.4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0-ACED-45BC-B642-391D9BC516D0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  <c:holeSize val="55"/>
      </c:doughnut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3.1699638653201732E-3"/>
          <c:y val="1.5843019622547134E-3"/>
          <c:w val="0.29669931842074115"/>
          <c:h val="0.85714885639295102"/>
        </c:manualLayout>
      </c:layout>
      <c:overlay val="0"/>
      <c:spPr>
        <a:solidFill>
          <a:schemeClr val="lt1">
            <a:alpha val="50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noFill/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turnover!$A$5</c:f>
              <c:strCache>
                <c:ptCount val="1"/>
                <c:pt idx="0">
                  <c:v>Food</c:v>
                </c:pt>
              </c:strCache>
            </c:strRef>
          </c:tx>
          <c:spPr>
            <a:ln w="19050" cap="rnd" cmpd="sng" algn="ctr">
              <a:solidFill>
                <a:schemeClr val="accent1">
                  <a:shade val="95000"/>
                  <a:satMod val="105000"/>
                </a:schemeClr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accen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turnover!$B$4:$H$4</c:f>
              <c:numCache>
                <c:formatCode>General</c:formatCode>
                <c:ptCount val="7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  <c:pt idx="6">
                  <c:v>2017</c:v>
                </c:pt>
              </c:numCache>
            </c:numRef>
          </c:cat>
          <c:val>
            <c:numRef>
              <c:f>turnover!$B$5:$H$5</c:f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85E4-49F6-ADBE-C9BA0A3F9343}"/>
            </c:ext>
          </c:extLst>
        </c:ser>
        <c:ser>
          <c:idx val="1"/>
          <c:order val="1"/>
          <c:tx>
            <c:strRef>
              <c:f>turnover!$A$6</c:f>
              <c:strCache>
                <c:ptCount val="1"/>
                <c:pt idx="0">
                  <c:v>Non-food</c:v>
                </c:pt>
              </c:strCache>
            </c:strRef>
          </c:tx>
          <c:spPr>
            <a:ln w="19050" cap="rnd" cmpd="sng" algn="ctr">
              <a:solidFill>
                <a:schemeClr val="accent2">
                  <a:shade val="95000"/>
                  <a:satMod val="105000"/>
                </a:schemeClr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lt1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accent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turnover!$B$4:$H$4</c:f>
              <c:numCache>
                <c:formatCode>General</c:formatCode>
                <c:ptCount val="7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  <c:pt idx="6">
                  <c:v>2017</c:v>
                </c:pt>
              </c:numCache>
            </c:numRef>
          </c:cat>
          <c:val>
            <c:numRef>
              <c:f>turnover!$B$6:$H$6</c:f>
              <c:numCache>
                <c:formatCode>General</c:formatCode>
                <c:ptCount val="7"/>
                <c:pt idx="0">
                  <c:v>1.9</c:v>
                </c:pt>
                <c:pt idx="1">
                  <c:v>-0.1</c:v>
                </c:pt>
                <c:pt idx="2">
                  <c:v>-4.5</c:v>
                </c:pt>
                <c:pt idx="3">
                  <c:v>-2.7</c:v>
                </c:pt>
                <c:pt idx="4">
                  <c:v>-6.5</c:v>
                </c:pt>
                <c:pt idx="5">
                  <c:v>-3.3</c:v>
                </c:pt>
                <c:pt idx="6">
                  <c:v>-5.9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85E4-49F6-ADBE-C9BA0A3F9343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96506624"/>
        <c:axId val="96508160"/>
      </c:lineChart>
      <c:catAx>
        <c:axId val="965066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96508160"/>
        <c:crosses val="autoZero"/>
        <c:auto val="1"/>
        <c:lblAlgn val="ctr"/>
        <c:lblOffset val="100"/>
        <c:noMultiLvlLbl val="0"/>
      </c:catAx>
      <c:valAx>
        <c:axId val="96508160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9650662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profitability!$A$6</c:f>
              <c:strCache>
                <c:ptCount val="1"/>
                <c:pt idx="0">
                  <c:v>profitability</c:v>
                </c:pt>
              </c:strCache>
            </c:strRef>
          </c:tx>
          <c:spPr>
            <a:solidFill>
              <a:schemeClr val="accent1">
                <a:lumMod val="40000"/>
                <a:lumOff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profitability!$B$5:$F$5</c:f>
              <c:numCache>
                <c:formatCode>General</c:formatCode>
                <c:ptCount val="5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</c:numCache>
            </c:numRef>
          </c:cat>
          <c:val>
            <c:numRef>
              <c:f>profitability!$B$6:$F$6</c:f>
              <c:numCache>
                <c:formatCode>General</c:formatCode>
                <c:ptCount val="5"/>
                <c:pt idx="0">
                  <c:v>-3.5</c:v>
                </c:pt>
                <c:pt idx="1">
                  <c:v>-3.3</c:v>
                </c:pt>
                <c:pt idx="2">
                  <c:v>-5.6</c:v>
                </c:pt>
                <c:pt idx="3">
                  <c:v>-11.7</c:v>
                </c:pt>
                <c:pt idx="4">
                  <c:v>-22.7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84A-4DEF-8D67-48B5F2468F61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96520448"/>
        <c:axId val="96555392"/>
      </c:barChart>
      <c:catAx>
        <c:axId val="965204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96555392"/>
        <c:crosses val="autoZero"/>
        <c:auto val="1"/>
        <c:lblAlgn val="ctr"/>
        <c:lblOffset val="100"/>
        <c:noMultiLvlLbl val="0"/>
      </c:catAx>
      <c:valAx>
        <c:axId val="965553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9652044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withinLinear" id="14">
  <a:schemeClr val="accent1"/>
</cs:colorStyle>
</file>

<file path=word/charts/style1.xml><?xml version="1.0" encoding="utf-8"?>
<cs:chartStyle xmlns:cs="http://schemas.microsoft.com/office/drawing/2012/chartStyle" xmlns:a="http://schemas.openxmlformats.org/drawingml/2006/main" id="256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 cap="none" spc="0" normalizeH="0" baseline="0"/>
  </cs:categoryAxis>
  <cs:chartArea>
    <cs:lnRef idx="0"/>
    <cs:fillRef idx="0"/>
    <cs:effectRef idx="0"/>
    <cs:fontRef idx="minor">
      <a:schemeClr val="dk1"/>
    </cs:fontRef>
    <cs:spPr>
      <a:pattFill prst="dkDnDiag">
        <a:fgClr>
          <a:schemeClr val="lt1"/>
        </a:fgClr>
        <a:bgClr>
          <a:schemeClr val="dk1">
            <a:lumMod val="10000"/>
            <a:lumOff val="90000"/>
          </a:schemeClr>
        </a:bgClr>
      </a:patt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5000"/>
        </a:schemeClr>
      </a:solidFill>
      <a:ln w="9525"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gradFill>
        <a:gsLst>
          <a:gs pos="100000">
            <a:schemeClr val="phClr">
              <a:lumMod val="60000"/>
              <a:lumOff val="40000"/>
            </a:schemeClr>
          </a:gs>
          <a:gs pos="0">
            <a:schemeClr val="phClr"/>
          </a:gs>
        </a:gsLst>
        <a:lin ang="5400000" scaled="0"/>
      </a:gradFill>
      <a:ln w="19050">
        <a:solidFill>
          <a:schemeClr val="lt1"/>
        </a:solidFill>
      </a:ln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gradFill>
        <a:gsLst>
          <a:gs pos="100000">
            <a:schemeClr val="phClr">
              <a:lumMod val="60000"/>
              <a:lumOff val="40000"/>
            </a:schemeClr>
          </a:gs>
          <a:gs pos="0">
            <a:schemeClr val="phClr"/>
          </a:gs>
        </a:gsLst>
        <a:lin ang="5400000" scaled="0"/>
      </a:gradFill>
      <a:ln w="508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lt1"/>
      </a:solidFill>
      <a:ln w="1587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8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50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dk1">
        <a:lumMod val="50000"/>
        <a:lumOff val="50000"/>
      </a:schemeClr>
    </cs:fontRef>
    <cs:defRPr sz="1600" b="1" kern="1200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34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1000" kern="1200"/>
  </cs:categoryAxis>
  <cs:chartArea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cs:styleClr val="auto"/>
    </cs:fontRef>
    <cs:spPr/>
    <cs:defRPr sz="900" b="1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 w="9575">
        <a:solidFill>
          <a:schemeClr val="lt1">
            <a:lumMod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19050" cap="rnd" cmpd="sng" algn="ctr">
        <a:solidFill>
          <a:schemeClr val="phClr">
            <a:shade val="95000"/>
            <a:satMod val="105000"/>
          </a:schemeClr>
        </a:solidFill>
        <a:round/>
      </a:ln>
    </cs:spPr>
  </cs:dataPointLine>
  <cs:dataPointMarker>
    <cs:lnRef idx="0"/>
    <cs:fillRef idx="0"/>
    <cs:effectRef idx="0"/>
    <cs:fontRef idx="minor">
      <a:schemeClr val="dk1"/>
    </cs:fontRef>
    <cs:spPr>
      <a:solidFill>
        <a:schemeClr val="lt1"/>
      </a:solidFill>
    </cs:spPr>
  </cs:dataPointMarker>
  <cs:dataPointMarkerLayout symbol="circle" size="17"/>
  <cs:dataPointWireframe>
    <cs:lnRef idx="0">
      <cs:styleClr val="auto"/>
    </cs:lnRef>
    <cs:fillRef idx="1"/>
    <cs:effectRef idx="0"/>
    <cs:fontRef idx="minor">
      <a:schemeClr val="dk1"/>
    </cs:fontRef>
    <cs:spPr>
      <a:ln w="9525">
        <a:solidFill>
          <a:schemeClr val="phClr"/>
        </a:solidFill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>
        <a:solidFill>
          <a:schemeClr val="dk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dk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>
        <a:solidFill>
          <a:schemeClr val="dk1">
            <a:lumMod val="15000"/>
            <a:lumOff val="85000"/>
          </a:schemeClr>
        </a:solidFill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dk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</a:ln>
    </cs:spPr>
  </cs:seriesLine>
  <cs:title>
    <cs:lnRef idx="0"/>
    <cs:fillRef idx="0"/>
    <cs:effectRef idx="0"/>
    <cs:fontRef idx="minor">
      <a:schemeClr val="dk1"/>
    </cs:fontRef>
    <cs:defRPr sz="1440" b="0" kern="1200" cap="all" spc="0" baseline="0">
      <a:gradFill>
        <a:gsLst>
          <a:gs pos="0">
            <a:schemeClr val="dk1">
              <a:lumMod val="50000"/>
              <a:lumOff val="50000"/>
            </a:schemeClr>
          </a:gs>
          <a:gs pos="100000">
            <a:schemeClr val="dk1">
              <a:lumMod val="85000"/>
              <a:lumOff val="15000"/>
            </a:schemeClr>
          </a:gs>
        </a:gsLst>
        <a:lin ang="5400000" scaled="0"/>
      </a:gradFill>
    </cs:defRPr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956F51C0-5C4C-47EB-89A0-3D9564E60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COM.dotm</Template>
  <TotalTime>3</TotalTime>
  <Pages>18</Pages>
  <Words>3989</Words>
  <Characters>24574</Characters>
  <Application>Microsoft Office Word</Application>
  <DocSecurity>0</DocSecurity>
  <Lines>630</Lines>
  <Paragraphs>294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28269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WES PDFC Administrator</cp:lastModifiedBy>
  <cp:revision>18</cp:revision>
  <cp:lastPrinted>2019-08-22T14:30:00Z</cp:lastPrinted>
  <dcterms:created xsi:type="dcterms:W3CDTF">2019-09-27T11:03:00Z</dcterms:created>
  <dcterms:modified xsi:type="dcterms:W3CDTF">2019-10-02T06:16:00Z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COM/PL/ORG</vt:lpwstr>
  </property>
  <property fmtid="{D5CDD505-2E9C-101B-9397-08002B2CF9AE}" pid="3" name="Version">
    <vt:lpwstr>6.0.1.0</vt:lpwstr>
  </property>
  <property fmtid="{D5CDD505-2E9C-101B-9397-08002B2CF9AE}" pid="4" name="Last edited using">
    <vt:lpwstr>LW 7.0, Build 20190717</vt:lpwstr>
  </property>
  <property fmtid="{D5CDD505-2E9C-101B-9397-08002B2CF9AE}" pid="5" name="Created using">
    <vt:lpwstr>LW 6.0, Build 20171009</vt:lpwstr>
  </property>
  <property fmtid="{D5CDD505-2E9C-101B-9397-08002B2CF9AE}" pid="6" name="Part">
    <vt:lpwstr>1</vt:lpwstr>
  </property>
  <property fmtid="{D5CDD505-2E9C-101B-9397-08002B2CF9AE}" pid="7" name="Total parts">
    <vt:lpwstr>1</vt:lpwstr>
  </property>
  <property fmtid="{D5CDD505-2E9C-101B-9397-08002B2CF9AE}" pid="8" name="Level of sensitivity">
    <vt:lpwstr>Standard treatment</vt:lpwstr>
  </property>
  <property fmtid="{D5CDD505-2E9C-101B-9397-08002B2CF9AE}" pid="9" name="LWTemplateID">
    <vt:lpwstr>SJ-026</vt:lpwstr>
  </property>
  <property fmtid="{D5CDD505-2E9C-101B-9397-08002B2CF9AE}" pid="10" name="DQCStatus">
    <vt:lpwstr>Green (DQC version 03)</vt:lpwstr>
  </property>
</Properties>
</file>