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B1752BC9-C267-4CAD-B1C9-95DA1F521D03" style="width:450.75pt;height:351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Odůvodnění a cíle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Nařízení Evropského parlamentu a Rady (EU) č. 1380/2013 o společné rybářské politice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(dále jen „základní nařízení o SRP“) si klade za cíl zajistit využívání živých vodních zdrojů za udržitelných hospodářských, environmentálních a sociálních podmínek. Jedním z důležitých nástrojů v této oblasti je každoroční stanovování rybolovných práv. Všechna nařízení o rybolovných právech musí omezovat odlov rybích populací na úrovně, které musí být v souladu s obecnými cíli společné rybářské politiky (SRP).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Cílem tohoto návrhu je stanovit rybolovná práva pro některé populace a skupiny populací ve Středozemním moři a v Černém moři.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Tento návrh v návaznosti na přijetí a vstup v platnost víceletého plánu pro populace žijící při dně v západním Středozemním moři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stanoví rybolovná práva dotčených členských států v tomto regionu (Španělsko, Francie a Itálie), která jsou vyjádřena maximální přípustnou intenzitou rybolovu.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Tento návrh rovněž stanoví rybolovná práva vyplývající z dohod uzavřených v rámci Generální komise pro rybolov ve Středozemním moři (GFCM), jež je regionální organizací pro řízení rybolovu příslušnou pro zachování a řízení živých mořských zdrojů ve Středozemním a v Černém moři. Členem GFCM je společně s Bulharskem, Chorvatskem, Kyprem, Francií, Řeckem, Itálií, Maltou, Rumunskem, Slovinskem a Španělskem i Evropská unie. Opatření přijatá v rámci GFCM jsou pro její členy závazná.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Pokud jde o oblast Černého moře, tento návrh stanoví autonomní kvótu pro šprota obecného s cílem zachovat současnou míru úmrtnosti způsobené rybolovem. V případě pakambaly velké návrh provádí celkové přípustné odlovy (TAC) a kvóty stanovené GFCM.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Hlavním cílem je dosáhnout takových úrovní populací, které umožní získat maximální udržitelný výnos, a zachovat je. Tento cíl byl výslovně zapracován do základního nařízení o SRP, jehož čl. 2 odst. 2 stanoví, že tohoto cíle „bude pokud možno […] dosaženo […] do roku 2015 a pro všechny populace […] do roku 2020“. Zařazení tohoto cíle zohledňuje závazek přijatý Unií k závěrům Světového summitu o udržitelném rozvoji v Johannesburgu (2002) a s ním související prováděcí plán. Na druhé straně, má být s ohledem na blížící se konec roku 2020 a velmi významná snížení intenzity rybolovu, která se v této lhůtě mají uskutečnit, na základě ustanovení víceletého plánu pro populace žijící při dně v západním Středozemním moři dosaženo míry úmrtnosti způsobené rybolovem na úrovni maximálního udržitelného výnosu, a to postupným, přírůstkovým způsobem, pokud možno do roku 2020, a nejpozději do 1. ledna 2025.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Ačkoli je to poprvé, kdy se navrhuje samostatné nařízení o rybolovných právech pro Středozemní i Černé moře, stanovování rybolovných práv představuje jednoroční cyklus řízení. Tak byla v předchozích letech rybolovná práva pro oblast Černého moře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a oblast dohody GFCM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skutečně schválena. Na základě přijetí a vstupu v platnost víceletého plánu musí být pro rok 2020 rovněž stanovena rybolovná práva pro populace žijící při dně v západním Středozemním moři.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Soulad s platnými předpisy v této oblasti politiky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Opatření jsou navrhována v souladu s cíli a pravidly společné rybářské politiky.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Soulad s ostatními politikami Unie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Navrhovaná opatření jsou v souladu s politikou Unie v oblasti udržitelného rozvoje.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 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Právní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Právním základem tohoto návrhu je čl. 43 odst. 3 Smlouvy o fungování Evropské unie (SFEU).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Subsidiarita (v případě nevýlučné pravomoci)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spadá do výlučné pravomoci Unie podle čl. 3 odst. 1 písm. d) SFEU. Zásada subsidiarity se proto neuplatní.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Návrh je v souladu se zásadou proporcionality z tohoto důvodu: SRP je společnou politikou. Podle čl. 43 odst. 3 SFEU musí Rada přijmout opatření ke stanovení a přidělení rybolovných práv.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Navrhované nařízení Rady přiděluje členským státům rybolovná práva. S ohledem na články 16 a 17 základního nařízení o SRP mohou členské státy taková práva plavidlům plujícím pod jejich vlajkou volně přidělit tak, jak považují za vhodné. Členské státy mají tudíž široký manévrovací prostor pro rozhodování o tom, jaký sociální a ekonomický model si pro využívání přidělených rybolovných práv zvolí.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nemá nové finanční dopady na členské státy.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Volba nástroje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Navrhovaným nástrojem je nařízení Rady.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Jedná se o návrh týkající se řízení rybolovu na základě čl. 43 odst. 3 SFEU a v souladu s článkem 16 nařízení (EU) č. 1380/2013.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iCs/>
          <w:noProof/>
        </w:rPr>
        <w:t>EX POST</w:t>
      </w:r>
      <w:r>
        <w:rPr>
          <w:noProof/>
        </w:rPr>
        <w:t>, KONZULTACÍ SE ZÚČASTNĚNÝMI STRANAMI A POSOUZENÍ DOPADŮ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Hodnocení </w:t>
      </w:r>
      <w:r>
        <w:rPr>
          <w:i/>
          <w:iCs/>
          <w:noProof/>
          <w:u w:color="000000"/>
          <w:bdr w:val="nil"/>
        </w:rPr>
        <w:t>ex post</w:t>
      </w:r>
      <w:r>
        <w:rPr>
          <w:noProof/>
          <w:u w:color="000000"/>
          <w:bdr w:val="nil"/>
        </w:rPr>
        <w:t xml:space="preserve"> / kontroly účelnosti platných právních předpisů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Konzultace se zúčastněnými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Zúčastněné strany byly konzultovány prostřednictvím sdělení Komise Evropskému parlamentu a Radě o aktuálním stavu společné rybářské politiky a konzultací o rybolovných právech na rok 2020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Sběr a využití výsledků odborných konzultací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Posouzení stavu populací ve Středozemním a v Černém moři vychází z nejnovějších prací Vědeckotechnického a hospodářského výboru pro rybářství (VTHVR), Vědeckého poradního výboru GFCM pro rybolov a pracovní skupiny GFCM pro Černé moře.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Posouzení dopadů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Oblast působnosti nařízení o rybolovných právech je vymezena čl. 43 odst. 3 SFEU.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Návrh základního nařízení o SRP a návrh víceletého plánu pro rybolov druhů žijících při dně v západním Středozemním moři, které předložila Komise, byly pečlivě vypracovány na základě posouzení dopadů</w:t>
      </w:r>
      <w:r>
        <w:rPr>
          <w:rStyle w:val="FootnoteReference"/>
          <w:noProof/>
        </w:rPr>
        <w:footnoteReference w:id="6"/>
      </w:r>
      <w:r>
        <w:rPr>
          <w:noProof/>
        </w:rPr>
        <w:t>. Jedním z hlavních nástrojů základního nařízení o SRP, kterým se má dosáhnout cílů stanovených v článku 2 uvedeného nařízení, je stanovení rybolovných práv. Víceletý plán zavedl režim intenzity rybolovu s cílem řešit problém nadměrného rybolovu druhů žijících při dně v západním Středozemním moři.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Pokud jde o rybolovná práva stanovená komisí GFCM ve Středozemním i v Černém moři, tento návrh provádí v zásadě opatření dohodnutá na mezinárodní úrovni. Všechny prvky relevantní pro posouzení možných dopadů rybolovných práv se zohledňují při přípravě mezinárodních jednání a v jejich průběhu, v jejichž rámci probíhá odsouhlasení rybolovných práv Unie se třetími stranami.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V návrhu se neodrážejí pouze krátkodobé problémy, ale také dlouhodobější přístup, jenž spočívá v postupném upravování míry rybolovu na dlouhodobě udržitelné úrovně.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Účelnost právních předpisů a zjednodušení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Základní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Nevztahuje se na tento návrh.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nemá žádné důsledky pro rozpočet.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Plány provádění a způsoby monitorování, hodnocení a podávání zpráv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Tento návrh bude proveden v souladu se stávajícími pravidly společné rybářské politiky. Sledování a dodržování pravidel bude zajištěno podle pravidel nařízení Rady (ES) č. 1224/2009.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Podrobné vysvětlení konkrétních ustanovení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Návrh stanoví na rok 2020 rybolovná práva členských států pro některé populace ryb nebo skupiny populací ryb ve Středozemním a v Černém moři. Rybolovná práva zahrnují zejména: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režim intenzity rybolovu pro plavidla lovící vlečnými sítěmi populace žijící při dně v západním Středozemním moři. Nový víceletý plán pro rybolov druhů žijících při dně v západním Středozemním moři vstoupil v platnost dne 16. července 2019. Na základě tohoto plánu má Rada povinnost stanovit každý rok maximální přípustnou intenzitu rybolovu pro každou skupinu intenzity rybolovu podle členského státu a pro skupiny populací vymezené v příloze I plánu. V prvním roce provádění plánu se maximální přípustná intenzita rybolovu sníží oproti základní hodnotě o 10 % (od 1. ledna 2015 do 31. prosince 2017); tuto hodnotu každý členský stát vypočítá pro každou skupinu intenzity rybolovu nebo zeměpisnou podoblast; 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opatření přijatá GFCM a platná ve Středozemním moři. Tato opatření zahrnují: období zákazu rybolovu úhoře říčního v celém Středozemním moři (zeměpisné podoblasti 1 až 27) a omezení odlovu a intenzity rybolovu pro populace malých pelagických druhů v Jaderském moři (zeměpisné podoblasti 17 a 18). Tato opatření byla přijata na výročním zasedání GFCM v roce 2018. Návrh dále obsahuje omezení intenzity rybolovu pro populace žijící při dně v Jaderském moři (zeměpisné podoblasti 17 a 18), jež mají být přijata na výročním zasedání GFCM v roce 2019, které se má konat ve dnech 4. až 8. listopadu 2019. Vzhledem k tomu, že tato opatření nebyla dosud přijata, neboť výroční zasedání GFCM ještě neproběhlo, jsou v tomto návrhu označena jako „pm“ (</w:t>
      </w:r>
      <w:r>
        <w:rPr>
          <w:i/>
          <w:iCs/>
          <w:noProof/>
        </w:rPr>
        <w:t>pro memoria</w:t>
      </w:r>
      <w:r>
        <w:rPr>
          <w:noProof/>
        </w:rPr>
        <w:t>). Jakmile budou schválena GFCM, dojde k jejich aktualizaci;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rybolovná práva v Černém moři. K těmto rybolovným právům patří: a) autonomní kvóty pro šprota obecného založené na vědeckých doporučeních, podle nichž je nutné zachovat úmrtnost způsobenou rybolovem na současné úrovni, aby se zajistila udržitelnost populace; b) celkový přípustný odlov (TAC) a přidělování kvót pro pakambalu velkou v rámci nového víceletého plánu řízení rybolovu pakambaly velké, který má být přijat na výročním zasedání GFCM v roce 2019. Celkový přípustný odlov a kvóty pro pakambalu velkou jsou v návrhu označeny jako „pm“, dokud je GFCM neschválí.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2019/0211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NAŘÍZENÍ RADY,</w:t>
      </w:r>
    </w:p>
    <w:p>
      <w:pPr>
        <w:pStyle w:val="Titreobjet"/>
        <w:rPr>
          <w:noProof/>
        </w:rPr>
      </w:pPr>
      <w:r>
        <w:rPr>
          <w:noProof/>
        </w:rPr>
        <w:t>kterým se na rok 2020 stanoví rybolovná práva pro některé populace ryb a skupiny populací ryb ve Středozemním moři a v Černém moři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 ohledem na Smlouvu o fungování Evropské unie, a zejména na čl. 43 odst. 3 této smlouvy,</w:t>
      </w:r>
    </w:p>
    <w:p>
      <w:pPr>
        <w:rPr>
          <w:noProof/>
        </w:rPr>
      </w:pPr>
      <w:r>
        <w:rPr>
          <w:noProof/>
        </w:rPr>
        <w:t>s ohledem na návrh Evropské komise,</w:t>
      </w:r>
    </w:p>
    <w:p>
      <w:pPr>
        <w:rPr>
          <w:noProof/>
        </w:rPr>
      </w:pPr>
      <w:r>
        <w:rPr>
          <w:noProof/>
        </w:rPr>
        <w:t>vzhledem k 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Podle čl. 43 odst. 3 Smlouvy přijme Rada na návrh Komise opatření týkající se stanovení a přidělení rybolovných práv.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Nařízení Evropského parlamentu a Rady (EU) č. 1380/2013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požaduje, aby opatření pro zachování zdrojů byla přijímána s přihlédnutím k dostupným vědeckým, technickým a hospodářským doporučením, včetně případných zpráv vypracovaných Vědeckotechnickým a hospodářským výborem pro rybářství (VTHVR).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Rada má přijmout opatření ke stanovení a přidělení rybolovných práv, případně včetně některých podmínek, jež jsou s nimi funkčně spojeny. Podle čl. 16 odst. 4 nařízení (EU) č. 1380/2013 by rybolovná práva měla být stanovena v souladu s cíli společné rybářské politiky stanovenými v čl. 2 odst. 2 uvedeného nařízení. Ustanovení čl. 16 odst. 1 nařízení (EU) č. 1380/2013 stanoví, že rybolovná práva budou přidělena členským státům tak, aby každému členskému státu zajistila relativní stabilitu rybolovu pro každou populaci ryb nebo druh rybolovu.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Z ustanovení čl. 16 odst. 4 nařízení (EU) č. 1380/2013 vyplývá, že pro populace, na něž se vztahují zvláštní víceleté plány, by se měla rybolovná práva stanovit v souladu s pravidly stanovenými v těchto plánech.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Víceletý plán pro lov populací žijících při dně v západním Středozemním moři byl zaveden nařízením Evropského parlamentu a Rady (EU) 2019/1022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a vstoupil v platnost dne 16. července 2019. V souladu s čl. 4 odst. 1 uvedeného nařízení by rybolovná práva pro populace uvedené v článku 1 téhož nařízení měla být stanovena tak, aby se postupným, přírůstkovým způsobem pokud možno do roku 2020, a nejpozději do 1. ledna 2025, dosáhlo míry úmrtnosti způsobené rybolovem při maximálním udržitelném výnosu. Rybolovná práva by měla být vyjádřena jako maximální přípustná intenzita rybolovu a stanovena v souladu s režimem intenzity rybolovu vyplývajícím z článku 7 nařízení (EU) 2019/1022. Pro rok 2020 by proto maximální přípustná intenzita rybolovu měla být snížena o 10 % oproti základní hodnotě stanovené v souladu s čl. 7 odst. 4 uvedeného nařízení.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Generální komise pro rybolov ve Středozemním moři (GFCM) přijala na svém 42. výročním zasedání v roce 2018 doporučení GFCM/42/2018/1, které stanoví opatření pro řízení rybolovu úhoře říčního (</w:t>
      </w:r>
      <w:r>
        <w:rPr>
          <w:i/>
          <w:noProof/>
        </w:rPr>
        <w:t>Anguilla anguilla L.</w:t>
      </w:r>
      <w:r>
        <w:rPr>
          <w:noProof/>
        </w:rPr>
        <w:t>) ve Středozemním moři (zeměpisné podoblasti 1 až 27). Tato opatření rovněž zahrnují každoroční období zákazu rybolovu v délce tří po sobě následujících měsíců, jež musí každý členský stát stanovit v souladu s cíli pro zachování zdrojů podle nařízení (ES) č. 1100/2007</w:t>
      </w:r>
      <w:r>
        <w:rPr>
          <w:rStyle w:val="FootnoteReference"/>
          <w:noProof/>
        </w:rPr>
        <w:footnoteReference w:id="9"/>
      </w:r>
      <w:r>
        <w:rPr>
          <w:noProof/>
        </w:rPr>
        <w:t>, plánem či plány řízení pro úhoře a časovými migračními vzorci úhoře v dotčeném členském státě. Zákaz rybolovu se v souladu s uvedeným doporučením vztahuje na všechny mořské vody Středozemního moře a na brakické vody, jako jsou ústí řek, pobřežní laguny a přechodné vody. Toto opatření by mělo být provedeno v právu Unie.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Na svém 42. výročním zasedání v roce 2018 přijala GFCM rovněž doporučení GFCM/42/2018/8, které stanovilo omezení odlovu a intenzity rybolovu pro populace malých pelagických druhů pro roky 2019, 2020 a 2021 v zeměpisných podoblastech GFCM 17 a 18 (Jaderské moře). Tato opatření by měla být provedena v právu Unie. Maximální omezení odlovu se stanoví výlučně na jeden rok a nedotýká se dalších opatření, která mohou být přijata v budoucnosti, ani případných rozpisů rozdělení mezi členské státy.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Na svém 43. výročním zasedání v roce 2019 přijala GFCM doporučení GFCM/43/2019/xx, kterým se stanoví opatření pro řízení populací žijících při dně v zeměpisných podoblastech GFCM 17 a 18 (Jaderské moře), které zavedly režim intenzity rybolovu pro některé populace žijící při dně. Tato opatření by měla být provedena v právu Unie. </w:t>
      </w:r>
    </w:p>
    <w:p>
      <w:pPr>
        <w:ind w:left="709"/>
        <w:rPr>
          <w:noProof/>
        </w:rPr>
      </w:pPr>
      <w:r>
        <w:rPr>
          <w:noProof/>
        </w:rPr>
        <w:t>[</w:t>
      </w:r>
      <w:r>
        <w:rPr>
          <w:i/>
          <w:noProof/>
        </w:rPr>
        <w:t>Odůvodnění, příslušné články a přílohy budou aktualizovány po výročním zasedání</w:t>
      </w:r>
      <w:r>
        <w:rPr>
          <w:noProof/>
        </w:rPr>
        <w:t>]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S ohledem na zvláštní rysy slovinského loďstva a jeho okrajový dopad na populace malých pelagických druhů a populace žijící při dně je žádoucí zachovat stávající způsob rybolovu a zajistit přístup slovinského loďstva k minimálnímu množství malých pelagických druhů a minimální kvótu intenzity pro populace žijící při dně.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Na svém 43. výročním zasedání v roce 2019 přijala GFCM doporučení GFCM/43/2019/xx, kterým se mění doporučení GFCM/41/2017/4 o víceletém plánu řízení rybolovu pakambaly velké v Černém moři (zeměpisná podoblast GFCM 29). Toto doporučení zavádí aktualizovaný celkový přípustný odlov (TAC) pro daný region a režim přidělování kvót pro pakambalu velkou a další opatření pro zachování této populace, zejména dvouměsíční období zákazu rybolovu a omezení rybolovu na 180 dní v roce. Tato opatření by měla být provedena v právu Unie. </w:t>
      </w:r>
    </w:p>
    <w:p>
      <w:pPr>
        <w:ind w:left="709"/>
        <w:rPr>
          <w:noProof/>
        </w:rPr>
      </w:pPr>
      <w:r>
        <w:rPr>
          <w:noProof/>
        </w:rPr>
        <w:t>[</w:t>
      </w:r>
      <w:r>
        <w:rPr>
          <w:i/>
          <w:noProof/>
        </w:rPr>
        <w:t>Odůvodnění, příslušné články a přílohy budou aktualizovány po výročním zasedání</w:t>
      </w:r>
      <w:r>
        <w:rPr>
          <w:noProof/>
        </w:rPr>
        <w:t>]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 xml:space="preserve">Aby se zajistila udržitelnost populace šprota obecného v Černém moři, je podle vědeckých doporučení poskytnutých GFCM nezbytné zachovat úmrtnost způsobenou rybolovem na současné úrovni. Je proto vhodné stanovovat nadále pro tuto populaci autonomní kvóty. 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Rybolovná práva by měla být stanovena na základě dostupných vědeckých doporučení a s ohledem na biologické a sociálně-ekonomické aspekty, přičemž by měla všem odvětvím rybolovu zajistit spravedlivé zacházení; zároveň by se měla vzít v úvahu stanoviska vyjádřená během konzultací se zúčastněnými stranami.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Nařízení Rady (ES) č. 847/96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zavedlo dodatečné podmínky pro meziroční řízení TAC, včetně ustanovení o flexibilitě podle článku 3 uvedeného nařízení pro populace, na něž se vztahuje preventivní TAC, a podle článku 4 uvedeného nařízení pro populace, na něž se vztahuje analytický TAC. Podle článku 2 uvedeného nařízení Rada při stanovení TAC rozhodne, na jaké populace se nemají vztahovat články 3 nebo 4 uvedeného nařízení, zejména na základě biologického stavu těchto populací. Poměrně nedávno byl ustanovením čl. 15 odst. 9 nařízení (EU) č. 1380/2013 u všech populací, na něž se vztahuje povinnost vykládky, zaveden mechanismus meziroční flexibility. Ve snaze zabránit nadměrně vysoké flexibilitě, jež by ohrozila zásadu racionálního a odpovědného využívání mořských biologických zdrojů, bránila dosažení cílů společné rybářské politiky a zhoršila biologický stav populací, by se články 3 a 4 nařízení (ES) č. 847/96 měly použít na analytický TAC pouze tehdy, pokud není využita meziroční flexibilita stanovená v čl. 15 odst. 9 nařízení (EU) č. 1380/2013.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Na využívání rybolovných práv stanovených v tomto nařízení, která jsou k dispozici rybářským plavidlům Unie, se vztahuje nařízení Rady (ES) č. 1224/2009</w:t>
      </w:r>
      <w:r>
        <w:rPr>
          <w:rStyle w:val="FootnoteReference"/>
          <w:noProof/>
        </w:rPr>
        <w:footnoteReference w:id="11"/>
      </w:r>
      <w:r>
        <w:rPr>
          <w:noProof/>
        </w:rPr>
        <w:t>, a zejména články 33 a 34 uvedeného nařízení, které se týkají zaznamenávání úlovků a intenzity rybolovu a oznamování údajů o vyčerpání rybolovných práv. Je proto nezbytné určit kódy, které členské státy použijí, když zasílají Komisi údaje týkající se vykládky populace podle tohoto nařízení.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Aby se předešlo přerušení rybolovných činností a zajistila se obživa unijních rybářů, mělo by se toto nařízení použít od 1. ledna 2020. Z důvodu naléhavosti by mělo toto nařízení vstoupit v platnost ihned po vyhlášení.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Při využívání rybolovných práv by mělo být plně dodržováno právo Unie,</w:t>
      </w:r>
    </w:p>
    <w:p>
      <w:pPr>
        <w:pStyle w:val="Formuledadoption"/>
        <w:rPr>
          <w:noProof/>
        </w:rPr>
      </w:pPr>
      <w:r>
        <w:rPr>
          <w:noProof/>
        </w:rPr>
        <w:t>PŘIJALA TOTO NAŘÍZENÍ:</w:t>
      </w:r>
    </w:p>
    <w:p>
      <w:pPr>
        <w:pStyle w:val="ChapterTitle"/>
        <w:rPr>
          <w:noProof/>
        </w:rPr>
      </w:pPr>
      <w:r>
        <w:rPr>
          <w:noProof/>
        </w:rPr>
        <w:t>HLAVA I</w:t>
      </w:r>
      <w:r>
        <w:rPr>
          <w:noProof/>
        </w:rPr>
        <w:br/>
        <w:t>OBECNÁ USTANOVENÍ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Článek 1</w:t>
      </w:r>
      <w:r>
        <w:rPr>
          <w:noProof/>
        </w:rPr>
        <w:br/>
      </w:r>
      <w:r>
        <w:rPr>
          <w:b/>
          <w:i w:val="0"/>
          <w:noProof/>
        </w:rPr>
        <w:t xml:space="preserve">Předmět </w:t>
      </w:r>
      <w:r>
        <w:rPr>
          <w:b/>
          <w:i w:val="0"/>
          <w:noProof/>
        </w:rPr>
        <w:br/>
      </w:r>
    </w:p>
    <w:p>
      <w:pPr>
        <w:rPr>
          <w:noProof/>
        </w:rPr>
      </w:pPr>
      <w:r>
        <w:rPr>
          <w:noProof/>
        </w:rPr>
        <w:t xml:space="preserve">Toto nařízení stanoví na rok 2020 rybolovná práva pro některé populace ryb a skupiny populací ryb ve Středozemním moři a v Černém moři. </w:t>
      </w:r>
    </w:p>
    <w:p>
      <w:pPr>
        <w:pStyle w:val="Titrearticle"/>
        <w:rPr>
          <w:noProof/>
        </w:rPr>
      </w:pPr>
      <w:r>
        <w:rPr>
          <w:noProof/>
        </w:rPr>
        <w:t>Článek 2</w:t>
      </w:r>
      <w:r>
        <w:rPr>
          <w:noProof/>
        </w:rPr>
        <w:br/>
      </w:r>
      <w:r>
        <w:rPr>
          <w:b/>
          <w:i w:val="0"/>
          <w:noProof/>
        </w:rPr>
        <w:t>Oblast působnosti</w:t>
      </w:r>
      <w:r>
        <w:rPr>
          <w:b/>
          <w:i w:val="0"/>
          <w:noProof/>
        </w:rPr>
        <w:br/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Toto nařízení se vztahuje na rybářská plavidla Unie lovící tyto populace ryb:  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>úhoře říčního (</w:t>
      </w:r>
      <w:r>
        <w:rPr>
          <w:i/>
          <w:noProof/>
        </w:rPr>
        <w:t>Anguilla anguilla L.</w:t>
      </w:r>
      <w:r>
        <w:rPr>
          <w:noProof/>
        </w:rPr>
        <w:t xml:space="preserve">) ve Středozemním moři, jak je definováno v čl. 4 písm. b); </w:t>
      </w: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 xml:space="preserve">garnelu anténovou (Aristeus antennatus), garnelu hlubokomořskou (Parapenaeus longirostris), krevetu druhu </w:t>
      </w:r>
      <w:r>
        <w:rPr>
          <w:iCs/>
          <w:noProof/>
        </w:rPr>
        <w:t>Aristaeomorpha foliacea</w:t>
      </w:r>
      <w:r>
        <w:rPr>
          <w:noProof/>
        </w:rPr>
        <w:t xml:space="preserve"> (Aristaeomorpha foliacea), štikozubce obecného (Merluccius merluccius), humra severského (Nephrops norvegicus) a parmici pruhovanou (Mullus barbatus) v západním Středozemním moři, jak je definováno v čl. 4 písm. c);</w:t>
      </w:r>
    </w:p>
    <w:p>
      <w:pPr>
        <w:pStyle w:val="Point0"/>
        <w:rPr>
          <w:noProof/>
        </w:rPr>
      </w:pPr>
      <w:r>
        <w:t>(c)</w:t>
      </w:r>
      <w:r>
        <w:tab/>
      </w:r>
      <w:r>
        <w:rPr>
          <w:noProof/>
        </w:rPr>
        <w:t>sardel obecnou (</w:t>
      </w:r>
      <w:r>
        <w:rPr>
          <w:i/>
          <w:noProof/>
        </w:rPr>
        <w:t>Engraulis encrasicolus</w:t>
      </w:r>
      <w:r>
        <w:rPr>
          <w:noProof/>
        </w:rPr>
        <w:t>) a sardinku obecnou (</w:t>
      </w:r>
      <w:r>
        <w:rPr>
          <w:i/>
          <w:noProof/>
        </w:rPr>
        <w:t>Sardina pilchardus</w:t>
      </w:r>
      <w:r>
        <w:rPr>
          <w:noProof/>
        </w:rPr>
        <w:t xml:space="preserve">) v Jaderském moři, jak je definováno v čl. 4 písm. d); </w:t>
      </w:r>
    </w:p>
    <w:p>
      <w:pPr>
        <w:pStyle w:val="Point0"/>
        <w:rPr>
          <w:noProof/>
        </w:rPr>
      </w:pPr>
      <w:r>
        <w:t>(d)</w:t>
      </w:r>
      <w:r>
        <w:tab/>
      </w:r>
      <w:r>
        <w:rPr>
          <w:noProof/>
        </w:rPr>
        <w:t>štikozubce obecného (</w:t>
      </w:r>
      <w:r>
        <w:rPr>
          <w:i/>
          <w:noProof/>
        </w:rPr>
        <w:t>Merluccius merluccius</w:t>
      </w:r>
      <w:r>
        <w:rPr>
          <w:noProof/>
        </w:rPr>
        <w:t>), humra severského (</w:t>
      </w:r>
      <w:r>
        <w:rPr>
          <w:i/>
          <w:noProof/>
        </w:rPr>
        <w:t>Nephrops norvegicus</w:t>
      </w:r>
      <w:r>
        <w:rPr>
          <w:noProof/>
        </w:rPr>
        <w:t>), jazyka obecného (</w:t>
      </w:r>
      <w:r>
        <w:rPr>
          <w:i/>
          <w:noProof/>
        </w:rPr>
        <w:t>Solea solea)</w:t>
      </w:r>
      <w:r>
        <w:rPr>
          <w:noProof/>
        </w:rPr>
        <w:t>, garnelu hlubokomořskou (</w:t>
      </w:r>
      <w:r>
        <w:rPr>
          <w:i/>
          <w:noProof/>
        </w:rPr>
        <w:t>Parapenaeus longirostris</w:t>
      </w:r>
      <w:r>
        <w:rPr>
          <w:noProof/>
        </w:rPr>
        <w:t>) a parmici pruhovanou (</w:t>
      </w:r>
      <w:r>
        <w:rPr>
          <w:i/>
          <w:noProof/>
        </w:rPr>
        <w:t>Mullus barbatus</w:t>
      </w:r>
      <w:r>
        <w:rPr>
          <w:noProof/>
        </w:rPr>
        <w:t xml:space="preserve">) v Jaderském moři, jak je definováno v čl. 4 písm. d); </w:t>
      </w:r>
    </w:p>
    <w:p>
      <w:pPr>
        <w:pStyle w:val="Point0"/>
        <w:rPr>
          <w:noProof/>
        </w:rPr>
      </w:pPr>
      <w:r>
        <w:t>(e)</w:t>
      </w:r>
      <w:r>
        <w:tab/>
      </w:r>
      <w:r>
        <w:rPr>
          <w:noProof/>
        </w:rPr>
        <w:t>šprota obecného (</w:t>
      </w:r>
      <w:r>
        <w:rPr>
          <w:i/>
          <w:noProof/>
        </w:rPr>
        <w:t>Sprattus sprattus</w:t>
      </w:r>
      <w:r>
        <w:rPr>
          <w:noProof/>
        </w:rPr>
        <w:t>) a pakambalu velkou (</w:t>
      </w:r>
      <w:r>
        <w:rPr>
          <w:i/>
          <w:noProof/>
        </w:rPr>
        <w:t>Psetta maxima</w:t>
      </w:r>
      <w:r>
        <w:rPr>
          <w:noProof/>
        </w:rPr>
        <w:t>) v Černém moři, jak je definováno v čl. 4 písm. e).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Toto nařízení se vztahuje rovněž na rekreační rybolov, je-li v příslušných ustanoveních výslovně zmiňován.  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Článek 3</w:t>
      </w:r>
      <w:r>
        <w:rPr>
          <w:noProof/>
        </w:rPr>
        <w:br/>
      </w:r>
      <w:r>
        <w:rPr>
          <w:b/>
          <w:i w:val="0"/>
          <w:noProof/>
        </w:rPr>
        <w:t>Definice</w:t>
      </w:r>
      <w:r>
        <w:rPr>
          <w:b/>
          <w:i w:val="0"/>
          <w:noProof/>
        </w:rPr>
        <w:br/>
      </w:r>
    </w:p>
    <w:p>
      <w:pPr>
        <w:rPr>
          <w:noProof/>
        </w:rPr>
      </w:pPr>
      <w:r>
        <w:rPr>
          <w:noProof/>
        </w:rPr>
        <w:t>Pro účely tohoto nařízení se použijí definice stanovené v článku 4 nařízení (EU) č. 1380/2013. Dále se rozumí: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>„mezinárodními vodami“ vody, které nepodléhají svrchovanosti ani jurisdikci žádného státu;</w:t>
      </w: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>„rekreačním rybolovem“ neobchodní rybolovné činnosti využívající mořské živé vodní zdroje pro rekreační, turistické nebo sportovní účely;</w:t>
      </w:r>
    </w:p>
    <w:p>
      <w:pPr>
        <w:pStyle w:val="Point0"/>
        <w:rPr>
          <w:noProof/>
        </w:rPr>
      </w:pPr>
      <w:r>
        <w:t>(c)</w:t>
      </w:r>
      <w:r>
        <w:tab/>
      </w:r>
      <w:r>
        <w:rPr>
          <w:noProof/>
        </w:rPr>
        <w:t>„celkovým přípustným odlovem (TAC)“:</w:t>
      </w:r>
    </w:p>
    <w:p>
      <w:pPr>
        <w:pStyle w:val="Point2"/>
        <w:rPr>
          <w:noProof/>
        </w:rPr>
      </w:pPr>
      <w:r>
        <w:t>(i)</w:t>
      </w:r>
      <w:r>
        <w:tab/>
      </w:r>
      <w:r>
        <w:rPr>
          <w:noProof/>
        </w:rPr>
        <w:t>v rybolovu, na nějž se vztahuje povinnost vykládky podle čl. 15 odst. 4 až 7 nařízení (EU) č. 1380/2013, množství ryb, které lze každoročně z každé populace odlovit;</w:t>
      </w:r>
    </w:p>
    <w:p>
      <w:pPr>
        <w:pStyle w:val="Point2"/>
        <w:rPr>
          <w:noProof/>
        </w:rPr>
      </w:pPr>
      <w:r>
        <w:t>(ii)</w:t>
      </w:r>
      <w:r>
        <w:tab/>
      </w:r>
      <w:r>
        <w:rPr>
          <w:noProof/>
        </w:rPr>
        <w:t>ve všech ostatních druzích rybolovu množství ryb, které lze během období jednoho roku z každé populace odlovit;</w:t>
      </w:r>
    </w:p>
    <w:p>
      <w:pPr>
        <w:pStyle w:val="Point0"/>
        <w:rPr>
          <w:noProof/>
        </w:rPr>
      </w:pPr>
      <w:r>
        <w:t>(d)</w:t>
      </w:r>
      <w:r>
        <w:tab/>
      </w:r>
      <w:r>
        <w:rPr>
          <w:noProof/>
        </w:rPr>
        <w:t>„kvótou“ podíl TAC přidělený Unii nebo členskému státu;</w:t>
      </w:r>
    </w:p>
    <w:p>
      <w:pPr>
        <w:pStyle w:val="Point0"/>
        <w:rPr>
          <w:noProof/>
        </w:rPr>
      </w:pPr>
      <w:r>
        <w:t>(e)</w:t>
      </w:r>
      <w:r>
        <w:tab/>
      </w:r>
      <w:r>
        <w:rPr>
          <w:noProof/>
        </w:rPr>
        <w:t>„autonomní kvótou Unie“ omezení úlovků samostatně přidělené rybářským plavidlům Unie, když neexistuje žádný dohodnutý TAC;</w:t>
      </w:r>
    </w:p>
    <w:p>
      <w:pPr>
        <w:pStyle w:val="Point0"/>
        <w:rPr>
          <w:noProof/>
        </w:rPr>
      </w:pPr>
      <w:r>
        <w:t>(f)</w:t>
      </w:r>
      <w:r>
        <w:tab/>
      </w:r>
      <w:r>
        <w:rPr>
          <w:noProof/>
        </w:rPr>
        <w:t>„analytickou kvótou“ autonomní kvóta Unie, pro niž je k dispozici analytické posouzení;</w:t>
      </w:r>
    </w:p>
    <w:p>
      <w:pPr>
        <w:pStyle w:val="Point0"/>
        <w:rPr>
          <w:noProof/>
        </w:rPr>
      </w:pPr>
      <w:r>
        <w:t>(g)</w:t>
      </w:r>
      <w:r>
        <w:tab/>
      </w:r>
      <w:r>
        <w:rPr>
          <w:noProof/>
        </w:rPr>
        <w:t>„analytickým posouzením“ kvantitativní posouzení trendů dané populace založené na údajích o biologii a využívání této populace, které mají podle vědeckého přezkumu dostatečnou kvalitu, aby z nich vycházela vědecká doporučení o možnostech budoucích úlovků.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Článek 4</w:t>
      </w:r>
      <w:r>
        <w:rPr>
          <w:noProof/>
        </w:rPr>
        <w:br/>
      </w:r>
      <w:r>
        <w:rPr>
          <w:b/>
          <w:i w:val="0"/>
          <w:noProof/>
        </w:rPr>
        <w:t>Rybolovné oblasti</w:t>
      </w:r>
    </w:p>
    <w:p>
      <w:pPr>
        <w:rPr>
          <w:noProof/>
        </w:rPr>
      </w:pPr>
      <w:r>
        <w:rPr>
          <w:noProof/>
        </w:rPr>
        <w:t>Pro účely tohoto nařízení se příslušnými oblastmi rozumějí: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>„zeměpisnými podoblastmi GFCM“ (Generální komise pro rybolov ve Středozemním moři) oblasti vymezené v příloze I nařízení Evropského parlamentu a Rady (EU) č. 1343/2011</w:t>
      </w:r>
      <w:r>
        <w:rPr>
          <w:rStyle w:val="FootnoteReference"/>
          <w:noProof/>
        </w:rPr>
        <w:footnoteReference w:id="12"/>
      </w:r>
      <w:r>
        <w:rPr>
          <w:noProof/>
        </w:rPr>
        <w:t>;</w:t>
      </w: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>„Středozemním mořem“ vody v zeměpisných podoblastech GFCM 1 až 27, jak jsou definovány v příloze I nařízení (EU) č. 1343/2011;</w:t>
      </w:r>
    </w:p>
    <w:p>
      <w:pPr>
        <w:pStyle w:val="Point0"/>
        <w:rPr>
          <w:noProof/>
        </w:rPr>
      </w:pPr>
      <w:r>
        <w:t>(c)</w:t>
      </w:r>
      <w:r>
        <w:tab/>
      </w:r>
      <w:r>
        <w:rPr>
          <w:noProof/>
        </w:rPr>
        <w:t>„západním Středozemním mořem“ vody v zeměpisných podoblastech GFCM 1, 2, 5, 6, 7, 8, 9, 10 a 11, jak jsou definovány v příloze I nařízení (EU) č. 1343/2011;</w:t>
      </w:r>
    </w:p>
    <w:p>
      <w:pPr>
        <w:pStyle w:val="Point0"/>
        <w:rPr>
          <w:noProof/>
        </w:rPr>
      </w:pPr>
      <w:r>
        <w:t>(d)</w:t>
      </w:r>
      <w:r>
        <w:tab/>
      </w:r>
      <w:r>
        <w:rPr>
          <w:noProof/>
        </w:rPr>
        <w:t>„Jaderským mořem“ vody v zeměpisných podoblastech GFCM 17 a 18, jak jsou definovány v příloze I nařízení (EU) č. 1343/2011;</w:t>
      </w:r>
    </w:p>
    <w:p>
      <w:pPr>
        <w:pStyle w:val="Point0"/>
        <w:rPr>
          <w:noProof/>
        </w:rPr>
      </w:pPr>
      <w:r>
        <w:t>(e)</w:t>
      </w:r>
      <w:r>
        <w:tab/>
      </w:r>
      <w:r>
        <w:rPr>
          <w:noProof/>
        </w:rPr>
        <w:t>„Černým mořem“ vody v zeměpisné podoblasti GFCM 29, jak jsou definovány v příloze I nařízení (EU) č. 1343/2011.</w:t>
      </w:r>
    </w:p>
    <w:p>
      <w:pPr>
        <w:rPr>
          <w:noProof/>
        </w:rPr>
      </w:pPr>
    </w:p>
    <w:p>
      <w:pPr>
        <w:pStyle w:val="ChapterTitle"/>
        <w:rPr>
          <w:noProof/>
        </w:rPr>
      </w:pPr>
      <w:r>
        <w:rPr>
          <w:noProof/>
        </w:rPr>
        <w:t>HLAVA II</w:t>
      </w:r>
    </w:p>
    <w:p>
      <w:pPr>
        <w:pStyle w:val="ChapterTitle"/>
        <w:rPr>
          <w:noProof/>
        </w:rPr>
      </w:pPr>
      <w:r>
        <w:rPr>
          <w:noProof/>
        </w:rPr>
        <w:t>RYBOLOVNÁ PRÁVA</w:t>
      </w:r>
    </w:p>
    <w:p>
      <w:pPr>
        <w:pStyle w:val="ChapterTitle"/>
        <w:rPr>
          <w:noProof/>
          <w:highlight w:val="yellow"/>
        </w:rPr>
      </w:pPr>
      <w:r>
        <w:rPr>
          <w:noProof/>
        </w:rPr>
        <w:t>KAPITOLA I</w:t>
      </w:r>
    </w:p>
    <w:p>
      <w:pPr>
        <w:pStyle w:val="ChapterTitle"/>
        <w:rPr>
          <w:noProof/>
        </w:rPr>
      </w:pPr>
      <w:r>
        <w:rPr>
          <w:noProof/>
        </w:rPr>
        <w:t>Středozemní moře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Článek 5</w:t>
      </w:r>
      <w:r>
        <w:rPr>
          <w:noProof/>
        </w:rPr>
        <w:br/>
      </w:r>
      <w:r>
        <w:rPr>
          <w:b/>
          <w:i w:val="0"/>
          <w:noProof/>
        </w:rPr>
        <w:t xml:space="preserve">Úhoř říční </w:t>
      </w:r>
      <w:r>
        <w:rPr>
          <w:b/>
          <w:i w:val="0"/>
          <w:noProof/>
        </w:rPr>
        <w:br/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Tento článek se vztahuje na všechny činnosti rybářských plavidel Unie a další rybolovné činnosti Unie v souvislosti s úhořem říčním (</w:t>
      </w:r>
      <w:r>
        <w:rPr>
          <w:i/>
          <w:noProof/>
        </w:rPr>
        <w:t>Anguilla anguilla L</w:t>
      </w:r>
      <w:r>
        <w:rPr>
          <w:noProof/>
        </w:rPr>
        <w:t xml:space="preserve">.), totiž na jeho cílený, vedlejší a rekreační rybolov. </w:t>
      </w:r>
    </w:p>
    <w:p>
      <w:pPr>
        <w:pStyle w:val="ManualNumPar2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Tento článek se použije na Středozemní moře a brakické vody, jako jsou ústí řek, pobřežní laguny a přechodné vody.</w:t>
      </w:r>
    </w:p>
    <w:p>
      <w:pPr>
        <w:pStyle w:val="ManualNumPar3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Rybářským plavidlům Unie se zakazuje rybolov úhoře říčního ve vodách Unie a v mezinárodních vodách Středozemního moře v období tří po sobě následujících měsíců, které určí každý členský stát. Toto období zákazu rybolovu musí být soudržné s cíli pro zachování zdrojů stanovenými v nařízení (ES) č. 1100/2007</w:t>
      </w:r>
      <w:r>
        <w:rPr>
          <w:rStyle w:val="FootnoteReference"/>
          <w:noProof/>
        </w:rPr>
        <w:footnoteReference w:id="13"/>
      </w:r>
      <w:r>
        <w:rPr>
          <w:noProof/>
        </w:rPr>
        <w:t>, se zavedenými vnitrostátními plány řízení a s časovými migračními vzorci úhoře říčního v dotčených členských státech. Členské státy sdělí toto stanovené období Komisi nejpozději jeden měsíc před tím, než zákaz rybolovu vstoupí v platnost, a v každém případě nejpozději dne 31. ledna 2020.</w:t>
      </w:r>
    </w:p>
    <w:p>
      <w:pPr>
        <w:pStyle w:val="Titrearticle"/>
        <w:rPr>
          <w:noProof/>
        </w:rPr>
      </w:pPr>
      <w:r>
        <w:rPr>
          <w:noProof/>
        </w:rPr>
        <w:br/>
      </w:r>
    </w:p>
    <w:p>
      <w:pPr>
        <w:pStyle w:val="ChapterTitle"/>
        <w:rPr>
          <w:noProof/>
        </w:rPr>
      </w:pPr>
      <w:r>
        <w:rPr>
          <w:noProof/>
        </w:rPr>
        <w:t>KAPITOLA II</w:t>
      </w:r>
      <w:r>
        <w:rPr>
          <w:i/>
          <w:noProof/>
          <w:highlight w:val="yellow"/>
        </w:rPr>
        <w:t xml:space="preserve"> </w:t>
      </w:r>
    </w:p>
    <w:p>
      <w:pPr>
        <w:pStyle w:val="ChapterTitle"/>
        <w:rPr>
          <w:noProof/>
        </w:rPr>
      </w:pPr>
      <w:r>
        <w:rPr>
          <w:noProof/>
        </w:rPr>
        <w:t>Západní část Středozemního moře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Článek 6</w:t>
      </w:r>
      <w:r>
        <w:rPr>
          <w:noProof/>
        </w:rPr>
        <w:br/>
      </w:r>
      <w:r>
        <w:rPr>
          <w:b/>
          <w:i w:val="0"/>
          <w:noProof/>
        </w:rPr>
        <w:t xml:space="preserve">Populace žijící při dně </w:t>
      </w:r>
      <w:r>
        <w:rPr>
          <w:b/>
          <w:i w:val="0"/>
          <w:noProof/>
        </w:rPr>
        <w:br/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Maximální přípustná intenzita rybolovu pro populace žijící při dně v západním Středozemním moři na rok 2020 je stanovena v příloze I tohoto nařízení.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Členské státy řídí nejvyšší přípustnou intenzitu rybolovu v souladu s článkem 9 nařízení (EU) č. 2019/1022.  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Článek 7</w:t>
      </w:r>
      <w:r>
        <w:rPr>
          <w:noProof/>
        </w:rPr>
        <w:br/>
      </w:r>
      <w:r>
        <w:rPr>
          <w:b/>
          <w:i w:val="0"/>
          <w:noProof/>
        </w:rPr>
        <w:t>Předávání údajů</w:t>
      </w:r>
      <w:r>
        <w:rPr>
          <w:b/>
          <w:i w:val="0"/>
          <w:noProof/>
        </w:rPr>
        <w:br/>
      </w:r>
    </w:p>
    <w:p>
      <w:pPr>
        <w:rPr>
          <w:noProof/>
        </w:rPr>
      </w:pPr>
      <w:r>
        <w:rPr>
          <w:noProof/>
        </w:rPr>
        <w:t xml:space="preserve">Členské státy zaznamenávají a předávají údaje o intenzitě rybolovu Komisi v souladu s článkem 10 nařízení (EU) 2019/1022.  </w:t>
      </w:r>
    </w:p>
    <w:p>
      <w:pPr>
        <w:rPr>
          <w:noProof/>
        </w:rPr>
      </w:pPr>
      <w:r>
        <w:rPr>
          <w:noProof/>
        </w:rPr>
        <w:t>Členské státy použijí při předkládání údajů o intenzitě rybolovu Komisi v souladu s tímto článkem kódy skupiny intenzity rybolovu uvedené v příloze I tohoto nařízení.</w:t>
      </w:r>
    </w:p>
    <w:p>
      <w:pPr>
        <w:pStyle w:val="ManualNumPar3"/>
        <w:rPr>
          <w:noProof/>
        </w:rPr>
      </w:pPr>
    </w:p>
    <w:p>
      <w:pPr>
        <w:rPr>
          <w:noProof/>
        </w:rPr>
      </w:pPr>
    </w:p>
    <w:p>
      <w:pPr>
        <w:pStyle w:val="ChapterTitle"/>
        <w:rPr>
          <w:noProof/>
        </w:rPr>
      </w:pPr>
      <w:r>
        <w:rPr>
          <w:noProof/>
        </w:rPr>
        <w:t>KAPITOLA III</w:t>
      </w:r>
      <w:r>
        <w:rPr>
          <w:noProof/>
        </w:rPr>
        <w:br/>
      </w:r>
      <w:r>
        <w:rPr>
          <w:noProof/>
        </w:rPr>
        <w:br/>
        <w:t>Jaderské moře</w:t>
      </w:r>
    </w:p>
    <w:p>
      <w:pPr>
        <w:pStyle w:val="Titrearticle"/>
        <w:rPr>
          <w:noProof/>
        </w:rPr>
      </w:pPr>
      <w:r>
        <w:rPr>
          <w:noProof/>
        </w:rPr>
        <w:t>Článek 8</w:t>
      </w:r>
      <w:r>
        <w:rPr>
          <w:noProof/>
        </w:rPr>
        <w:br/>
      </w:r>
      <w:r>
        <w:rPr>
          <w:b/>
          <w:i w:val="0"/>
          <w:noProof/>
        </w:rPr>
        <w:t xml:space="preserve">Populace malých pelagických druhů </w:t>
      </w:r>
      <w:r>
        <w:rPr>
          <w:b/>
          <w:i w:val="0"/>
          <w:noProof/>
        </w:rPr>
        <w:br/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Úlovky sardinky obecné (</w:t>
      </w:r>
      <w:r>
        <w:rPr>
          <w:i/>
          <w:noProof/>
        </w:rPr>
        <w:t>Sardina pilchardus</w:t>
      </w:r>
      <w:r>
        <w:rPr>
          <w:noProof/>
        </w:rPr>
        <w:t>) a sardele obecné (</w:t>
      </w:r>
      <w:r>
        <w:rPr>
          <w:i/>
          <w:noProof/>
        </w:rPr>
        <w:t>Engraulis encrasicolus</w:t>
      </w:r>
      <w:r>
        <w:rPr>
          <w:noProof/>
        </w:rPr>
        <w:t>) rybářskými plavidly Unie v Jaderském moři nesmějí překročit úrovně stanovené v příloze II tohoto nařízení.</w:t>
      </w:r>
    </w:p>
    <w:p>
      <w:pPr>
        <w:pStyle w:val="ManualNumPar2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Rybářská plavidla Unie, která loví sardinky a sardele v oblasti Jaderského moře, nesmí překročit 180 dnů rybolovu za rok. Z tohoto celkového počtu 180 dnů rybolovu je maximálně 144 dnů určeno pro rybolov sardinek a maximálně 144 dnů pro rybolov sardelí.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Článek 9</w:t>
      </w:r>
      <w:r>
        <w:rPr>
          <w:noProof/>
        </w:rPr>
        <w:br/>
      </w:r>
      <w:r>
        <w:rPr>
          <w:b/>
          <w:i w:val="0"/>
          <w:noProof/>
        </w:rPr>
        <w:t xml:space="preserve">Populace žijící při dně </w:t>
      </w:r>
      <w:r>
        <w:rPr>
          <w:b/>
          <w:i w:val="0"/>
          <w:noProof/>
        </w:rPr>
        <w:br/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Maximální přípustná intenzita rybolovu populací žijících při dně v Jaderském moři na rok 2020 je stanovena v příloze II.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Členské státy řídí nejvyšší přípustnou intenzitu rybolovu v souladu s články 26 až 35 nařízení Rady (ES) č. 1224/2009.</w:t>
      </w:r>
    </w:p>
    <w:p>
      <w:pPr>
        <w:rPr>
          <w:noProof/>
        </w:rPr>
      </w:pP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Článek 10</w:t>
      </w:r>
      <w:r>
        <w:rPr>
          <w:noProof/>
        </w:rPr>
        <w:br/>
      </w:r>
      <w:r>
        <w:rPr>
          <w:b/>
          <w:i w:val="0"/>
          <w:noProof/>
        </w:rPr>
        <w:t>Předávání údajů</w:t>
      </w:r>
    </w:p>
    <w:p>
      <w:pPr>
        <w:rPr>
          <w:noProof/>
        </w:rPr>
      </w:pPr>
      <w:r>
        <w:rPr>
          <w:noProof/>
        </w:rPr>
        <w:t xml:space="preserve">Předkládají-li členské státy podle článků 33 a 34 nařízení (ES) č. 1224/2009 Komisi údaje vztahující se k vykládkám objemů odlovených populací, použijí kódy populací stanovené v příloze II tohoto nařízení. </w:t>
      </w:r>
    </w:p>
    <w:p>
      <w:pPr>
        <w:rPr>
          <w:noProof/>
        </w:rPr>
      </w:pPr>
    </w:p>
    <w:p>
      <w:pPr>
        <w:pStyle w:val="ChapterTitle"/>
        <w:rPr>
          <w:noProof/>
        </w:rPr>
      </w:pPr>
      <w:r>
        <w:rPr>
          <w:noProof/>
        </w:rPr>
        <w:t>KAPITOLA IV</w:t>
      </w:r>
      <w:r>
        <w:rPr>
          <w:noProof/>
        </w:rPr>
        <w:br/>
      </w:r>
      <w:r>
        <w:rPr>
          <w:noProof/>
        </w:rPr>
        <w:br/>
        <w:t>Černé moře</w:t>
      </w:r>
      <w:r>
        <w:rPr>
          <w:noProof/>
        </w:rPr>
        <w:br/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Článek 11</w:t>
      </w:r>
      <w:r>
        <w:rPr>
          <w:noProof/>
        </w:rPr>
        <w:br/>
      </w:r>
      <w:r>
        <w:rPr>
          <w:b/>
          <w:i w:val="0"/>
          <w:noProof/>
        </w:rPr>
        <w:t>Přidělení rybolovných práv pro šprota obecného</w:t>
      </w:r>
      <w:r>
        <w:rPr>
          <w:b/>
          <w:i w:val="0"/>
          <w:noProof/>
        </w:rPr>
        <w:br/>
      </w:r>
    </w:p>
    <w:p>
      <w:pPr>
        <w:rPr>
          <w:noProof/>
        </w:rPr>
      </w:pPr>
      <w:r>
        <w:rPr>
          <w:noProof/>
        </w:rPr>
        <w:t>Autonomní kvóta Unie pro šprota obecného (</w:t>
      </w:r>
      <w:r>
        <w:rPr>
          <w:i/>
          <w:noProof/>
        </w:rPr>
        <w:t>Sprattus sprattus</w:t>
      </w:r>
      <w:r>
        <w:rPr>
          <w:noProof/>
        </w:rPr>
        <w:t>), její přidělení jednotlivým členským státům a případně i podmínky, které jsou s nimi funkčně spojeny, jsou stanoveny v příloze III tohoto nařízení.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Článek 12</w:t>
      </w:r>
      <w:r>
        <w:rPr>
          <w:noProof/>
        </w:rPr>
        <w:br/>
      </w:r>
      <w:r>
        <w:rPr>
          <w:b/>
          <w:i w:val="0"/>
          <w:noProof/>
        </w:rPr>
        <w:t xml:space="preserve">Řízení intenzity rybolovu pakambaly velké </w:t>
      </w:r>
      <w:r>
        <w:rPr>
          <w:b/>
          <w:i w:val="0"/>
          <w:noProof/>
        </w:rPr>
        <w:br/>
      </w:r>
    </w:p>
    <w:p>
      <w:pPr>
        <w:rPr>
          <w:noProof/>
        </w:rPr>
      </w:pPr>
      <w:r>
        <w:rPr>
          <w:noProof/>
        </w:rPr>
        <w:t>Celkové přípustné odlovy pro pakambalu velkou (</w:t>
      </w:r>
      <w:r>
        <w:rPr>
          <w:i/>
          <w:noProof/>
        </w:rPr>
        <w:t>Psetta maxima</w:t>
      </w:r>
      <w:r>
        <w:rPr>
          <w:noProof/>
        </w:rPr>
        <w:t xml:space="preserve">) vztahující se na vody Unie v Černém moři a na rybářská plavidla Unie, jejich přidělení jednotlivým členským státům a případně i podmínky, které jsou s nimi funkčně spojeny, jsou stanoveny v příloze III tohoto nařízení. 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Článek 13</w:t>
      </w:r>
      <w:r>
        <w:rPr>
          <w:noProof/>
        </w:rPr>
        <w:br/>
      </w:r>
      <w:r>
        <w:rPr>
          <w:b/>
          <w:i w:val="0"/>
          <w:noProof/>
        </w:rPr>
        <w:t>Řízení intenzity rybolovu pakambaly velké</w:t>
      </w:r>
    </w:p>
    <w:p>
      <w:pPr>
        <w:rPr>
          <w:noProof/>
        </w:rPr>
      </w:pPr>
      <w:r>
        <w:rPr>
          <w:noProof/>
        </w:rPr>
        <w:t>Rybářská plavidla Unie oprávněná k rybolovu pakambaly velké ve vodách Unie v Černém moři nesmí překročit 180 dnů rybolovu za rok, a to bez ohledu na celkovou délku plavidla.</w:t>
      </w:r>
    </w:p>
    <w:p>
      <w:pPr>
        <w:rPr>
          <w:noProof/>
        </w:rPr>
      </w:pP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Článek 14</w:t>
      </w:r>
      <w:r>
        <w:rPr>
          <w:noProof/>
        </w:rPr>
        <w:br/>
      </w:r>
      <w:r>
        <w:rPr>
          <w:b/>
          <w:i w:val="0"/>
          <w:noProof/>
        </w:rPr>
        <w:t>Období zákazu rybolovu pakambaly velké</w:t>
      </w:r>
    </w:p>
    <w:p>
      <w:pPr>
        <w:rPr>
          <w:noProof/>
        </w:rPr>
      </w:pPr>
      <w:r>
        <w:rPr>
          <w:noProof/>
        </w:rPr>
        <w:t xml:space="preserve">Rybářským plavidlům Unie se zakazuje provádět rybolovnou činnost, včetně překládky, uchovávání na palubě a vykládky pakambaly velké ve vodách Unie v Černém moři od 15. dubna do 15. června. 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Článek 15</w:t>
      </w:r>
      <w:r>
        <w:rPr>
          <w:noProof/>
        </w:rPr>
        <w:br/>
      </w:r>
      <w:r>
        <w:rPr>
          <w:b/>
          <w:i w:val="0"/>
          <w:noProof/>
        </w:rPr>
        <w:t>Zvláštní ustanovení o rozdělení rybolovných práv v Černém moři</w:t>
      </w:r>
      <w:r>
        <w:rPr>
          <w:b/>
          <w:i w:val="0"/>
          <w:noProof/>
        </w:rPr>
        <w:br/>
      </w:r>
    </w:p>
    <w:p>
      <w:pPr>
        <w:rPr>
          <w:noProof/>
        </w:rPr>
      </w:pPr>
      <w:r>
        <w:rPr>
          <w:noProof/>
        </w:rPr>
        <w:t>Rozdělením rybolovných práv mezi členské státy stanoveným v článcích 11 a 12 tohoto nařízení nejsou dotčeny: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>výměny provedené podle čl. 16 odst. 8 nařízení (EU) č. 1380/2013;</w:t>
      </w: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>odpočty a přerozdělení provedené podle článku 37 nařízení (ES) č. 1224/2009</w:t>
      </w:r>
      <w:r>
        <w:rPr>
          <w:rStyle w:val="FootnoteReference"/>
          <w:noProof/>
        </w:rPr>
        <w:footnoteReference w:id="14"/>
      </w:r>
      <w:r>
        <w:rPr>
          <w:noProof/>
        </w:rPr>
        <w:t>;</w:t>
      </w:r>
    </w:p>
    <w:p>
      <w:pPr>
        <w:pStyle w:val="Point0"/>
        <w:rPr>
          <w:noProof/>
        </w:rPr>
      </w:pPr>
      <w:r>
        <w:t>(c)</w:t>
      </w:r>
      <w:r>
        <w:tab/>
      </w:r>
      <w:r>
        <w:rPr>
          <w:noProof/>
        </w:rPr>
        <w:t>odpočty prováděné podle článků 105 a 107 nařízení (ES) č. 1224/2009.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>Článek 16</w:t>
      </w:r>
      <w:r>
        <w:rPr>
          <w:noProof/>
        </w:rPr>
        <w:br/>
      </w:r>
      <w:r>
        <w:rPr>
          <w:b/>
          <w:i w:val="0"/>
          <w:noProof/>
        </w:rPr>
        <w:t>Předávání údajů</w:t>
      </w:r>
      <w:r>
        <w:rPr>
          <w:b/>
          <w:i w:val="0"/>
          <w:noProof/>
        </w:rPr>
        <w:br/>
      </w:r>
    </w:p>
    <w:p>
      <w:pPr>
        <w:rPr>
          <w:noProof/>
        </w:rPr>
      </w:pPr>
      <w:r>
        <w:rPr>
          <w:noProof/>
        </w:rPr>
        <w:t>Předkládají-li členské státy podle článků 33 a 34 nařízení (ES) č. 1224/2009 Komisi údaje vztahující se k vykládkám objemů populací šprota obecného a pakambaly velké odlovených v Černém moři, použijí kódy populací stanovené v příloze III tohoto nařízení.</w:t>
      </w:r>
    </w:p>
    <w:p>
      <w:pPr>
        <w:rPr>
          <w:noProof/>
        </w:rPr>
      </w:pPr>
    </w:p>
    <w:p>
      <w:pPr>
        <w:pStyle w:val="ChapterTitle"/>
        <w:rPr>
          <w:noProof/>
        </w:rPr>
      </w:pPr>
      <w:r>
        <w:rPr>
          <w:noProof/>
        </w:rPr>
        <w:t>HLAVA III</w:t>
      </w:r>
      <w:r>
        <w:rPr>
          <w:noProof/>
        </w:rPr>
        <w:br/>
      </w:r>
      <w:r>
        <w:rPr>
          <w:noProof/>
        </w:rPr>
        <w:br/>
        <w:t>ZÁVĚREČNÁ USTANOVENÍ</w:t>
      </w:r>
    </w:p>
    <w:p>
      <w:pPr>
        <w:pStyle w:val="Titrearticle"/>
        <w:rPr>
          <w:b/>
          <w:i w:val="0"/>
          <w:noProof/>
        </w:rPr>
      </w:pPr>
      <w:r>
        <w:rPr>
          <w:noProof/>
        </w:rPr>
        <w:t xml:space="preserve">Článek 17 </w:t>
      </w:r>
      <w:r>
        <w:rPr>
          <w:noProof/>
        </w:rPr>
        <w:br/>
      </w:r>
      <w:r>
        <w:rPr>
          <w:b/>
          <w:i w:val="0"/>
          <w:noProof/>
        </w:rPr>
        <w:t>Vstup v platnost</w:t>
      </w:r>
    </w:p>
    <w:p>
      <w:pPr>
        <w:rPr>
          <w:noProof/>
        </w:rPr>
      </w:pPr>
      <w:r>
        <w:rPr>
          <w:noProof/>
        </w:rPr>
        <w:t>Toto nařízení vstupuje v platnost prvním dnem po vyhlášení v </w:t>
      </w:r>
      <w:r>
        <w:rPr>
          <w:i/>
          <w:noProof/>
        </w:rPr>
        <w:t>Úředním věstníku Evropské unie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Použije se ode dne 1. ledna 2020.</w:t>
      </w:r>
    </w:p>
    <w:p>
      <w:pPr>
        <w:pStyle w:val="Applicationdirecte"/>
        <w:keepNext/>
        <w:keepLines/>
        <w:rPr>
          <w:noProof/>
        </w:rPr>
      </w:pPr>
      <w:r>
        <w:rPr>
          <w:noProof/>
        </w:rPr>
        <w:t>Toto nařízení je závazné v celém rozsahu a přímo použitelné ve všech členských státech.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 Rady (EU) č. 1380/2013 ze dne 11. prosince 2013 o společné rybářské politice, o změně nařízení Rady (ES) č. 1954/2003 a (ES) č. 1224/2009 a o zrušení nařízení Rady (ES) č. 2371/2002 a (ES) č. 639/2004 a rozhodnutí Rady 2004/585/ES (Úř. věst. L 354, 28.12.2013, s. 22).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 Rady (EU) 2019/1022 ze dne 20. června 2019, kterým se zavádí víceletý plán pro lov populací žijících při dně v západním Středozemním moři a kterým se mění nařízení (EU) č. 508/2014 (Úř. věst. L 172, 26.6.2019, s. 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Nařízení Rady (EU) 2018/2058 ze dne 17. prosince 2018, kterým se pro rok 2019 stanoví rybolovná práva pro některé populace ryb a skupiny populací ryb v Černém moři (Úř. věst. L 329, 27.12.2018, s. 8).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Nařízení Rady (EU) 2019/124 ze dne 30. ledna 2019, kterým se pro rok 2019 stanoví rybolovná práva ve vodách Unie a rybolovná práva, jimiž disponují rybářská plavidla Unie v některých vodách mimo Unii, pro některé rybí populace a skupiny rybích populací (Úř. věst. L 29, 31.1.2019, s. 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Sdělení Komise Evropskému parlamentu a Radě o aktuálním stavu společné rybářské politiky a konzultací o rybolovných právech na rok 2020 (COM(2019) 274 final).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SEK(2011) 891 v konečném znění ze dne 13.7.2011 a SWD(2018) 59 final a SWD(2018) 60 final, oba ze dne 8.3.2018.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 Rady (EU) č. 1380/2013 ze dne 11. prosince 2013 o společné rybářské politice, o změně nařízení Rady (ES) č. 1954/2003 a (ES) č. 1224/2009 a o zrušení nařízení Rady (ES) č. 2371/2002 a (ES) č. 639/2004 a rozhodnutí Rady 2004/585/ES (Úř. věst. L 354, 28.12.2013, s. 22).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 Rady (EU) 2019/1022 ze dne 20. června 2019, kterým se zavádí víceletý plán pro lov populací žijících při dně v západním Středozemním moři a kterým se mění nařízení (EU) č. 508/2014 (Úř. věst. L 172, 26.6.2019, s. 1).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Nařízení Rady (ES) č. 1100/2007 ze dne 18. září 2007, kterým se stanoví opatření pro obnovu populace úhoře říčního (Úř. věst. L 248, 22.9.2007, s. 17).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Nařízení Rady (ES) č. 847/96 ze dne 6. května 1996, kterým se stanoví dodatečné podmínky pro meziroční řízení celkových přípustných odlovů a kvót (Úř. věst. L 115, 9.5.1996, s. 3).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Nařízení Rady (ES) č. 1224/2009 ze dne 20. listopadu 2009 o zavedení kontrolního režimu Unie k zajištění dodržování pravidel společné rybářské politiky, o změně nařízení (ES) č. 847/96, (ES) č. 2371/2002, (ES) č. 811/2004, (ES) č. 768/2005, (ES) č. 2115/2005, (ES) č. 2166/2005, (ES) č. 388/2006, (ES) č. 509/2007, (ES) č. 676/2007, (ES) č. 1098/2007, (ES) č. 1300/2008 a (ES) č. 1342/2008 a o zrušení nařízení (EHS) č. 2847/93, (ES) č. 1627/94 a (ES) č. 1966/2006 (Úř. věst. L 343, 22.12.2009, s. 1).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Nařízení Evropského parlamentu a Rady (EU) č. 1343/2011 ze dne 13. prosince 2011 o některých ustanoveních pro rybolov v oblasti dohody GFCM (Generální komise pro rybolov ve Středozemním moři), kterým se mění nařízení Rady (ES) č. 1967/2006 o opatřeních pro řízení udržitelného využívání rybolovných zdrojů ve Středozemním moři (Úř. věst. L 347, 30.12.2011, s. 44).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Nařízení Rady (ES) č. 1100/2007 ze dne 18. září 2007, kterým se stanoví opatření pro obnovu populace úhoře říčního (Úř. věst. L 248, 22.9.2007, s. 17).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Nařízení Rady (ES) č. 1224/2009 ze dne 20. listopadu 2009 o zavedení kontrolního režimu Unie k zajištění dodržování pravidel společné rybářské politiky, o změně nařízení (ES) č. 847/96, (ES) č. 2371/2002, (ES) č. 811/2004, (ES) č. 768/2005, (ES) č. 2115/2005, (ES) č. 2166/2005, (ES) č. 388/2006, (ES) č. 509/2007, (ES) č. 676/2007, (ES) č. 1098/2007, (ES) č. 1300/2008 a (ES) č. 1342/2008 a o zrušení nařízení (EHS) č. 2847/93, (ES) č. 1627/94 a (ES) č. 1966/2006 (Úř. věst. L 343, 22.12.2009, s. 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9A867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1726A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B68B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3B2A5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3E6E0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FF0D2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CAA55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33AA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3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9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20"/>
  </w:num>
  <w:num w:numId="22">
    <w:abstractNumId w:val="11"/>
  </w:num>
  <w:num w:numId="23">
    <w:abstractNumId w:val="13"/>
  </w:num>
  <w:num w:numId="24">
    <w:abstractNumId w:val="9"/>
  </w:num>
  <w:num w:numId="25">
    <w:abstractNumId w:val="19"/>
  </w:num>
  <w:num w:numId="26">
    <w:abstractNumId w:val="8"/>
  </w:num>
  <w:num w:numId="27">
    <w:abstractNumId w:val="14"/>
  </w:num>
  <w:num w:numId="28">
    <w:abstractNumId w:val="16"/>
  </w:num>
  <w:num w:numId="29">
    <w:abstractNumId w:val="17"/>
  </w:num>
  <w:num w:numId="30">
    <w:abstractNumId w:val="10"/>
  </w:num>
  <w:num w:numId="31">
    <w:abstractNumId w:val="15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4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01 12:20:5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1752BC9-C267-4CAD-B1C9-95DA1F521D03"/>
    <w:docVar w:name="LW_COVERPAGE_TYPE" w:val="1"/>
    <w:docVar w:name="LW_CROSSREFERENCE" w:val="&lt;UNUSED&gt;"/>
    <w:docVar w:name="LW_DocType" w:val="COM"/>
    <w:docVar w:name="LW_EMISSION" w:val="8.10.2019"/>
    <w:docVar w:name="LW_EMISSION_ISODATE" w:val="2019-10-08"/>
    <w:docVar w:name="LW_EMISSION_LOCATION" w:val="BRX"/>
    <w:docVar w:name="LW_EMISSION_PREFIX" w:val="V Bruselu dne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EXP.MOTIFS.NEW" w:val="EM_PL_"/>
    <w:docVar w:name="LW_ID_STATUT" w:val="SJ-016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11"/>
    <w:docVar w:name="LW_REF.II.NEW.CP_YEAR" w:val="2019"/>
    <w:docVar w:name="LW_REF.INST.NEW" w:val="COM"/>
    <w:docVar w:name="LW_REF.INST.NEW_ADOPTED" w:val="final"/>
    <w:docVar w:name="LW_REF.INST.NEW_TEXT" w:val="(2019) 4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kterým se na rok 2020 stanoví rybolovná práva pro n\u283?které populace ryb a skupiny populací ryb ve St\u345?edozemním mo\u345?i a v \u268?erném mo\u345?i"/>
    <w:docVar w:name="LW_TYPE.DOC.CP" w:val="NA\u344?ÍZENÍ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6A41382-8D7A-47D3-ADF4-ED0DDE87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14</Pages>
  <Words>3711</Words>
  <Characters>21082</Characters>
  <Application>Microsoft Office Word</Application>
  <DocSecurity>0</DocSecurity>
  <Lines>439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cp:lastPrinted>2019-08-27T10:02:00Z</cp:lastPrinted>
  <dcterms:created xsi:type="dcterms:W3CDTF">2019-09-23T15:56:00Z</dcterms:created>
  <dcterms:modified xsi:type="dcterms:W3CDTF">2019-10-01T10:20:00Z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SJ-016</vt:lpwstr>
  </property>
  <property fmtid="{D5CDD505-2E9C-101B-9397-08002B2CF9AE}" pid="10" name="DQCStatus">
    <vt:lpwstr>Green (DQC version 03)</vt:lpwstr>
  </property>
</Properties>
</file>