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71F24CF-7F64-4623-BB2E-379C195F163E" style="width:450.75pt;height:352.1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u w:color="000000"/>
          <w:bdr w:val="nil"/>
        </w:rPr>
        <w:t>•</w:t>
      </w:r>
      <w:r>
        <w:rPr>
          <w:noProof/>
          <w:u w:color="000000"/>
          <w:bdr w:val="nil"/>
        </w:rPr>
        <w:tab/>
      </w:r>
      <w:r>
        <w:rPr>
          <w:noProof/>
        </w:rPr>
        <w:t>Motiv och syfte med förslaget</w:t>
      </w:r>
    </w:p>
    <w:p>
      <w:pPr>
        <w:pBdr>
          <w:top w:val="nil"/>
          <w:left w:val="nil"/>
          <w:bottom w:val="nil"/>
          <w:right w:val="nil"/>
          <w:between w:val="nil"/>
          <w:bar w:val="nil"/>
        </w:pBdr>
        <w:spacing w:before="0" w:after="240"/>
        <w:rPr>
          <w:noProof/>
        </w:rPr>
      </w:pPr>
      <w:r>
        <w:rPr>
          <w:noProof/>
        </w:rPr>
        <w:t>Europaparlamentets och rådets förordning (EU) nr 1380/2013 om den gemensamma fiskeripolitiken</w:t>
      </w:r>
      <w:r>
        <w:rPr>
          <w:rStyle w:val="FootnoteReference"/>
          <w:noProof/>
        </w:rPr>
        <w:footnoteReference w:id="1"/>
      </w:r>
      <w:r>
        <w:rPr>
          <w:noProof/>
        </w:rPr>
        <w:t xml:space="preserve"> (nedan kallad </w:t>
      </w:r>
      <w:r>
        <w:rPr>
          <w:i/>
          <w:noProof/>
        </w:rPr>
        <w:t>grundförordningen</w:t>
      </w:r>
      <w:r>
        <w:rPr>
          <w:noProof/>
        </w:rPr>
        <w:t>) syftar till att säkerställa att levande akvatiska resurser utnyttjas på ett hållbart sätt i ekonomiskt, miljömässigt och socialt hänseende. Ett viktigt verktyg i det sammanhanget är det årliga fastställandet av fiskemöjligheterna. Syftet med alla förordningar om fiskemöjligheter är att begränsa utnyttjandet av fiskbestånden till nivåer som är förenliga med den gemensamma fiskeripolitikens (GFP) allmänna mål.</w:t>
      </w:r>
    </w:p>
    <w:p>
      <w:pPr>
        <w:pBdr>
          <w:top w:val="nil"/>
          <w:left w:val="nil"/>
          <w:bottom w:val="nil"/>
          <w:right w:val="nil"/>
          <w:between w:val="nil"/>
          <w:bar w:val="nil"/>
        </w:pBdr>
        <w:spacing w:before="0" w:after="240"/>
        <w:rPr>
          <w:noProof/>
        </w:rPr>
      </w:pPr>
      <w:r>
        <w:rPr>
          <w:noProof/>
        </w:rPr>
        <w:t>Syftet med detta förslag är att fastställa fiskemöjligheterna för vissa bestånd och grupper av bestånd i Medelhavet och Svarta havet.</w:t>
      </w:r>
    </w:p>
    <w:p>
      <w:pPr>
        <w:pBdr>
          <w:top w:val="nil"/>
          <w:left w:val="nil"/>
          <w:bottom w:val="nil"/>
          <w:right w:val="nil"/>
          <w:between w:val="nil"/>
          <w:bar w:val="nil"/>
        </w:pBdr>
        <w:spacing w:before="0" w:after="240"/>
        <w:rPr>
          <w:noProof/>
        </w:rPr>
      </w:pPr>
      <w:r>
        <w:rPr>
          <w:noProof/>
        </w:rPr>
        <w:t>Till följd av antagandet och ikraftträdandet av den fleråriga planen för demersala bestånd i västra Medelhavet</w:t>
      </w:r>
      <w:r>
        <w:rPr>
          <w:rStyle w:val="FootnoteReference"/>
          <w:noProof/>
        </w:rPr>
        <w:footnoteReference w:id="2"/>
      </w:r>
      <w:r>
        <w:rPr>
          <w:noProof/>
        </w:rPr>
        <w:t xml:space="preserve"> fastställs i detta förslag fiskemöjligheterna, uttryckta i form av högsta tillåtna fiskeansträngning, för de berörda medlemsstaterna i den regionen region (Spanien, Frankrike och Italien).</w:t>
      </w:r>
    </w:p>
    <w:p>
      <w:pPr>
        <w:pBdr>
          <w:top w:val="nil"/>
          <w:left w:val="nil"/>
          <w:bottom w:val="nil"/>
          <w:right w:val="nil"/>
          <w:between w:val="nil"/>
          <w:bar w:val="nil"/>
        </w:pBdr>
        <w:spacing w:before="0" w:after="240"/>
        <w:rPr>
          <w:noProof/>
        </w:rPr>
      </w:pPr>
      <w:r>
        <w:rPr>
          <w:noProof/>
        </w:rPr>
        <w:t>I förslaget fastställs även fiskemöjligheterna som följer av från avtal som ingåtts inom ramen för Allmänna kommissionen för fiske i Medelhavet (AKFM), som är en regional fiskeriförvaltningsorganisation som har behörighet att fatta beslut i frågor som gäller bevarande och förvaltning av levande marina resurser i Medelhavet och Svarta havet. Europeiska unionen är medlem i AKFM tillsammans med Bulgarien, Kroatien, Cypern, Frankrike, Grekland, Italien, Malta, Rumänien, Slovenien och Spanien. De åtgärder som antas inom ramen för AKFM är bindande för medlemmarna.</w:t>
      </w:r>
    </w:p>
    <w:p>
      <w:pPr>
        <w:pBdr>
          <w:top w:val="nil"/>
          <w:left w:val="nil"/>
          <w:bottom w:val="nil"/>
          <w:right w:val="nil"/>
          <w:between w:val="nil"/>
          <w:bar w:val="nil"/>
        </w:pBdr>
        <w:spacing w:before="0" w:after="240"/>
        <w:rPr>
          <w:noProof/>
        </w:rPr>
      </w:pPr>
      <w:r>
        <w:rPr>
          <w:noProof/>
        </w:rPr>
        <w:t>Vad slutligen gäller Svarta havet fastställs i förslaget en autonom kvot för skarpsill i syfte att upprätthålla den nuvarande fiskedödligheten. Vad gäller piggvar införlivar förslaget de TAC:er och kvoter som AKFM har fastställt.</w:t>
      </w:r>
    </w:p>
    <w:p>
      <w:pPr>
        <w:pBdr>
          <w:top w:val="nil"/>
          <w:left w:val="nil"/>
          <w:bottom w:val="nil"/>
          <w:right w:val="nil"/>
          <w:between w:val="nil"/>
          <w:bar w:val="nil"/>
        </w:pBdr>
        <w:spacing w:before="0" w:after="240"/>
        <w:rPr>
          <w:noProof/>
        </w:rPr>
      </w:pPr>
      <w:r>
        <w:rPr>
          <w:noProof/>
        </w:rPr>
        <w:t xml:space="preserve">Det yttersta målet är att se till att bestånden kommer upp och ligger kvar på nivåer som möjliggör maximal hållbar avkastning (MSY). Detta mål har uttryckligen införts i grundförordningen, i vilken det i artikel 2.2 fastställs att detta mål ”ska, där så är möjligt, ha uppnåtts senast 2015 och [...] senast 2020 för alla arter”. Detta återspeglar unionens åtagande till följd av slutsatserna från världstoppmötet om hållbar utveckling i Johannesburg 2002 och den därmed sammanhängande genomförandeplanen. Med tanke på att fristen 2020 ligger nära i tiden och den mycket betydande minskning av fiskeansträngningen som skulle krävas är därför avsikten med bestämmelserna i den fleråriga planen för demersala bestånd i västra Medelhavet att uppnå en maximal hållbar avkastning (MSY) genom en successiv och stegvis anpassning senast 2020, där så är möjligt, och senast den 1 januari 2025. </w:t>
      </w:r>
    </w:p>
    <w:p>
      <w:pPr>
        <w:pBdr>
          <w:top w:val="nil"/>
          <w:left w:val="nil"/>
          <w:bottom w:val="nil"/>
          <w:right w:val="nil"/>
          <w:between w:val="nil"/>
          <w:bar w:val="nil"/>
        </w:pBdr>
        <w:spacing w:before="0" w:after="240"/>
        <w:rPr>
          <w:noProof/>
        </w:rPr>
      </w:pPr>
      <w:r>
        <w:rPr>
          <w:noProof/>
        </w:rPr>
        <w:lastRenderedPageBreak/>
        <w:t>Även om det är första gången som en fristående förordning föreslås för fiskemöjligheter avseende både Medelhavet och Svarta havet, är fastställandet av fiskemöjligheter  en del av den årliga förvaltningscykeln. Fiskemöjligheter har således även under tidigare år antagits för Svarta havet</w:t>
      </w:r>
      <w:r>
        <w:rPr>
          <w:rStyle w:val="FootnoteReference"/>
          <w:noProof/>
        </w:rPr>
        <w:footnoteReference w:id="3"/>
      </w:r>
      <w:r>
        <w:rPr>
          <w:noProof/>
        </w:rPr>
        <w:t xml:space="preserve"> och AKFM:s avtalsområde</w:t>
      </w:r>
      <w:r>
        <w:rPr>
          <w:rStyle w:val="FootnoteReference"/>
          <w:noProof/>
        </w:rPr>
        <w:footnoteReference w:id="4"/>
      </w:r>
      <w:r>
        <w:rPr>
          <w:noProof/>
        </w:rPr>
        <w:t xml:space="preserve">. För år 2020 måste fiskemöjligheter, när den fleråriga planen har antagits och trätt i kraft, även fastställas för demersala bestånd i västra Medelhavet.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Förenlighet med befintliga bestämmelser inom området</w:t>
      </w:r>
    </w:p>
    <w:p>
      <w:pPr>
        <w:pBdr>
          <w:top w:val="nil"/>
          <w:left w:val="nil"/>
          <w:bottom w:val="nil"/>
          <w:right w:val="nil"/>
          <w:between w:val="nil"/>
          <w:bar w:val="nil"/>
        </w:pBdr>
        <w:spacing w:before="0" w:after="240"/>
        <w:rPr>
          <w:noProof/>
        </w:rPr>
      </w:pPr>
      <w:r>
        <w:rPr>
          <w:noProof/>
        </w:rPr>
        <w:t>De föreslagna åtgärderna är utformade i enlighet med målen och reglerna för den gemensamma fiskeripolitiken.</w:t>
      </w:r>
    </w:p>
    <w:p>
      <w:pPr>
        <w:pStyle w:val="ManualHeading2"/>
        <w:rPr>
          <w:rFonts w:eastAsia="Arial Unicode MS"/>
          <w:noProof/>
        </w:rPr>
      </w:pPr>
      <w:r>
        <w:rPr>
          <w:noProof/>
          <w:u w:color="000000"/>
          <w:bdr w:val="nil"/>
        </w:rPr>
        <w:t>•</w:t>
      </w:r>
      <w:r>
        <w:rPr>
          <w:noProof/>
          <w:u w:color="000000"/>
          <w:bdr w:val="nil"/>
        </w:rPr>
        <w:tab/>
      </w:r>
      <w:r>
        <w:rPr>
          <w:noProof/>
        </w:rPr>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De föreslagna åtgärderna är förenliga med unionens politik för hållbar utveckling.</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u w:color="000000"/>
          <w:bdr w:val="nil"/>
        </w:rPr>
        <w:tab/>
        <w:t>Rättslig grund</w:t>
      </w:r>
    </w:p>
    <w:p>
      <w:pPr>
        <w:pBdr>
          <w:top w:val="nil"/>
          <w:left w:val="nil"/>
          <w:bottom w:val="nil"/>
          <w:right w:val="nil"/>
          <w:between w:val="nil"/>
          <w:bar w:val="nil"/>
        </w:pBdr>
        <w:spacing w:before="0" w:after="240"/>
        <w:rPr>
          <w:noProof/>
        </w:rPr>
      </w:pPr>
      <w:r>
        <w:rPr>
          <w:noProof/>
        </w:rPr>
        <w:t>Den rättsliga grunden för detta förslag är artikel 43.3 i fördraget om Europeiska unionens funktionssätt (EUF-fördraget).</w:t>
      </w:r>
    </w:p>
    <w:p>
      <w:pPr>
        <w:pStyle w:val="ManualHeading2"/>
        <w:rPr>
          <w:rFonts w:eastAsia="Arial Unicode MS"/>
          <w:noProof/>
          <w:u w:color="000000"/>
          <w:bdr w:val="nil"/>
        </w:rPr>
      </w:pPr>
      <w:r>
        <w:rPr>
          <w:noProof/>
          <w:u w:color="000000"/>
          <w:bdr w:val="nil"/>
        </w:rPr>
        <w:t>•</w:t>
      </w:r>
      <w:r>
        <w:rPr>
          <w:noProof/>
          <w:u w:color="000000"/>
          <w:bdr w:val="nil"/>
        </w:rPr>
        <w:tab/>
        <w:t xml:space="preserve">Subsidiaritetsprincipen (för icke-exklusiv befogenhet) </w:t>
      </w:r>
    </w:p>
    <w:p>
      <w:pPr>
        <w:pBdr>
          <w:top w:val="nil"/>
          <w:left w:val="nil"/>
          <w:bottom w:val="nil"/>
          <w:right w:val="nil"/>
          <w:between w:val="nil"/>
          <w:bar w:val="nil"/>
        </w:pBdr>
        <w:spacing w:before="0" w:after="240"/>
        <w:rPr>
          <w:rFonts w:eastAsia="Arial Unicode MS"/>
          <w:noProof/>
        </w:rPr>
      </w:pPr>
      <w:r>
        <w:rPr>
          <w:noProof/>
        </w:rPr>
        <w:t>Förslaget omfattas av unionens exklusiva befogenhet i enlighet med artikel 3.1 d i EUF-fördraget. Subsidiaritetsprincipen är därför inte tillämplig.</w:t>
      </w:r>
    </w:p>
    <w:p>
      <w:pPr>
        <w:pStyle w:val="ManualHeading2"/>
        <w:rPr>
          <w:rFonts w:eastAsia="Arial Unicode MS"/>
          <w:noProof/>
          <w:u w:color="000000"/>
          <w:bdr w:val="nil"/>
        </w:rPr>
      </w:pPr>
      <w:r>
        <w:rPr>
          <w:noProof/>
          <w:u w:color="000000"/>
          <w:bdr w:val="nil"/>
        </w:rPr>
        <w:t>•</w:t>
      </w:r>
      <w:r>
        <w:rPr>
          <w:noProof/>
          <w:u w:color="000000"/>
          <w:bdr w:val="nil"/>
        </w:rPr>
        <w:tab/>
        <w:t>Proportionalitetsprincipen</w:t>
      </w:r>
    </w:p>
    <w:p>
      <w:pPr>
        <w:pBdr>
          <w:top w:val="nil"/>
          <w:left w:val="nil"/>
          <w:bottom w:val="nil"/>
          <w:right w:val="nil"/>
          <w:between w:val="nil"/>
          <w:bar w:val="nil"/>
        </w:pBdr>
        <w:spacing w:before="0" w:after="240"/>
        <w:rPr>
          <w:noProof/>
        </w:rPr>
      </w:pPr>
      <w:r>
        <w:rPr>
          <w:noProof/>
        </w:rPr>
        <w:t>Förslaget är förenligt med proportionalitetsprincipen av följande skäl: Den gemensamma fiskeripolitiken är en gemensam politik. Enligt artikel 43.3 i fördraget om Europeiska unionens funktionssätt ska rådet besluta om åtgärder om fastställande och fördelning av fiskemöjligheter.</w:t>
      </w:r>
    </w:p>
    <w:p>
      <w:pPr>
        <w:pBdr>
          <w:top w:val="nil"/>
          <w:left w:val="nil"/>
          <w:bottom w:val="nil"/>
          <w:right w:val="nil"/>
          <w:between w:val="nil"/>
          <w:bar w:val="nil"/>
        </w:pBdr>
        <w:spacing w:before="0" w:after="240"/>
        <w:rPr>
          <w:noProof/>
        </w:rPr>
      </w:pPr>
      <w:r>
        <w:rPr>
          <w:noProof/>
        </w:rPr>
        <w:t>Genom föreliggande förslag till rådets förordning fördelas fiskemöjligheterna mellan medlemsstaterna. Enligt artiklarna 16 och 17 i grundförordningen får medlemsstaterna själva bestämma hur de vill fördela fiskemöjligheterna mellan fartyg som för deras flagg. Medlemsstaterna har därmed stora möjligheter att själva besluta vilka sociala och ekonomiska modeller de vill använda för att utnyttja de tilldelade fiskemöjligheterna.</w:t>
      </w:r>
    </w:p>
    <w:p>
      <w:pPr>
        <w:pBdr>
          <w:top w:val="nil"/>
          <w:left w:val="nil"/>
          <w:bottom w:val="nil"/>
          <w:right w:val="nil"/>
          <w:between w:val="nil"/>
          <w:bar w:val="nil"/>
        </w:pBdr>
        <w:spacing w:before="0" w:after="240"/>
        <w:rPr>
          <w:rFonts w:eastAsia="Arial Unicode MS"/>
          <w:noProof/>
        </w:rPr>
      </w:pPr>
      <w:r>
        <w:rPr>
          <w:noProof/>
        </w:rPr>
        <w:t>Förslaget får inga nya ekonomiska följder för medlemsstaterna.</w:t>
      </w:r>
    </w:p>
    <w:p>
      <w:pPr>
        <w:pStyle w:val="ManualHeading2"/>
        <w:rPr>
          <w:rFonts w:eastAsia="Arial Unicode MS"/>
          <w:noProof/>
          <w:u w:color="000000"/>
          <w:bdr w:val="nil"/>
        </w:rPr>
      </w:pPr>
      <w:r>
        <w:rPr>
          <w:noProof/>
          <w:u w:color="000000"/>
          <w:bdr w:val="nil"/>
        </w:rPr>
        <w:t>•</w:t>
      </w:r>
      <w:r>
        <w:rPr>
          <w:noProof/>
          <w:u w:color="000000"/>
          <w:bdr w:val="nil"/>
        </w:rPr>
        <w:tab/>
        <w:t>Val av instrument</w:t>
      </w:r>
    </w:p>
    <w:p>
      <w:pPr>
        <w:pBdr>
          <w:top w:val="nil"/>
          <w:left w:val="nil"/>
          <w:bottom w:val="nil"/>
          <w:right w:val="nil"/>
          <w:between w:val="nil"/>
          <w:bar w:val="nil"/>
        </w:pBdr>
        <w:spacing w:before="0" w:after="240"/>
        <w:rPr>
          <w:noProof/>
        </w:rPr>
      </w:pPr>
      <w:r>
        <w:rPr>
          <w:noProof/>
        </w:rPr>
        <w:t>Det föreslagna instrumentet är en rådsförordning.</w:t>
      </w:r>
    </w:p>
    <w:p>
      <w:pPr>
        <w:pBdr>
          <w:top w:val="nil"/>
          <w:left w:val="nil"/>
          <w:bottom w:val="nil"/>
          <w:right w:val="nil"/>
          <w:between w:val="nil"/>
          <w:bar w:val="nil"/>
        </w:pBdr>
        <w:spacing w:before="0" w:after="240"/>
        <w:rPr>
          <w:rFonts w:eastAsia="Arial Unicode MS"/>
          <w:noProof/>
        </w:rPr>
      </w:pPr>
      <w:r>
        <w:rPr>
          <w:noProof/>
        </w:rPr>
        <w:t>Detta är ett förslag avseende förvaltningen av fisket på grundval av artikel 43.3 i EUF-fördraget och i enlighet med artikel 16 i förordning (EU) nr 1380/2013.</w:t>
      </w:r>
    </w:p>
    <w:p>
      <w:pPr>
        <w:pStyle w:val="ManualHeading1"/>
        <w:rPr>
          <w:noProof/>
        </w:rPr>
      </w:pPr>
      <w:r>
        <w:rPr>
          <w:noProof/>
        </w:rPr>
        <w:lastRenderedPageBreak/>
        <w:t>3.</w:t>
      </w:r>
      <w:r>
        <w:rPr>
          <w:noProof/>
        </w:rPr>
        <w:tab/>
        <w:t>RESULTAT AV EFTERHANDSUTVÄRDERINGAR, SAMRÅD MED BERÖRDA PARTER OCH KONSEKVENSBEDÖMNINGAR</w:t>
      </w:r>
    </w:p>
    <w:p>
      <w:pPr>
        <w:pStyle w:val="ManualHeading2"/>
        <w:rPr>
          <w:rFonts w:eastAsia="Arial Unicode MS"/>
          <w:noProof/>
          <w:u w:color="000000"/>
          <w:bdr w:val="nil"/>
        </w:rPr>
      </w:pPr>
      <w:r>
        <w:rPr>
          <w:noProof/>
          <w:u w:color="000000"/>
          <w:bdr w:val="nil"/>
        </w:rPr>
        <w:t>•</w:t>
      </w:r>
      <w:r>
        <w:rPr>
          <w:noProof/>
          <w:u w:color="000000"/>
          <w:bdr w:val="nil"/>
        </w:rPr>
        <w:tab/>
        <w:t>Efterhandsutvärderingar/kontroller av ändamålsenligheten med befintlig lagstiftning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u w:color="000000"/>
          <w:bdr w:val="nil"/>
        </w:rPr>
        <w:t>•</w:t>
      </w:r>
      <w:r>
        <w:rPr>
          <w:noProof/>
          <w:u w:color="000000"/>
          <w:bdr w:val="nil"/>
        </w:rPr>
        <w:tab/>
        <w:t>Samråd med berörda parter</w:t>
      </w:r>
    </w:p>
    <w:p>
      <w:pPr>
        <w:pBdr>
          <w:top w:val="nil"/>
          <w:left w:val="nil"/>
          <w:bottom w:val="nil"/>
          <w:right w:val="nil"/>
          <w:between w:val="nil"/>
          <w:bar w:val="nil"/>
        </w:pBdr>
        <w:spacing w:before="0" w:after="240"/>
        <w:rPr>
          <w:rFonts w:eastAsia="Arial Unicode MS"/>
          <w:noProof/>
        </w:rPr>
      </w:pPr>
      <w:r>
        <w:rPr>
          <w:noProof/>
        </w:rPr>
        <w:t>Samrådet med berörda parter genomfördes på grundval av meddelandet från kommissionen till Europaparlamentet och rådet om det nuvarande läget i den gemensamma fiskeripolitiken och samrådet om fiskemöjligheterna för 2020</w:t>
      </w:r>
      <w:r>
        <w:rPr>
          <w:rStyle w:val="FootnoteReference"/>
          <w:noProof/>
        </w:rPr>
        <w:footnoteReference w:id="5"/>
      </w:r>
      <w:r>
        <w:rPr>
          <w:noProof/>
        </w:rPr>
        <w:t>.</w:t>
      </w:r>
    </w:p>
    <w:p>
      <w:pPr>
        <w:pStyle w:val="ManualHeading2"/>
        <w:rPr>
          <w:rFonts w:eastAsia="Arial Unicode MS"/>
          <w:noProof/>
          <w:u w:color="000000"/>
          <w:bdr w:val="nil"/>
        </w:rPr>
      </w:pPr>
      <w:r>
        <w:rPr>
          <w:noProof/>
          <w:u w:color="000000"/>
          <w:bdr w:val="nil"/>
        </w:rPr>
        <w:t>•</w:t>
      </w:r>
      <w:r>
        <w:rPr>
          <w:noProof/>
          <w:u w:color="000000"/>
          <w:bdr w:val="nil"/>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Bedömningen av beståndens tillstånd i Medelhavet och Svarta havet bygger på det senaste arbetet i vetenskapliga, tekniska och ekonomiska kommittén för fiskerinäringen (STECF), AKFM:s vetenskapliga rådgivande kommitté för fiskerinäringen samt AKFM:s arbetsgrupp för Svarta havet.</w:t>
      </w:r>
    </w:p>
    <w:p>
      <w:pPr>
        <w:pStyle w:val="ManualHeading2"/>
        <w:rPr>
          <w:rFonts w:eastAsia="Arial Unicode MS"/>
          <w:noProof/>
          <w:u w:color="000000"/>
          <w:bdr w:val="nil"/>
        </w:rPr>
      </w:pPr>
      <w:r>
        <w:rPr>
          <w:noProof/>
          <w:u w:color="000000"/>
          <w:bdr w:val="nil"/>
        </w:rPr>
        <w:t>•</w:t>
      </w:r>
      <w:r>
        <w:rPr>
          <w:noProof/>
          <w:u w:color="000000"/>
          <w:bdr w:val="nil"/>
        </w:rPr>
        <w:tab/>
        <w:t>Konsekvensbedömning</w:t>
      </w:r>
    </w:p>
    <w:p>
      <w:pPr>
        <w:pBdr>
          <w:top w:val="nil"/>
          <w:left w:val="nil"/>
          <w:bottom w:val="nil"/>
          <w:right w:val="nil"/>
          <w:between w:val="nil"/>
          <w:bar w:val="nil"/>
        </w:pBdr>
        <w:spacing w:before="0" w:after="240"/>
        <w:rPr>
          <w:noProof/>
        </w:rPr>
      </w:pPr>
      <w:r>
        <w:rPr>
          <w:noProof/>
        </w:rPr>
        <w:t>Tillämpningsområdet för förordningen om fiskemöjligheter begränsas av artikel 43.3 i EUF-fördraget.</w:t>
      </w:r>
    </w:p>
    <w:p>
      <w:pPr>
        <w:pBdr>
          <w:top w:val="nil"/>
          <w:left w:val="nil"/>
          <w:bottom w:val="nil"/>
          <w:right w:val="nil"/>
          <w:between w:val="nil"/>
          <w:bar w:val="nil"/>
        </w:pBdr>
        <w:spacing w:before="0" w:after="240"/>
        <w:rPr>
          <w:noProof/>
        </w:rPr>
      </w:pPr>
      <w:r>
        <w:rPr>
          <w:noProof/>
        </w:rPr>
        <w:t>Kommissionens förslag till grundförordningen om den gemensamma fiskeripolitiken och till flerårig plan för demersala fisken i västra Medelhavet utarbetades på vederbörligt sätt på grundval av konsekvensbedömningar</w:t>
      </w:r>
      <w:r>
        <w:rPr>
          <w:rStyle w:val="FootnoteReference"/>
          <w:noProof/>
        </w:rPr>
        <w:footnoteReference w:id="6"/>
      </w:r>
      <w:r>
        <w:rPr>
          <w:noProof/>
        </w:rPr>
        <w:t>. Ett av de viktigaste instrumenten i grundförordningen för att uppnå de mål som anges i artikel 2 i den förordningen är fastställandet av fiskemöjligheter. Beträffande den fleråriga planen infördes en fiskeansträngningsordning för att åtgärda problemet med överfiske i västra Medelhavsfisket.</w:t>
      </w:r>
    </w:p>
    <w:p>
      <w:pPr>
        <w:pBdr>
          <w:top w:val="nil"/>
          <w:left w:val="nil"/>
          <w:bottom w:val="nil"/>
          <w:right w:val="nil"/>
          <w:between w:val="nil"/>
          <w:bar w:val="nil"/>
        </w:pBdr>
        <w:spacing w:before="0" w:after="240"/>
        <w:rPr>
          <w:noProof/>
        </w:rPr>
      </w:pPr>
      <w:r>
        <w:rPr>
          <w:noProof/>
        </w:rPr>
        <w:t>Beträffande de fiskemöjligheter som AKFM har fastställt både i Medelhavet och Svarta havet genomför detta förslag i huvudsak internationellt överenskomna åtgärder. Alla faktorer som är relevanta för bedömningen av fiskemöjligheternas eventuella konsekvenser behandlas i förberedelse- och genomförandefaserna för de internationella förhandlingar där unionens fiskemöjligheter fastställs i samförstånd med tredjeparter.</w:t>
      </w:r>
    </w:p>
    <w:p>
      <w:pPr>
        <w:pBdr>
          <w:top w:val="nil"/>
          <w:left w:val="nil"/>
          <w:bottom w:val="nil"/>
          <w:right w:val="nil"/>
          <w:between w:val="nil"/>
          <w:bar w:val="nil"/>
        </w:pBdr>
        <w:spacing w:before="0" w:after="240"/>
        <w:rPr>
          <w:noProof/>
        </w:rPr>
      </w:pPr>
      <w:r>
        <w:rPr>
          <w:noProof/>
        </w:rPr>
        <w:t xml:space="preserve">Förslaget är inte bara en reaktion på överhängande problem utan avspeglar också en långsiktigare strategi för att gradvis anpassa fiskenivåerna så att de blir hållbara på lång sikt. </w:t>
      </w:r>
    </w:p>
    <w:p>
      <w:pPr>
        <w:pStyle w:val="ManualHeading2"/>
        <w:rPr>
          <w:rFonts w:eastAsia="Arial Unicode MS"/>
          <w:noProof/>
          <w:u w:color="000000"/>
          <w:bdr w:val="nil"/>
        </w:rPr>
      </w:pPr>
      <w:r>
        <w:rPr>
          <w:noProof/>
          <w:u w:color="000000"/>
          <w:bdr w:val="nil"/>
        </w:rPr>
        <w:t>•</w:t>
      </w:r>
      <w:r>
        <w:rPr>
          <w:noProof/>
          <w:u w:color="000000"/>
          <w:bdr w:val="nil"/>
        </w:rPr>
        <w:tab/>
        <w:t>Lagstiftningens ändamålsenlighet och förenkling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u w:color="000000"/>
          <w:bdr w:val="nil"/>
        </w:rPr>
        <w:t>•</w:t>
      </w:r>
      <w:r>
        <w:rPr>
          <w:noProof/>
          <w:u w:color="000000"/>
          <w:bdr w:val="nil"/>
        </w:rPr>
        <w:tab/>
        <w:t>Grundläggande rättigheter</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1"/>
        <w:rPr>
          <w:noProof/>
        </w:rPr>
      </w:pPr>
      <w:r>
        <w:rPr>
          <w:noProof/>
        </w:rPr>
        <w:lastRenderedPageBreak/>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Förslaget påverkar inte unionens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u w:color="000000"/>
          <w:bdr w:val="nil"/>
        </w:rPr>
        <w:t>•</w:t>
      </w:r>
      <w:r>
        <w:rPr>
          <w:noProof/>
          <w:u w:color="000000"/>
          <w:bdr w:val="nil"/>
        </w:rPr>
        <w:tab/>
        <w:t>Genomförandeplaner samt åtgärder för övervakning, utvärdering och rapportering</w:t>
      </w:r>
    </w:p>
    <w:p>
      <w:pPr>
        <w:pBdr>
          <w:top w:val="nil"/>
          <w:left w:val="nil"/>
          <w:bottom w:val="nil"/>
          <w:right w:val="nil"/>
          <w:between w:val="nil"/>
          <w:bar w:val="nil"/>
        </w:pBdr>
        <w:spacing w:before="0" w:after="240"/>
        <w:rPr>
          <w:noProof/>
        </w:rPr>
      </w:pPr>
      <w:r>
        <w:rPr>
          <w:noProof/>
        </w:rPr>
        <w:t>Detta förslag kommer att genomföras i enlighet med den gemensamma fiskeripolitikens befintliga regler. Övervakning och efterlevnad kommer att säkerställas i enlighet med rådets förordning (EG) nr 1224/2009.</w:t>
      </w:r>
    </w:p>
    <w:p>
      <w:pPr>
        <w:pStyle w:val="ManualHeading2"/>
        <w:rPr>
          <w:rFonts w:eastAsia="Arial Unicode MS"/>
          <w:noProof/>
          <w:u w:color="000000"/>
          <w:bdr w:val="nil"/>
        </w:rPr>
      </w:pPr>
      <w:r>
        <w:rPr>
          <w:noProof/>
          <w:u w:color="000000"/>
          <w:bdr w:val="nil"/>
        </w:rPr>
        <w:t>•</w:t>
      </w:r>
      <w:r>
        <w:rPr>
          <w:noProof/>
          <w:u w:color="000000"/>
          <w:bdr w:val="nil"/>
        </w:rPr>
        <w:tab/>
        <w:t>Ingående redogörelse för de specifika bestämmelserna i förslaget</w:t>
      </w:r>
    </w:p>
    <w:p>
      <w:pPr>
        <w:pBdr>
          <w:top w:val="nil"/>
          <w:left w:val="nil"/>
          <w:bottom w:val="nil"/>
          <w:right w:val="nil"/>
          <w:between w:val="nil"/>
          <w:bar w:val="nil"/>
        </w:pBdr>
        <w:spacing w:before="0" w:after="240"/>
        <w:rPr>
          <w:noProof/>
        </w:rPr>
      </w:pPr>
      <w:r>
        <w:rPr>
          <w:noProof/>
        </w:rPr>
        <w:t>Genom förslaget fastställs medlemsstaternas fiskemöjligheter för 2020 avseende vissa bestånd och grupper av bestånd i Medelhavet och Svarta havet. Fiskemöjligheterna innefattar särskilt följande:</w:t>
      </w:r>
    </w:p>
    <w:p>
      <w:pPr>
        <w:pStyle w:val="ManualNumPar1"/>
        <w:rPr>
          <w:noProof/>
        </w:rPr>
      </w:pPr>
      <w:r>
        <w:rPr>
          <w:noProof/>
        </w:rPr>
        <w:t>1.</w:t>
      </w:r>
      <w:r>
        <w:rPr>
          <w:noProof/>
        </w:rPr>
        <w:tab/>
        <w:t xml:space="preserve">En fiskeansträngningsordning för trålfartyg som nyttjar demersala bestånd i västra Medelhavet. Den nya fleråriga planen för demersala fisken i västra Medelhavet trädde i kraft den 16 juli 2019. Enligt bestämmelserna i denna plan ska rådet varje år fastställa den högsta tillåtna fiskeansträngningen för varje ansträngningsgrupp per medlemsstat och för de beståndsgrupper som anges i bilaga I till planen. För planens första tillämpningsår ska den högsta tillåtna fiskeansträngningen minskas med 10 % jämfört med referensvärdet (fr.o.m. den 1 januari 2015 t.o.m. den 31 december 2017), beräknat av varje medlemsstat för varje ansträngningsgrupp eller geografiskt delområde. </w:t>
      </w:r>
    </w:p>
    <w:p>
      <w:pPr>
        <w:pStyle w:val="ManualNumPar1"/>
        <w:rPr>
          <w:noProof/>
        </w:rPr>
      </w:pPr>
      <w:r>
        <w:rPr>
          <w:noProof/>
        </w:rPr>
        <w:t xml:space="preserve">2. </w:t>
      </w:r>
      <w:r>
        <w:rPr>
          <w:noProof/>
        </w:rPr>
        <w:tab/>
        <w:t>Åtgärder som antagits av AKFM och som är tillämpliga i Medelhavet. Dessa åtgärder innefattar bl.a.: En fredningstid för europeisk ål i hela Medelhavet (de geografiska delområdena 1–27) och fångstbegränsningar och begränsningar av fiskeansträngningen för små pelagiska bestånd i Adriatiska havet (de geografiska delområdena 17 och 18). Dessa åtgärder antogs vid AKFM:s årsmöte 2018. Dessutom omfattar förslaget begränsningar av fiskeansträngningen för demersala bestånd i Adriatiska havet (de geografiska delområdena 17 och 18) som ska antas vid AKFM:s årsmöte 2019 den 4–8 november 2019. Då sådana åtgärder ännu inte har vidtagits eftersom AKFM:s årsmöte ännu inte har ägt rum, markeras de som ”pm” (pro memoria) i detta förslag. De kommer att aktualiseras när AKFM har antagit dem.</w:t>
      </w:r>
    </w:p>
    <w:p>
      <w:pPr>
        <w:pStyle w:val="ManualNumPar1"/>
        <w:rPr>
          <w:noProof/>
        </w:rPr>
      </w:pPr>
      <w:r>
        <w:rPr>
          <w:noProof/>
        </w:rPr>
        <w:t xml:space="preserve">3. </w:t>
      </w:r>
      <w:r>
        <w:rPr>
          <w:noProof/>
        </w:rPr>
        <w:tab/>
        <w:t>Fiskemöjligheter i Svarta havet. De innefattar följande: a) En autonom kvot för skarpsill som bygger på vetenskapliga utlåtanden enligt vilka det är nödvändigt att bibehålla den nuvarande fiskedödligheten för att säkerställa beståndets hållbarhet. b) Den totala tillåtna fångstmängden (TAC) och kvottilldelningen för piggvar inom ramen för en ny flerårig förvaltningsplan för fisket efter piggvar som ska antas vid AKFM:s årsmöte 2019. TAC:erna och kvoterna för piggvar anges som ” pm” i förslaget, i väntan på att antas av AKFM.</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2019/0211 (NLE)</w:t>
      </w:r>
    </w:p>
    <w:p>
      <w:pPr>
        <w:pStyle w:val="Statut"/>
        <w:rPr>
          <w:noProof/>
        </w:rPr>
      </w:pPr>
      <w:r>
        <w:rPr>
          <w:noProof/>
        </w:rPr>
        <w:t>Förslag till</w:t>
      </w:r>
    </w:p>
    <w:p>
      <w:pPr>
        <w:pStyle w:val="Typedudocument"/>
        <w:rPr>
          <w:noProof/>
        </w:rPr>
      </w:pPr>
      <w:r>
        <w:rPr>
          <w:noProof/>
        </w:rPr>
        <w:t>RÅDETS FÖRORDNING</w:t>
      </w:r>
    </w:p>
    <w:p>
      <w:pPr>
        <w:pStyle w:val="Titreobjet"/>
        <w:rPr>
          <w:noProof/>
        </w:rPr>
      </w:pPr>
      <w:r>
        <w:rPr>
          <w:noProof/>
        </w:rPr>
        <w:t>om fastställande för 2020 av fiskemöjligheterna för vissa fiskbestånd och grupper av fiskbestånd i Medelhavet och Svarta havet</w:t>
      </w:r>
    </w:p>
    <w:p>
      <w:pPr>
        <w:pStyle w:val="Institutionquiagit"/>
        <w:rPr>
          <w:noProof/>
        </w:rPr>
      </w:pPr>
      <w:r>
        <w:rPr>
          <w:noProof/>
        </w:rPr>
        <w:t>EUROPEISKA UNIONENS RÅD HAR ANTAGIT DENNA FÖRORDNING</w:t>
      </w:r>
    </w:p>
    <w:p>
      <w:pPr>
        <w:rPr>
          <w:noProof/>
        </w:rPr>
      </w:pPr>
      <w:r>
        <w:rPr>
          <w:noProof/>
        </w:rPr>
        <w:t>med beaktande av fördraget om Europeiska unionens funktionssätt, särskilt artikel 43.3,</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I artikel 43.3 i EUF-fördraget föreskrivs att rådet på förslag av kommissionen ska besluta om åtgärder om fastställande och fördelning av fiskerimöjligheter.</w:t>
      </w:r>
    </w:p>
    <w:p>
      <w:pPr>
        <w:pStyle w:val="ManualConsidrant"/>
        <w:rPr>
          <w:noProof/>
        </w:rPr>
      </w:pPr>
      <w:r>
        <w:t>(2)</w:t>
      </w:r>
      <w:r>
        <w:tab/>
      </w:r>
      <w:r>
        <w:rPr>
          <w:noProof/>
        </w:rPr>
        <w:t>Enligt Europaparlamentets och rådets förordning (EU) nr 1380/2013</w:t>
      </w:r>
      <w:r>
        <w:rPr>
          <w:rStyle w:val="FootnoteReference"/>
          <w:noProof/>
        </w:rPr>
        <w:footnoteReference w:id="7"/>
      </w:r>
      <w:r>
        <w:rPr>
          <w:noProof/>
        </w:rPr>
        <w:t xml:space="preserve"> måste bevarandeåtgärder antas med beaktande av tillgänglig vetenskaplig, teknisk och ekonomisk rådgivning, inbegripet i förekommande fall, de rapporter som utarbetats av vetenskapliga, tekniska och ekonomiska kommittén för fiskerinäringen (STECF).</w:t>
      </w:r>
    </w:p>
    <w:p>
      <w:pPr>
        <w:pStyle w:val="ManualConsidrant"/>
        <w:rPr>
          <w:noProof/>
        </w:rPr>
      </w:pPr>
      <w:r>
        <w:t>(3)</w:t>
      </w:r>
      <w:r>
        <w:tab/>
      </w:r>
      <w:r>
        <w:rPr>
          <w:noProof/>
        </w:rPr>
        <w:t>Det åligger rådet att besluta om åtgärder om fastställande och fördelning av fiskemöjligheter, inbegripet vissa villkor som är funktionellt knutna till dessa, i förekommande fall. Enligt artikel 16.4 i förordning (EU) nr 1380/2013 fastställs fiskemöjligheterna i överensstämmelse med de mål för den gemensamma fiskeripolitiken som fastställs i artikel 2.2 i den förordningen. Enligt artikel 16.1 i förordning (EU) nr 1380/2013 tilldelas fiskemöjligheterna medlemsstaterna på ett sätt som tillförsäkrar relativ stabilitet i fisket för var och en av medlemsstaterna för vart och ett av bestånden eller fiskena.</w:t>
      </w:r>
    </w:p>
    <w:p>
      <w:pPr>
        <w:pStyle w:val="ManualConsidrant"/>
        <w:rPr>
          <w:noProof/>
        </w:rPr>
      </w:pPr>
      <w:r>
        <w:t>(4)</w:t>
      </w:r>
      <w:r>
        <w:tab/>
      </w:r>
      <w:r>
        <w:rPr>
          <w:noProof/>
        </w:rPr>
        <w:t>Enligt artikel 16.4 i förordning (EU) nr 1380/2013 ska fiskemöjligheterna för bestånd som omfattas av specifika fleråriga planer fastställas i enlighet med reglerna i dessa planer.</w:t>
      </w:r>
    </w:p>
    <w:p>
      <w:pPr>
        <w:pStyle w:val="ManualConsidrant"/>
        <w:rPr>
          <w:noProof/>
        </w:rPr>
      </w:pPr>
      <w:r>
        <w:t>(5)</w:t>
      </w:r>
      <w:r>
        <w:tab/>
      </w:r>
      <w:r>
        <w:rPr>
          <w:noProof/>
        </w:rPr>
        <w:t>Den fleråriga planen för de fisken som nyttjar demersala bestånd i västra Medelhavet har upprättats genom Europaparlamentets och rådets förordning (EU) nr 2019/1022</w:t>
      </w:r>
      <w:r>
        <w:rPr>
          <w:rStyle w:val="FootnoteReference"/>
          <w:noProof/>
        </w:rPr>
        <w:footnoteReference w:id="8"/>
      </w:r>
      <w:r>
        <w:rPr>
          <w:noProof/>
        </w:rPr>
        <w:t xml:space="preserve"> och den trädde i kraft den 16 juli 2019. I enlighet med artikel 4.1 i den förordningen bör fiskemöjligheterna för bestånd som förtecknas i artikel 1 i den förordningen fastställas för att uppnå maximal hållbar avkastning (MSY) genom en successiv och stegvis anpassning senast 2020 omså är möjligt, dock senast den 1 januari 2025. Fiskemöjligheterna bör uttryckas som högsta tillåtna fiskeansträngning och fastställas i enlighet med den fiskeansträngningsordning som fastställs i artikel 7 i förordning (EU) </w:t>
      </w:r>
      <w:r>
        <w:rPr>
          <w:noProof/>
        </w:rPr>
        <w:lastRenderedPageBreak/>
        <w:t>2019/1022. För 2020 bör den högsta tillåtna fiskeansträngningen därför minskas med 10 % jämfört med det referensvärde som fastställs i enlighet med artikel 7.4 i den förordningen.</w:t>
      </w:r>
    </w:p>
    <w:p>
      <w:pPr>
        <w:pStyle w:val="ManualConsidrant"/>
        <w:rPr>
          <w:noProof/>
        </w:rPr>
      </w:pPr>
      <w:r>
        <w:t>(6)</w:t>
      </w:r>
      <w:r>
        <w:tab/>
      </w:r>
      <w:r>
        <w:rPr>
          <w:noProof/>
        </w:rPr>
        <w:t>Vid sitt 42:a årsmöte, 2018, antog Allmänna kommissionen för fiske i Medelhavet (AKFM) en rekommendation (GFCM/42/2018/1) om fastställande av förvaltningsåtgärder för ål (</w:t>
      </w:r>
      <w:r>
        <w:rPr>
          <w:i/>
          <w:noProof/>
        </w:rPr>
        <w:t>Anguilla anguilla L.</w:t>
      </w:r>
      <w:r>
        <w:rPr>
          <w:noProof/>
        </w:rPr>
        <w:t>) i Medelhavet (AKFM:s geografiska delområden 1–27). Dessa åtgärder omfattar också en årlig tre månader lång sammanhängande fredningstid som ska fastställas av varje medlemsstat i enlighet med bevarandemålen i förordning (EG) nr 1100/2007</w:t>
      </w:r>
      <w:r>
        <w:rPr>
          <w:rStyle w:val="FootnoteReference"/>
          <w:noProof/>
        </w:rPr>
        <w:footnoteReference w:id="9"/>
      </w:r>
      <w:r>
        <w:rPr>
          <w:noProof/>
        </w:rPr>
        <w:t>, de nationella förvaltningsplanerna för ål och ålens tidsmässiga vandringsmönster i medlemsstaten. Fredningstiden ska tillämpas i alla marina vatten i Medelhavet och i bräckt vatten, t.ex. flodmynningar, kustlaguner och vatten i övergångszoner, i enlighet med rekommendationen. Denna åtgärd bör genomföras i unionslagstiftningen.</w:t>
      </w:r>
    </w:p>
    <w:p>
      <w:pPr>
        <w:pStyle w:val="ManualConsidrant"/>
        <w:rPr>
          <w:noProof/>
        </w:rPr>
      </w:pPr>
      <w:r>
        <w:t>(7)</w:t>
      </w:r>
      <w:r>
        <w:tab/>
      </w:r>
      <w:r>
        <w:rPr>
          <w:noProof/>
        </w:rPr>
        <w:t xml:space="preserve">Vid sitt 42:a årsmöte, 2018, antog AKFM även rekommendation GFCM/42/2018/8, där fångstbegränsningar och begränsningar av fiskeansträngningen fastställdes för små pelagiska bestånd för åren 2019, 2020 och 2021 i AKFM:s geografiska delområden 17 och 18 (Adriatiska havet). Dessa åtgärder bör genomföras i unionsrätten. De högsta fångstbegränsningar gäller endast för ett år och har ingen inverkan på eventuella andra framtida åtgärder eller ett eventuellt system för fördelning mellan medlemsstaterna. </w:t>
      </w:r>
    </w:p>
    <w:p>
      <w:pPr>
        <w:pStyle w:val="ManualConsidrant"/>
        <w:rPr>
          <w:noProof/>
        </w:rPr>
      </w:pPr>
      <w:r>
        <w:t>(8)</w:t>
      </w:r>
      <w:r>
        <w:tab/>
      </w:r>
      <w:r>
        <w:rPr>
          <w:noProof/>
        </w:rPr>
        <w:t xml:space="preserve">Vid sitt 43:e årsmöte, 2019, antog AKFM rekommendation GFCM/43/2019/xx om fastställande av förvaltningsåtgärder för demersala bestånd i AKFM:s geografiska delområden 17 och 18 (Adriatiska havet), varigenom en fiskeansträngningsordning infördes för vissa demersala bestånd. Dessa åtgärder bör genomföras i unionsrätten. </w:t>
      </w:r>
    </w:p>
    <w:p>
      <w:pPr>
        <w:ind w:left="709"/>
        <w:rPr>
          <w:noProof/>
        </w:rPr>
      </w:pPr>
      <w:r>
        <w:rPr>
          <w:noProof/>
        </w:rPr>
        <w:t>[</w:t>
      </w:r>
      <w:r>
        <w:rPr>
          <w:i/>
          <w:noProof/>
        </w:rPr>
        <w:t>Skälet och de relevanta artiklarna och bilagorna kommer att uppdateras efter årsmötet</w:t>
      </w:r>
      <w:r>
        <w:rPr>
          <w:noProof/>
        </w:rPr>
        <w:t>]</w:t>
      </w:r>
    </w:p>
    <w:p>
      <w:pPr>
        <w:pStyle w:val="ManualConsidrant"/>
        <w:rPr>
          <w:noProof/>
        </w:rPr>
      </w:pPr>
      <w:r>
        <w:t>(9)</w:t>
      </w:r>
      <w:r>
        <w:tab/>
      </w:r>
      <w:r>
        <w:rPr>
          <w:noProof/>
        </w:rPr>
        <w:t>Med beaktande av den slovenska flottans särdrag, och dess marginella inverkan på bestånden av små pelagiska och demersala bestånd, är det lämpligt att bevara de befintliga fiskemönstren och att säkerställa den slovenska flottans tillgång till en minsta mängd små pelagiska arter och en minsta ansträngningskvot för demersala bestånd.</w:t>
      </w:r>
    </w:p>
    <w:p>
      <w:pPr>
        <w:pStyle w:val="ManualConsidrant"/>
        <w:rPr>
          <w:noProof/>
        </w:rPr>
      </w:pPr>
      <w:r>
        <w:t>(10)</w:t>
      </w:r>
      <w:r>
        <w:tab/>
      </w:r>
      <w:r>
        <w:rPr>
          <w:noProof/>
        </w:rPr>
        <w:t xml:space="preserve">Vid sitt 43:e årsmöte, 2019, antog AKFM rekommendation GFCM/43/2019/xx om ändring av rekommendation GFCM/41/2017/4 om en flerårig förvaltningsplan för fisket efter piggvar i Svarta havet (AKFM:s geografiska delområde 29). Genom denna rekommendation införs en aktualiserad regional total tillåten fångstmängd (TAC) och ett kvotfördelningssystem för piggvar samt ytterligare bevarandeåtgärder för detta bestånd, främst en fredningstid på två månader och en begränsning av fiskedagarna till 180 dagar per år. Dessa åtgärder bör genomföras i unionsrätten. </w:t>
      </w:r>
    </w:p>
    <w:p>
      <w:pPr>
        <w:ind w:left="709"/>
        <w:rPr>
          <w:noProof/>
        </w:rPr>
      </w:pPr>
      <w:r>
        <w:rPr>
          <w:noProof/>
        </w:rPr>
        <w:t>[</w:t>
      </w:r>
      <w:r>
        <w:rPr>
          <w:i/>
          <w:noProof/>
        </w:rPr>
        <w:t>Skälet och de relevanta artiklarna och bilagorna kommer att uppdateras efter årsmötet</w:t>
      </w:r>
      <w:r>
        <w:rPr>
          <w:noProof/>
        </w:rPr>
        <w:t>]</w:t>
      </w:r>
    </w:p>
    <w:p>
      <w:pPr>
        <w:pStyle w:val="ManualConsidrant"/>
        <w:rPr>
          <w:noProof/>
        </w:rPr>
      </w:pPr>
      <w:r>
        <w:t>(11)</w:t>
      </w:r>
      <w:r>
        <w:tab/>
      </w:r>
      <w:r>
        <w:rPr>
          <w:noProof/>
        </w:rPr>
        <w:t xml:space="preserve">Enligt de vetenskapliga utlåtandena från AKFM är det viktigt att bevara den nuvarande fiskeridödlighetsnivån för att säkerställa fortsatt hållbarhet för beståndet av skarpsill i Svarta havet. Det är därför lämpligt att fortsätta att fastställa en autonom kvot för detta bestånd. </w:t>
      </w:r>
    </w:p>
    <w:p>
      <w:pPr>
        <w:pStyle w:val="ManualConsidrant"/>
        <w:rPr>
          <w:noProof/>
        </w:rPr>
      </w:pPr>
      <w:r>
        <w:lastRenderedPageBreak/>
        <w:t>(12)</w:t>
      </w:r>
      <w:r>
        <w:tab/>
      </w:r>
      <w:r>
        <w:rPr>
          <w:noProof/>
        </w:rPr>
        <w:t>Fiskemöjligheterna bör fastställas på grundval av tillgängliga vetenskapliga utlåtanden, med beaktande av biologiska och socioekonomiska aspekter samtidigt som de olika näringsgrenarna inom fisket garanteras en rättvis inbördes behandling, och mot bakgrund av de synpunkter som framförts under samråden med berörda parter.</w:t>
      </w:r>
    </w:p>
    <w:p>
      <w:pPr>
        <w:pStyle w:val="ManualConsidrant"/>
        <w:rPr>
          <w:noProof/>
        </w:rPr>
      </w:pPr>
      <w:r>
        <w:t>(13)</w:t>
      </w:r>
      <w:r>
        <w:tab/>
      </w:r>
      <w:r>
        <w:rPr>
          <w:noProof/>
        </w:rPr>
        <w:t>Genom rådets förordning (EG) nr 847/96</w:t>
      </w:r>
      <w:r>
        <w:rPr>
          <w:rStyle w:val="FootnoteReference"/>
          <w:noProof/>
        </w:rPr>
        <w:footnoteReference w:id="10"/>
      </w:r>
      <w:r>
        <w:rPr>
          <w:noProof/>
        </w:rPr>
        <w:t xml:space="preserve"> infördes ytterligare villkor för förvaltning av TAC:er med fördelning mellan åren, däribland, genom artiklarna 3 och 4 i den förordningen, bestämmelser om flexibilitet för försiktighets-TAC:er och analytiska TAC:er. Enligt artikel 2 i den förordningen ska rådet, när TAC:erna fastställs, bestämma för vilka bestånd artiklarna 3 och 4 i den förordningen inte ska tillämpas, särskilt på grundval av beståndens biologiska tillstånd. Mer nyligen infördes genom artikel 15.9 i förordning (EU) nr 1380/2013 flexibilitet mellan åren för alla bestånd som omfattas av landningsskyldigheten. För att motverka en alltför stor flexibilitet som skulle underminera principen om ett rationellt och ansvarsfullt utnyttjande av marina biologiska resurser, förhindra att målen för den gemensamma fiskeripolitiken uppnås och försämra beståndens biologiska tillstånd, bör det därför fastställas att artiklarna 3 och 4 i förordning (EG) nr 847/96 är tillämpliga på analytiska TAC:er endast i de fall då den flexibilitet mellan åren som föreskrivs i artikel 15.9 i förordning (EU) nr 1380/2013 inte utnyttjas.</w:t>
      </w:r>
    </w:p>
    <w:p>
      <w:pPr>
        <w:pStyle w:val="ManualConsidrant"/>
        <w:rPr>
          <w:noProof/>
        </w:rPr>
      </w:pPr>
      <w:r>
        <w:t>(14)</w:t>
      </w:r>
      <w:r>
        <w:tab/>
      </w:r>
      <w:r>
        <w:rPr>
          <w:noProof/>
        </w:rPr>
        <w:t>Det nyttjande av fiskemöjligheter för unionsfiskefartyg som fastställs i den här förordningen omfattas av rådets förordning (EG) nr 1224/2009</w:t>
      </w:r>
      <w:r>
        <w:rPr>
          <w:rStyle w:val="FootnoteReference"/>
          <w:noProof/>
        </w:rPr>
        <w:footnoteReference w:id="11"/>
      </w:r>
      <w:r>
        <w:rPr>
          <w:noProof/>
        </w:rPr>
        <w:t>, särskilt artiklarna 33 och 34 i den förordningen, vad gäller registrering av fångster och fiskeansträngning och meddelande av uppgifter om uttömda fiskemöjligheter. Det är därför nödvändigt att specificera de koder som medlemsstaterna ska använda då de översänder uppgifter till kommissionen om landningar av bestånd som omfattas av den här förordningen.</w:t>
      </w:r>
    </w:p>
    <w:p>
      <w:pPr>
        <w:pStyle w:val="ManualConsidrant"/>
        <w:rPr>
          <w:noProof/>
        </w:rPr>
      </w:pPr>
      <w:r>
        <w:t>(15)</w:t>
      </w:r>
      <w:r>
        <w:tab/>
      </w:r>
      <w:r>
        <w:rPr>
          <w:noProof/>
        </w:rPr>
        <w:t>För att undvika avbrott i fiskeverksamheten och säkerställa försörjningen för unionens fiskare bör denna förordning tillämpas från och med den 1 januari 2020. Av brådskande skäl bör denna förordning träda i kraft omedelbart efter det att den har offentliggjorts.</w:t>
      </w:r>
    </w:p>
    <w:p>
      <w:pPr>
        <w:pStyle w:val="ManualConsidrant"/>
        <w:rPr>
          <w:noProof/>
        </w:rPr>
      </w:pPr>
      <w:r>
        <w:t>(16)</w:t>
      </w:r>
      <w:r>
        <w:tab/>
      </w:r>
      <w:r>
        <w:rPr>
          <w:noProof/>
        </w:rPr>
        <w:t>Fiskemöjligheterna bör nyttjas i full överensstämmelse med tillämplig unionsrätt.</w:t>
      </w:r>
    </w:p>
    <w:p>
      <w:pPr>
        <w:pStyle w:val="Formuledadoption"/>
        <w:rPr>
          <w:noProof/>
        </w:rPr>
      </w:pPr>
      <w:r>
        <w:rPr>
          <w:noProof/>
        </w:rPr>
        <w:t>HÄRIGENOM FÖRESKRIVS FÖLJANDE.</w:t>
      </w:r>
    </w:p>
    <w:p>
      <w:pPr>
        <w:pStyle w:val="ChapterTitle"/>
        <w:rPr>
          <w:noProof/>
        </w:rPr>
      </w:pPr>
      <w:r>
        <w:rPr>
          <w:noProof/>
        </w:rPr>
        <w:t>AVDELNING I</w:t>
      </w:r>
      <w:r>
        <w:rPr>
          <w:noProof/>
        </w:rPr>
        <w:br/>
        <w:t>ALLMÄNNA BESTÄMMELSER</w:t>
      </w:r>
    </w:p>
    <w:p>
      <w:pPr>
        <w:pStyle w:val="Titrearticle"/>
        <w:rPr>
          <w:b/>
          <w:i w:val="0"/>
          <w:noProof/>
        </w:rPr>
      </w:pPr>
      <w:r>
        <w:rPr>
          <w:noProof/>
        </w:rPr>
        <w:t>Artikel 1</w:t>
      </w:r>
      <w:r>
        <w:rPr>
          <w:noProof/>
        </w:rPr>
        <w:br/>
      </w:r>
      <w:r>
        <w:rPr>
          <w:b/>
          <w:i w:val="0"/>
          <w:noProof/>
        </w:rPr>
        <w:t xml:space="preserve">Syfte </w:t>
      </w:r>
      <w:r>
        <w:rPr>
          <w:b/>
          <w:i w:val="0"/>
          <w:noProof/>
        </w:rPr>
        <w:br/>
      </w:r>
    </w:p>
    <w:p>
      <w:pPr>
        <w:rPr>
          <w:noProof/>
        </w:rPr>
      </w:pPr>
      <w:r>
        <w:rPr>
          <w:noProof/>
        </w:rPr>
        <w:t xml:space="preserve">Genom denna förordning fastställs, för vissa fiskbestånd och grupper av fiskbestånd, de fiskemöjligheter som är tillgängliga i Medelhavet och Svarta havet för år 2020. </w:t>
      </w:r>
    </w:p>
    <w:p>
      <w:pPr>
        <w:pStyle w:val="Titrearticle"/>
        <w:rPr>
          <w:noProof/>
        </w:rPr>
      </w:pPr>
      <w:r>
        <w:rPr>
          <w:noProof/>
        </w:rPr>
        <w:lastRenderedPageBreak/>
        <w:t>Artikel 2</w:t>
      </w:r>
      <w:r>
        <w:rPr>
          <w:noProof/>
        </w:rPr>
        <w:br/>
      </w:r>
      <w:r>
        <w:rPr>
          <w:b/>
          <w:i w:val="0"/>
          <w:noProof/>
        </w:rPr>
        <w:t>Tillämpningsområde</w:t>
      </w:r>
      <w:r>
        <w:rPr>
          <w:b/>
          <w:i w:val="0"/>
          <w:noProof/>
        </w:rPr>
        <w:br/>
      </w:r>
    </w:p>
    <w:p>
      <w:pPr>
        <w:pStyle w:val="ManualNumPar1"/>
        <w:rPr>
          <w:noProof/>
        </w:rPr>
      </w:pPr>
      <w:r>
        <w:t>1.</w:t>
      </w:r>
      <w:r>
        <w:tab/>
      </w:r>
      <w:r>
        <w:rPr>
          <w:noProof/>
        </w:rPr>
        <w:t xml:space="preserve">Denna förordning ska tillämpas på unionsfiskefartyg som nyttjar följande fiskbestånd:  </w:t>
      </w:r>
    </w:p>
    <w:p>
      <w:pPr>
        <w:pStyle w:val="Point0"/>
        <w:rPr>
          <w:noProof/>
        </w:rPr>
      </w:pPr>
      <w:r>
        <w:t>(a)</w:t>
      </w:r>
      <w:r>
        <w:tab/>
      </w:r>
      <w:r>
        <w:rPr>
          <w:noProof/>
        </w:rPr>
        <w:t>Europeisk ål (</w:t>
      </w:r>
      <w:r>
        <w:rPr>
          <w:i/>
          <w:noProof/>
        </w:rPr>
        <w:t>Anguilla anguilla L</w:t>
      </w:r>
      <w:r>
        <w:rPr>
          <w:noProof/>
        </w:rPr>
        <w:t xml:space="preserve">.) i Medelhavet, enligt definitionen i artikel 4 b. </w:t>
      </w:r>
    </w:p>
    <w:p>
      <w:pPr>
        <w:pStyle w:val="Point0"/>
        <w:rPr>
          <w:noProof/>
        </w:rPr>
      </w:pPr>
      <w:r>
        <w:t>(b)</w:t>
      </w:r>
      <w:r>
        <w:tab/>
      </w:r>
      <w:r>
        <w:rPr>
          <w:noProof/>
        </w:rPr>
        <w:t>Blåröd räka (</w:t>
      </w:r>
      <w:r>
        <w:rPr>
          <w:i/>
          <w:noProof/>
        </w:rPr>
        <w:t>Aristeus antennatus</w:t>
      </w:r>
      <w:r>
        <w:rPr>
          <w:noProof/>
        </w:rPr>
        <w:t>), djuphavsräka (</w:t>
      </w:r>
      <w:r>
        <w:rPr>
          <w:i/>
          <w:noProof/>
        </w:rPr>
        <w:t>Parapenaeus longirostris</w:t>
      </w:r>
      <w:r>
        <w:rPr>
          <w:noProof/>
        </w:rPr>
        <w:t xml:space="preserve">), räkor av arten </w:t>
      </w:r>
      <w:r>
        <w:rPr>
          <w:i/>
          <w:noProof/>
        </w:rPr>
        <w:t>Aristaeomorpha foliacea</w:t>
      </w:r>
      <w:r>
        <w:rPr>
          <w:noProof/>
        </w:rPr>
        <w:t>, kummel (</w:t>
      </w:r>
      <w:r>
        <w:rPr>
          <w:i/>
          <w:noProof/>
        </w:rPr>
        <w:t>Merluccius merluccius</w:t>
      </w:r>
      <w:r>
        <w:rPr>
          <w:noProof/>
        </w:rPr>
        <w:t>), havskräfta (</w:t>
      </w:r>
      <w:r>
        <w:rPr>
          <w:i/>
          <w:noProof/>
        </w:rPr>
        <w:t>Nephrops norvegicus</w:t>
      </w:r>
      <w:r>
        <w:rPr>
          <w:noProof/>
        </w:rPr>
        <w:t>) och röd mulle (</w:t>
      </w:r>
      <w:r>
        <w:rPr>
          <w:i/>
          <w:noProof/>
        </w:rPr>
        <w:t>Mullus barbatus</w:t>
      </w:r>
      <w:r>
        <w:rPr>
          <w:noProof/>
        </w:rPr>
        <w:t>) i västra Medelhavet, enligt definitionen i artikel 4 c.</w:t>
      </w:r>
    </w:p>
    <w:p>
      <w:pPr>
        <w:pStyle w:val="Point0"/>
        <w:rPr>
          <w:noProof/>
        </w:rPr>
      </w:pPr>
      <w:r>
        <w:t>(c)</w:t>
      </w:r>
      <w:r>
        <w:tab/>
      </w:r>
      <w:r>
        <w:rPr>
          <w:noProof/>
        </w:rPr>
        <w:t>Ansjovis (</w:t>
      </w:r>
      <w:r>
        <w:rPr>
          <w:i/>
          <w:noProof/>
        </w:rPr>
        <w:t>Engraulis encrasicolus</w:t>
      </w:r>
      <w:r>
        <w:rPr>
          <w:noProof/>
        </w:rPr>
        <w:t>) och sardin (</w:t>
      </w:r>
      <w:r>
        <w:rPr>
          <w:i/>
          <w:noProof/>
        </w:rPr>
        <w:t>Sardina pilchardus</w:t>
      </w:r>
      <w:r>
        <w:rPr>
          <w:noProof/>
        </w:rPr>
        <w:t xml:space="preserve">) i Adriatiska havet, enligt definitionen i artikel 4 d, </w:t>
      </w:r>
    </w:p>
    <w:p>
      <w:pPr>
        <w:pStyle w:val="Point0"/>
        <w:rPr>
          <w:noProof/>
        </w:rPr>
      </w:pPr>
      <w:r>
        <w:t>(d)</w:t>
      </w:r>
      <w:r>
        <w:tab/>
      </w:r>
      <w:r>
        <w:rPr>
          <w:noProof/>
        </w:rPr>
        <w:t>Kummel (</w:t>
      </w:r>
      <w:r>
        <w:rPr>
          <w:i/>
          <w:noProof/>
        </w:rPr>
        <w:t>Merluccius merluccius</w:t>
      </w:r>
      <w:r>
        <w:rPr>
          <w:noProof/>
        </w:rPr>
        <w:t>), havskräfta (</w:t>
      </w:r>
      <w:r>
        <w:rPr>
          <w:i/>
          <w:noProof/>
        </w:rPr>
        <w:t>Nephrops norvegicus</w:t>
      </w:r>
      <w:r>
        <w:rPr>
          <w:noProof/>
        </w:rPr>
        <w:t>), tunga (</w:t>
      </w:r>
      <w:r>
        <w:rPr>
          <w:i/>
          <w:noProof/>
        </w:rPr>
        <w:t>Solea solea)</w:t>
      </w:r>
      <w:r>
        <w:rPr>
          <w:noProof/>
        </w:rPr>
        <w:t>, djuphavsräka (</w:t>
      </w:r>
      <w:r>
        <w:rPr>
          <w:i/>
          <w:noProof/>
        </w:rPr>
        <w:t>Parapenaeus longirostris</w:t>
      </w:r>
      <w:r>
        <w:rPr>
          <w:noProof/>
        </w:rPr>
        <w:t>) och röd mulle (</w:t>
      </w:r>
      <w:r>
        <w:rPr>
          <w:i/>
          <w:noProof/>
        </w:rPr>
        <w:t>Mullus barbatus</w:t>
      </w:r>
      <w:r>
        <w:rPr>
          <w:noProof/>
        </w:rPr>
        <w:t xml:space="preserve">) i Adriatiska havet, enligt definitionen i artikel 4 d. </w:t>
      </w:r>
    </w:p>
    <w:p>
      <w:pPr>
        <w:pStyle w:val="Point0"/>
        <w:rPr>
          <w:noProof/>
        </w:rPr>
      </w:pPr>
      <w:r>
        <w:t>(e)</w:t>
      </w:r>
      <w:r>
        <w:tab/>
      </w:r>
      <w:r>
        <w:rPr>
          <w:noProof/>
        </w:rPr>
        <w:t>Skarpsill (</w:t>
      </w:r>
      <w:r>
        <w:rPr>
          <w:i/>
          <w:noProof/>
        </w:rPr>
        <w:t>Sprattus sprattus</w:t>
      </w:r>
      <w:r>
        <w:rPr>
          <w:noProof/>
        </w:rPr>
        <w:t>) och piggvar (</w:t>
      </w:r>
      <w:r>
        <w:rPr>
          <w:i/>
          <w:noProof/>
        </w:rPr>
        <w:t>Psetta maxima</w:t>
      </w:r>
      <w:r>
        <w:rPr>
          <w:noProof/>
        </w:rPr>
        <w:t>) i Svarta havet, enligt definitionen i artikel 4 e.</w:t>
      </w:r>
    </w:p>
    <w:p>
      <w:pPr>
        <w:pStyle w:val="ManualNumPar1"/>
        <w:rPr>
          <w:noProof/>
        </w:rPr>
      </w:pPr>
      <w:r>
        <w:t>2.</w:t>
      </w:r>
      <w:r>
        <w:tab/>
      </w:r>
      <w:r>
        <w:rPr>
          <w:noProof/>
        </w:rPr>
        <w:t xml:space="preserve">Denna förordning ska också tillämpas på fritidsfiske, om det uttryckligen hänvisas till sådant fiske i de relevanta bestämmelserna.  </w:t>
      </w:r>
    </w:p>
    <w:p>
      <w:pPr>
        <w:pStyle w:val="Titrearticle"/>
        <w:rPr>
          <w:b/>
          <w:i w:val="0"/>
          <w:noProof/>
        </w:rPr>
      </w:pPr>
      <w:r>
        <w:rPr>
          <w:noProof/>
        </w:rPr>
        <w:t>Artikel 3</w:t>
      </w:r>
      <w:r>
        <w:rPr>
          <w:noProof/>
        </w:rPr>
        <w:br/>
      </w:r>
      <w:r>
        <w:rPr>
          <w:b/>
          <w:i w:val="0"/>
          <w:noProof/>
        </w:rPr>
        <w:t>Definitioner</w:t>
      </w:r>
      <w:r>
        <w:rPr>
          <w:b/>
          <w:i w:val="0"/>
          <w:noProof/>
        </w:rPr>
        <w:br/>
      </w:r>
    </w:p>
    <w:p>
      <w:pPr>
        <w:rPr>
          <w:noProof/>
        </w:rPr>
      </w:pPr>
      <w:r>
        <w:rPr>
          <w:noProof/>
        </w:rPr>
        <w:t>I denna förordning ska definitionerna i artikel 4 i förordning (EU) nr 1380/2013 gälla. Dessutom gäller följande definitioner:</w:t>
      </w:r>
    </w:p>
    <w:p>
      <w:pPr>
        <w:pStyle w:val="Point0"/>
        <w:rPr>
          <w:noProof/>
        </w:rPr>
      </w:pPr>
      <w:r>
        <w:t>(a)</w:t>
      </w:r>
      <w:r>
        <w:tab/>
      </w:r>
      <w:r>
        <w:rPr>
          <w:i/>
          <w:noProof/>
        </w:rPr>
        <w:t>internationella vatten</w:t>
      </w:r>
      <w:r>
        <w:rPr>
          <w:noProof/>
        </w:rPr>
        <w:t>: vatten som inte står under någon stats överhöghet eller jurisdiktion.</w:t>
      </w:r>
    </w:p>
    <w:p>
      <w:pPr>
        <w:pStyle w:val="Point0"/>
        <w:rPr>
          <w:noProof/>
        </w:rPr>
      </w:pPr>
      <w:r>
        <w:t>(b)</w:t>
      </w:r>
      <w:r>
        <w:tab/>
      </w:r>
      <w:r>
        <w:rPr>
          <w:i/>
          <w:noProof/>
        </w:rPr>
        <w:t>fritidsfiske</w:t>
      </w:r>
      <w:r>
        <w:rPr>
          <w:noProof/>
        </w:rPr>
        <w:t>: icke kommersiell fiskeverksamhet som nyttjar levande marina akvatiska resurser för rekreation, turism eller sport.</w:t>
      </w:r>
    </w:p>
    <w:p>
      <w:pPr>
        <w:pStyle w:val="Point0"/>
        <w:rPr>
          <w:noProof/>
        </w:rPr>
      </w:pPr>
      <w:r>
        <w:t>(c)</w:t>
      </w:r>
      <w:r>
        <w:tab/>
      </w:r>
      <w:r>
        <w:rPr>
          <w:noProof/>
        </w:rPr>
        <w:t>total tillåten fångstmängd (TAC):</w:t>
      </w:r>
    </w:p>
    <w:p>
      <w:pPr>
        <w:pStyle w:val="Point2"/>
        <w:rPr>
          <w:noProof/>
        </w:rPr>
      </w:pPr>
      <w:r>
        <w:t>(i)</w:t>
      </w:r>
      <w:r>
        <w:tab/>
      </w:r>
      <w:r>
        <w:rPr>
          <w:noProof/>
        </w:rPr>
        <w:t>i fisken som omfattas av de undantag från landningsskyldigheten som avses i artikel 15.4–15.7 i förordning (EU) nr 1380/2013, den kvantitet fisk ur varje bestånd som får landas varje år,</w:t>
      </w:r>
    </w:p>
    <w:p>
      <w:pPr>
        <w:pStyle w:val="Point2"/>
        <w:rPr>
          <w:noProof/>
        </w:rPr>
      </w:pPr>
      <w:r>
        <w:t>(ff)</w:t>
      </w:r>
      <w:r>
        <w:tab/>
      </w:r>
      <w:r>
        <w:rPr>
          <w:noProof/>
        </w:rPr>
        <w:t>i alla övriga fisken, den kvantitet fisk ur varje bestånd som får fångas under ett år.</w:t>
      </w:r>
    </w:p>
    <w:p>
      <w:pPr>
        <w:pStyle w:val="Point0"/>
        <w:rPr>
          <w:noProof/>
        </w:rPr>
      </w:pPr>
      <w:r>
        <w:t>(d)</w:t>
      </w:r>
      <w:r>
        <w:tab/>
      </w:r>
      <w:r>
        <w:rPr>
          <w:i/>
          <w:noProof/>
        </w:rPr>
        <w:t>kvot</w:t>
      </w:r>
      <w:r>
        <w:rPr>
          <w:noProof/>
        </w:rPr>
        <w:t>: en andel av TAC:en, som tilldelas unionen eller en medlemsstat.</w:t>
      </w:r>
    </w:p>
    <w:p>
      <w:pPr>
        <w:pStyle w:val="Point0"/>
        <w:rPr>
          <w:noProof/>
        </w:rPr>
      </w:pPr>
      <w:r>
        <w:t>(e)</w:t>
      </w:r>
      <w:r>
        <w:tab/>
      </w:r>
      <w:r>
        <w:rPr>
          <w:i/>
          <w:noProof/>
        </w:rPr>
        <w:t>unionens autonoma kvot</w:t>
      </w:r>
      <w:r>
        <w:rPr>
          <w:noProof/>
        </w:rPr>
        <w:t>: en fångstbegränsning som, i avsaknad av en överenskommen TAC, tilldelas ett unionsfiskefartyg autonomt.</w:t>
      </w:r>
    </w:p>
    <w:p>
      <w:pPr>
        <w:pStyle w:val="Point0"/>
        <w:rPr>
          <w:noProof/>
        </w:rPr>
      </w:pPr>
      <w:r>
        <w:t>(f)</w:t>
      </w:r>
      <w:r>
        <w:tab/>
      </w:r>
      <w:r>
        <w:rPr>
          <w:i/>
          <w:noProof/>
        </w:rPr>
        <w:t>analytisk kvot</w:t>
      </w:r>
      <w:r>
        <w:rPr>
          <w:noProof/>
        </w:rPr>
        <w:t>: unionens autonoma kvot, för vilken det gjorts en analytisk bedömning.</w:t>
      </w:r>
    </w:p>
    <w:p>
      <w:pPr>
        <w:pStyle w:val="Point0"/>
        <w:rPr>
          <w:noProof/>
        </w:rPr>
      </w:pPr>
      <w:r>
        <w:t>(g)</w:t>
      </w:r>
      <w:r>
        <w:tab/>
      </w:r>
      <w:r>
        <w:rPr>
          <w:i/>
          <w:noProof/>
        </w:rPr>
        <w:t>analytisk bedömning</w:t>
      </w:r>
      <w:r>
        <w:rPr>
          <w:noProof/>
        </w:rPr>
        <w:t xml:space="preserve">: en kvantitativ bedömning av trenderna inom ett visst bestånd baserad på uppgifter om beståndets biologi och nyttjandegrad, som efter vetenskaplig </w:t>
      </w:r>
      <w:r>
        <w:rPr>
          <w:noProof/>
        </w:rPr>
        <w:lastRenderedPageBreak/>
        <w:t>undersökning anses vara av tillräcklig kvalitet för att kunna ge vetenskaplig rådgivning om framtida fångstalternativ.</w:t>
      </w:r>
    </w:p>
    <w:p>
      <w:pPr>
        <w:pStyle w:val="Titrearticle"/>
        <w:rPr>
          <w:b/>
          <w:i w:val="0"/>
          <w:noProof/>
        </w:rPr>
      </w:pPr>
      <w:r>
        <w:rPr>
          <w:noProof/>
        </w:rPr>
        <w:t>Artikel 4</w:t>
      </w:r>
      <w:r>
        <w:rPr>
          <w:noProof/>
        </w:rPr>
        <w:br/>
      </w:r>
      <w:r>
        <w:rPr>
          <w:b/>
          <w:i w:val="0"/>
          <w:noProof/>
        </w:rPr>
        <w:t>Fiskezoner</w:t>
      </w:r>
    </w:p>
    <w:p>
      <w:pPr>
        <w:rPr>
          <w:noProof/>
        </w:rPr>
      </w:pPr>
      <w:r>
        <w:rPr>
          <w:noProof/>
        </w:rPr>
        <w:t>I denna förordning gäller följande definitioner av fiskezoner:</w:t>
      </w:r>
    </w:p>
    <w:p>
      <w:pPr>
        <w:pStyle w:val="Point0"/>
        <w:rPr>
          <w:noProof/>
        </w:rPr>
      </w:pPr>
      <w:r>
        <w:t>(a)</w:t>
      </w:r>
      <w:r>
        <w:tab/>
      </w:r>
      <w:r>
        <w:rPr>
          <w:i/>
          <w:noProof/>
        </w:rPr>
        <w:t>AKFM:s geografiska delområden (AKFM, Allmänna kommissionen för fiske i Medelhavet)</w:t>
      </w:r>
      <w:r>
        <w:rPr>
          <w:noProof/>
        </w:rPr>
        <w:t>: de områden som definieras i bilaga I till Europaparlamentets och rådets förordning (EU) nr 1343/2011.</w:t>
      </w:r>
      <w:r>
        <w:rPr>
          <w:rStyle w:val="FootnoteReference"/>
          <w:noProof/>
        </w:rPr>
        <w:footnoteReference w:id="12"/>
      </w:r>
    </w:p>
    <w:p>
      <w:pPr>
        <w:pStyle w:val="Point0"/>
        <w:rPr>
          <w:noProof/>
        </w:rPr>
      </w:pPr>
      <w:r>
        <w:t>(b)</w:t>
      </w:r>
      <w:r>
        <w:tab/>
      </w:r>
      <w:r>
        <w:rPr>
          <w:i/>
          <w:noProof/>
        </w:rPr>
        <w:t>Medelhavet</w:t>
      </w:r>
      <w:r>
        <w:rPr>
          <w:noProof/>
        </w:rPr>
        <w:t>: vattnen i AKFM:s geografiska delområden 1–27, enligt definitionen i bilaga I till förordning (EU) nr 1343/2011.</w:t>
      </w:r>
    </w:p>
    <w:p>
      <w:pPr>
        <w:pStyle w:val="Point0"/>
        <w:rPr>
          <w:noProof/>
        </w:rPr>
      </w:pPr>
      <w:r>
        <w:t>(c)</w:t>
      </w:r>
      <w:r>
        <w:tab/>
      </w:r>
      <w:r>
        <w:rPr>
          <w:i/>
          <w:noProof/>
        </w:rPr>
        <w:t>Västra Medelhavet</w:t>
      </w:r>
      <w:r>
        <w:rPr>
          <w:noProof/>
        </w:rPr>
        <w:t>: vattnen i AKFM:s geografiska delområden 1, 2, 5, 6, 7, 8, 9, 10 och 11, enligt definitionen i bilaga I till förordning (EU) nr 1343/2011.</w:t>
      </w:r>
    </w:p>
    <w:p>
      <w:pPr>
        <w:pStyle w:val="Point0"/>
        <w:rPr>
          <w:noProof/>
        </w:rPr>
      </w:pPr>
      <w:r>
        <w:t>(d)</w:t>
      </w:r>
      <w:r>
        <w:tab/>
      </w:r>
      <w:r>
        <w:rPr>
          <w:i/>
          <w:noProof/>
        </w:rPr>
        <w:t>Adriatiska havet</w:t>
      </w:r>
      <w:r>
        <w:rPr>
          <w:noProof/>
        </w:rPr>
        <w:t>: vattnen i AKFM:s geografiska delområden 17 och 18, enligt definitionen i bilaga I till förordning (EU) nr 1343/2011.</w:t>
      </w:r>
    </w:p>
    <w:p>
      <w:pPr>
        <w:pStyle w:val="Point0"/>
        <w:rPr>
          <w:noProof/>
        </w:rPr>
      </w:pPr>
      <w:r>
        <w:t>(e)</w:t>
      </w:r>
      <w:r>
        <w:tab/>
      </w:r>
      <w:r>
        <w:rPr>
          <w:i/>
          <w:noProof/>
        </w:rPr>
        <w:t>Svarta havet</w:t>
      </w:r>
      <w:r>
        <w:rPr>
          <w:noProof/>
        </w:rPr>
        <w:t>: vattnen i AKFM:s geografiska delområde 29, enligt definitionen i bilaga I till förordning (EU) nr 1343/2011.</w:t>
      </w:r>
    </w:p>
    <w:p>
      <w:pPr>
        <w:rPr>
          <w:noProof/>
        </w:rPr>
      </w:pPr>
    </w:p>
    <w:p>
      <w:pPr>
        <w:pStyle w:val="ChapterTitle"/>
        <w:rPr>
          <w:noProof/>
        </w:rPr>
      </w:pPr>
      <w:r>
        <w:rPr>
          <w:noProof/>
        </w:rPr>
        <w:t>AVDELNING II</w:t>
      </w:r>
    </w:p>
    <w:p>
      <w:pPr>
        <w:pStyle w:val="ChapterTitle"/>
        <w:rPr>
          <w:noProof/>
        </w:rPr>
      </w:pPr>
      <w:r>
        <w:rPr>
          <w:noProof/>
        </w:rPr>
        <w:t>FISKEMÖJLIGHETER</w:t>
      </w:r>
    </w:p>
    <w:p>
      <w:pPr>
        <w:pStyle w:val="ChapterTitle"/>
        <w:rPr>
          <w:noProof/>
          <w:highlight w:val="yellow"/>
        </w:rPr>
      </w:pPr>
      <w:r>
        <w:rPr>
          <w:noProof/>
        </w:rPr>
        <w:t>KAPITEL I</w:t>
      </w:r>
    </w:p>
    <w:p>
      <w:pPr>
        <w:pStyle w:val="ChapterTitle"/>
        <w:rPr>
          <w:noProof/>
        </w:rPr>
      </w:pPr>
      <w:r>
        <w:rPr>
          <w:noProof/>
        </w:rPr>
        <w:t>Medelhavet</w:t>
      </w:r>
    </w:p>
    <w:p>
      <w:pPr>
        <w:pStyle w:val="Titrearticle"/>
        <w:rPr>
          <w:b/>
          <w:i w:val="0"/>
          <w:noProof/>
        </w:rPr>
      </w:pPr>
      <w:r>
        <w:rPr>
          <w:noProof/>
        </w:rPr>
        <w:t>Artikel 5</w:t>
      </w:r>
      <w:r>
        <w:rPr>
          <w:noProof/>
        </w:rPr>
        <w:br/>
      </w:r>
      <w:r>
        <w:rPr>
          <w:b/>
          <w:i w:val="0"/>
          <w:noProof/>
        </w:rPr>
        <w:t xml:space="preserve">Europeisk ål </w:t>
      </w:r>
      <w:r>
        <w:rPr>
          <w:b/>
          <w:i w:val="0"/>
          <w:noProof/>
        </w:rPr>
        <w:br/>
      </w:r>
    </w:p>
    <w:p>
      <w:pPr>
        <w:pStyle w:val="ManualNumPar1"/>
        <w:rPr>
          <w:noProof/>
        </w:rPr>
      </w:pPr>
      <w:r>
        <w:rPr>
          <w:noProof/>
        </w:rPr>
        <w:t xml:space="preserve">1. </w:t>
      </w:r>
      <w:r>
        <w:rPr>
          <w:noProof/>
        </w:rPr>
        <w:tab/>
        <w:t>All verksamhet som bedrivs av unionsfartyg och unionens övriga fiskeverksamhet som avser fångst av ål (</w:t>
      </w:r>
      <w:r>
        <w:rPr>
          <w:i/>
          <w:noProof/>
        </w:rPr>
        <w:t>Anguilla anguilla L</w:t>
      </w:r>
      <w:r>
        <w:rPr>
          <w:noProof/>
        </w:rPr>
        <w:t xml:space="preserve">.), nämligen riktat och oavsiktligt fiske och fritidsfiske, ska omfattas av bestämmelserna i denna artikel. </w:t>
      </w:r>
    </w:p>
    <w:p>
      <w:pPr>
        <w:pStyle w:val="ManualNumPar2"/>
        <w:rPr>
          <w:noProof/>
        </w:rPr>
      </w:pPr>
      <w:r>
        <w:rPr>
          <w:noProof/>
        </w:rPr>
        <w:t xml:space="preserve">2. </w:t>
      </w:r>
      <w:r>
        <w:rPr>
          <w:noProof/>
        </w:rPr>
        <w:tab/>
        <w:t>Denna artikel ska gälla för Medelhavet och för bräckt vatten, t.ex. flodmynningar, kustlaguner och vatten i övergångszoner.</w:t>
      </w:r>
    </w:p>
    <w:p>
      <w:pPr>
        <w:pStyle w:val="ManualNumPar3"/>
        <w:rPr>
          <w:noProof/>
        </w:rPr>
      </w:pPr>
      <w:r>
        <w:rPr>
          <w:noProof/>
        </w:rPr>
        <w:t xml:space="preserve">3 </w:t>
      </w:r>
      <w:r>
        <w:rPr>
          <w:noProof/>
        </w:rPr>
        <w:tab/>
        <w:t xml:space="preserve">Det ska vara förbjudet för unionsfiskefartyg att fiska efter ål i unionens vatten och internationella vatten i Medelhavet under en sammanhängande tremånadersperiod som ska fastställas av varje medlemsstat. Fredningstiden ska vara förenlig med de </w:t>
      </w:r>
      <w:r>
        <w:rPr>
          <w:noProof/>
        </w:rPr>
        <w:lastRenderedPageBreak/>
        <w:t>bevarandemål som anges i förordning (EG) nr 1100/2007</w:t>
      </w:r>
      <w:r>
        <w:rPr>
          <w:rStyle w:val="FootnoteReference"/>
          <w:noProof/>
        </w:rPr>
        <w:footnoteReference w:id="13"/>
      </w:r>
      <w:r>
        <w:rPr>
          <w:noProof/>
        </w:rPr>
        <w:t>, med de nationella förvaltningsplaner som inrättats och med ålens tidsmässiga vandringsmönster i de berörda medlemsstaterna. Medlemsstaterna ska senast en månad före ikraftträdandet av fredningstiden och under alla omständigheter före den 31 januari 2020 meddela kommissionen vilken period som fastställts.</w:t>
      </w:r>
    </w:p>
    <w:p>
      <w:pPr>
        <w:pStyle w:val="Titrearticle"/>
        <w:rPr>
          <w:noProof/>
        </w:rPr>
      </w:pPr>
      <w:r>
        <w:rPr>
          <w:noProof/>
        </w:rPr>
        <w:br/>
      </w:r>
    </w:p>
    <w:p>
      <w:pPr>
        <w:pStyle w:val="ChapterTitle"/>
        <w:rPr>
          <w:noProof/>
        </w:rPr>
      </w:pPr>
      <w:r>
        <w:rPr>
          <w:noProof/>
        </w:rPr>
        <w:t>KAPITEL II</w:t>
      </w:r>
      <w:r>
        <w:rPr>
          <w:i/>
          <w:noProof/>
          <w:highlight w:val="yellow"/>
        </w:rPr>
        <w:t xml:space="preserve"> </w:t>
      </w:r>
    </w:p>
    <w:p>
      <w:pPr>
        <w:pStyle w:val="ChapterTitle"/>
        <w:rPr>
          <w:noProof/>
        </w:rPr>
      </w:pPr>
      <w:r>
        <w:rPr>
          <w:noProof/>
        </w:rPr>
        <w:t>Västra Medelhavet</w:t>
      </w:r>
    </w:p>
    <w:p>
      <w:pPr>
        <w:pStyle w:val="Titrearticle"/>
        <w:rPr>
          <w:b/>
          <w:i w:val="0"/>
          <w:noProof/>
        </w:rPr>
      </w:pPr>
      <w:r>
        <w:rPr>
          <w:noProof/>
        </w:rPr>
        <w:t>Artikel 6</w:t>
      </w:r>
      <w:r>
        <w:rPr>
          <w:noProof/>
        </w:rPr>
        <w:br/>
      </w:r>
      <w:r>
        <w:rPr>
          <w:b/>
          <w:i w:val="0"/>
          <w:noProof/>
        </w:rPr>
        <w:t xml:space="preserve">Demersala bestånd </w:t>
      </w:r>
      <w:r>
        <w:rPr>
          <w:b/>
          <w:i w:val="0"/>
          <w:noProof/>
        </w:rPr>
        <w:br/>
      </w:r>
    </w:p>
    <w:p>
      <w:pPr>
        <w:pStyle w:val="ManualNumPar1"/>
        <w:rPr>
          <w:noProof/>
        </w:rPr>
      </w:pPr>
      <w:r>
        <w:t>1.</w:t>
      </w:r>
      <w:r>
        <w:tab/>
      </w:r>
      <w:r>
        <w:rPr>
          <w:noProof/>
        </w:rPr>
        <w:t>Den högsta tillåtna fiskeansträngningen för 2020 avseende demersala bestånd i västra Medelhavet fastställs i bilaga I till denna förordning.</w:t>
      </w:r>
    </w:p>
    <w:p>
      <w:pPr>
        <w:pStyle w:val="ManualNumPar1"/>
        <w:rPr>
          <w:noProof/>
        </w:rPr>
      </w:pPr>
      <w:r>
        <w:t>2.</w:t>
      </w:r>
      <w:r>
        <w:tab/>
      </w:r>
      <w:r>
        <w:rPr>
          <w:noProof/>
        </w:rPr>
        <w:t xml:space="preserve">Medlemsstaterna ska förvalta den högsta tillåtna fiskeansträngningen i enlighet med artikel  9 i förordning (EG) nr 2019/1022.  </w:t>
      </w:r>
    </w:p>
    <w:p>
      <w:pPr>
        <w:pStyle w:val="Titrearticle"/>
        <w:rPr>
          <w:b/>
          <w:i w:val="0"/>
          <w:noProof/>
        </w:rPr>
      </w:pPr>
      <w:r>
        <w:rPr>
          <w:noProof/>
        </w:rPr>
        <w:t>Artikel 7</w:t>
      </w:r>
      <w:r>
        <w:rPr>
          <w:noProof/>
        </w:rPr>
        <w:br/>
      </w:r>
      <w:r>
        <w:rPr>
          <w:b/>
          <w:i w:val="0"/>
          <w:noProof/>
        </w:rPr>
        <w:t>Överföring av uppgifter</w:t>
      </w:r>
      <w:r>
        <w:rPr>
          <w:b/>
          <w:i w:val="0"/>
          <w:noProof/>
        </w:rPr>
        <w:br/>
      </w:r>
    </w:p>
    <w:p>
      <w:pPr>
        <w:rPr>
          <w:noProof/>
        </w:rPr>
      </w:pPr>
      <w:r>
        <w:rPr>
          <w:noProof/>
        </w:rPr>
        <w:t xml:space="preserve">Medlemsstaterna ska registrera uppgifter om fiskeansträngningen och överföra dem till kommissionen i enlighet med artikel 10 i förordning (EU) 2019/1022.  </w:t>
      </w:r>
    </w:p>
    <w:p>
      <w:pPr>
        <w:rPr>
          <w:noProof/>
        </w:rPr>
      </w:pPr>
      <w:r>
        <w:rPr>
          <w:noProof/>
        </w:rPr>
        <w:t>När medlemsstaterna lämnar uppgifter om fiskeansträngningen till kommissionen i enlighet med denna artikel ska de använda de koder för ansträngningsgrupp som anges i bilaga I till denna förordning.</w:t>
      </w:r>
    </w:p>
    <w:p>
      <w:pPr>
        <w:pStyle w:val="ManualNumPar3"/>
        <w:rPr>
          <w:noProof/>
        </w:rPr>
      </w:pPr>
    </w:p>
    <w:p>
      <w:pPr>
        <w:rPr>
          <w:noProof/>
        </w:rPr>
      </w:pPr>
    </w:p>
    <w:p>
      <w:pPr>
        <w:pStyle w:val="ChapterTitle"/>
        <w:rPr>
          <w:noProof/>
        </w:rPr>
      </w:pPr>
      <w:r>
        <w:rPr>
          <w:noProof/>
        </w:rPr>
        <w:t>KAPITEL III</w:t>
      </w:r>
      <w:r>
        <w:rPr>
          <w:noProof/>
        </w:rPr>
        <w:br/>
      </w:r>
      <w:r>
        <w:rPr>
          <w:noProof/>
        </w:rPr>
        <w:br/>
        <w:t>Adriatiska havet</w:t>
      </w:r>
    </w:p>
    <w:p>
      <w:pPr>
        <w:pStyle w:val="Titrearticle"/>
        <w:rPr>
          <w:noProof/>
        </w:rPr>
      </w:pPr>
      <w:r>
        <w:rPr>
          <w:noProof/>
        </w:rPr>
        <w:t>Artikel 8</w:t>
      </w:r>
      <w:r>
        <w:rPr>
          <w:noProof/>
        </w:rPr>
        <w:br/>
      </w:r>
      <w:r>
        <w:rPr>
          <w:b/>
          <w:i w:val="0"/>
          <w:noProof/>
        </w:rPr>
        <w:t xml:space="preserve">Små pelagiska bestånd </w:t>
      </w:r>
      <w:r>
        <w:rPr>
          <w:b/>
          <w:i w:val="0"/>
          <w:noProof/>
        </w:rPr>
        <w:br/>
      </w:r>
    </w:p>
    <w:p>
      <w:pPr>
        <w:pStyle w:val="ManualNumPar1"/>
        <w:rPr>
          <w:noProof/>
        </w:rPr>
      </w:pPr>
      <w:r>
        <w:rPr>
          <w:noProof/>
        </w:rPr>
        <w:t xml:space="preserve">1. </w:t>
      </w:r>
      <w:r>
        <w:rPr>
          <w:noProof/>
        </w:rPr>
        <w:tab/>
        <w:t>Fångster av sardin (</w:t>
      </w:r>
      <w:r>
        <w:rPr>
          <w:i/>
          <w:noProof/>
        </w:rPr>
        <w:t>Sardina pilchardus</w:t>
      </w:r>
      <w:r>
        <w:rPr>
          <w:noProof/>
        </w:rPr>
        <w:t>) och ansjovis (</w:t>
      </w:r>
      <w:r>
        <w:rPr>
          <w:i/>
          <w:noProof/>
        </w:rPr>
        <w:t>Engraulis encrasicolus</w:t>
      </w:r>
      <w:r>
        <w:rPr>
          <w:noProof/>
        </w:rPr>
        <w:t>) som görs av unionsfiskefartyg i Adriatiska havet får inte överstiga de nivåer som anges i bilaga II till denna förordning.</w:t>
      </w:r>
    </w:p>
    <w:p>
      <w:pPr>
        <w:pStyle w:val="ManualNumPar2"/>
        <w:rPr>
          <w:noProof/>
        </w:rPr>
      </w:pPr>
      <w:r>
        <w:rPr>
          <w:noProof/>
        </w:rPr>
        <w:lastRenderedPageBreak/>
        <w:t xml:space="preserve">2. </w:t>
      </w:r>
      <w:r>
        <w:rPr>
          <w:noProof/>
        </w:rPr>
        <w:tab/>
        <w:t>Unionsfiskefartyg som fiskar efter sardin och ansjovis i Adriatiska havet får inte verka under mer än 180 fiskedagar per år. Av dessa totalt 180 fiskedagar får högst 144 fiskedagar ägnas åt fiske efter sardin och högst 144 fiskedagar ägnas åt fiske efter ansjovis.</w:t>
      </w:r>
    </w:p>
    <w:p>
      <w:pPr>
        <w:pStyle w:val="Titrearticle"/>
        <w:rPr>
          <w:b/>
          <w:i w:val="0"/>
          <w:noProof/>
        </w:rPr>
      </w:pPr>
      <w:r>
        <w:rPr>
          <w:noProof/>
        </w:rPr>
        <w:t>Artikel 9</w:t>
      </w:r>
      <w:r>
        <w:rPr>
          <w:noProof/>
        </w:rPr>
        <w:br/>
      </w:r>
      <w:r>
        <w:rPr>
          <w:b/>
          <w:i w:val="0"/>
          <w:noProof/>
        </w:rPr>
        <w:t xml:space="preserve">Demersala bestånd </w:t>
      </w:r>
      <w:r>
        <w:rPr>
          <w:b/>
          <w:i w:val="0"/>
          <w:noProof/>
        </w:rPr>
        <w:br/>
      </w:r>
    </w:p>
    <w:p>
      <w:pPr>
        <w:pStyle w:val="ManualNumPar1"/>
        <w:rPr>
          <w:noProof/>
        </w:rPr>
      </w:pPr>
      <w:r>
        <w:t>1.</w:t>
      </w:r>
      <w:r>
        <w:tab/>
      </w:r>
      <w:r>
        <w:rPr>
          <w:noProof/>
        </w:rPr>
        <w:t>Den högsta tillåtna fiskeansträngningen för 2020 avseende demersala bestånd i Adriatiska havet anges i bilaga II.</w:t>
      </w:r>
    </w:p>
    <w:p>
      <w:pPr>
        <w:pStyle w:val="ManualNumPar1"/>
        <w:rPr>
          <w:noProof/>
        </w:rPr>
      </w:pPr>
      <w:r>
        <w:t>2.</w:t>
      </w:r>
      <w:r>
        <w:tab/>
      </w:r>
      <w:r>
        <w:rPr>
          <w:noProof/>
        </w:rPr>
        <w:t>Medlemsstaterna ska förvalta den högsta tillåtna fiskeansträngningen i enlighet med artiklarna 26–35 i rådets förordning (EG) nr 1224/2009.</w:t>
      </w:r>
    </w:p>
    <w:p>
      <w:pPr>
        <w:rPr>
          <w:noProof/>
        </w:rPr>
      </w:pPr>
    </w:p>
    <w:p>
      <w:pPr>
        <w:pStyle w:val="Titrearticle"/>
        <w:rPr>
          <w:b/>
          <w:i w:val="0"/>
          <w:noProof/>
        </w:rPr>
      </w:pPr>
      <w:r>
        <w:rPr>
          <w:noProof/>
        </w:rPr>
        <w:t>Artikel 10</w:t>
      </w:r>
      <w:r>
        <w:rPr>
          <w:noProof/>
        </w:rPr>
        <w:br/>
      </w:r>
      <w:r>
        <w:rPr>
          <w:b/>
          <w:i w:val="0"/>
          <w:noProof/>
        </w:rPr>
        <w:t>Överföring av uppgifter</w:t>
      </w:r>
    </w:p>
    <w:p>
      <w:pPr>
        <w:rPr>
          <w:noProof/>
        </w:rPr>
      </w:pPr>
      <w:r>
        <w:rPr>
          <w:noProof/>
        </w:rPr>
        <w:t xml:space="preserve">När medlemsstaterna, i enlighet med artiklarna 33 och 34 i förordning (EG) nr 1224/2009, sänder uppgifter till kommissionen om de fångstkvantiteter av varje bestånd som landats, ska de använda de beståndskoder som anges i bilaga II till den här förordningen. </w:t>
      </w:r>
    </w:p>
    <w:p>
      <w:pPr>
        <w:rPr>
          <w:noProof/>
        </w:rPr>
      </w:pPr>
    </w:p>
    <w:p>
      <w:pPr>
        <w:pStyle w:val="ChapterTitle"/>
        <w:rPr>
          <w:noProof/>
        </w:rPr>
      </w:pPr>
      <w:r>
        <w:rPr>
          <w:noProof/>
        </w:rPr>
        <w:t>KAPITEL IV</w:t>
      </w:r>
      <w:r>
        <w:rPr>
          <w:noProof/>
        </w:rPr>
        <w:br/>
      </w:r>
      <w:r>
        <w:rPr>
          <w:noProof/>
        </w:rPr>
        <w:br/>
        <w:t>Svarta havet</w:t>
      </w:r>
      <w:r>
        <w:rPr>
          <w:noProof/>
        </w:rPr>
        <w:br/>
      </w:r>
    </w:p>
    <w:p>
      <w:pPr>
        <w:pStyle w:val="Titrearticle"/>
        <w:rPr>
          <w:b/>
          <w:i w:val="0"/>
          <w:noProof/>
        </w:rPr>
      </w:pPr>
      <w:r>
        <w:rPr>
          <w:noProof/>
        </w:rPr>
        <w:t>Artikel 11</w:t>
      </w:r>
      <w:r>
        <w:rPr>
          <w:noProof/>
        </w:rPr>
        <w:br/>
      </w:r>
      <w:r>
        <w:rPr>
          <w:b/>
          <w:i w:val="0"/>
          <w:noProof/>
        </w:rPr>
        <w:t>Fördelning av fiskemöjligheter avseende skarpsill</w:t>
      </w:r>
      <w:r>
        <w:rPr>
          <w:b/>
          <w:i w:val="0"/>
          <w:noProof/>
        </w:rPr>
        <w:br/>
      </w:r>
    </w:p>
    <w:p>
      <w:pPr>
        <w:rPr>
          <w:noProof/>
        </w:rPr>
      </w:pPr>
      <w:r>
        <w:rPr>
          <w:noProof/>
        </w:rPr>
        <w:t>I bilagan III till denna förordning fastställs unionens autonoma kvot för skarpsill (</w:t>
      </w:r>
      <w:r>
        <w:rPr>
          <w:i/>
          <w:noProof/>
        </w:rPr>
        <w:t>Sprattus sprattus</w:t>
      </w:r>
      <w:r>
        <w:rPr>
          <w:noProof/>
        </w:rPr>
        <w:t>), fördelningen av denna kvot mellan medlemsstaterna samt, i tillämpliga fall, de villkor som är funktionellt knutna till dessa.</w:t>
      </w:r>
    </w:p>
    <w:p>
      <w:pPr>
        <w:pStyle w:val="Titrearticle"/>
        <w:rPr>
          <w:b/>
          <w:i w:val="0"/>
          <w:noProof/>
        </w:rPr>
      </w:pPr>
      <w:r>
        <w:rPr>
          <w:noProof/>
        </w:rPr>
        <w:t>Artikel 12</w:t>
      </w:r>
      <w:r>
        <w:rPr>
          <w:noProof/>
        </w:rPr>
        <w:br/>
      </w:r>
      <w:r>
        <w:rPr>
          <w:b/>
          <w:i w:val="0"/>
          <w:noProof/>
        </w:rPr>
        <w:t xml:space="preserve">Fördelning av fiskemöjligheter avseende piggvar </w:t>
      </w:r>
      <w:r>
        <w:rPr>
          <w:b/>
          <w:i w:val="0"/>
          <w:noProof/>
        </w:rPr>
        <w:br/>
      </w:r>
    </w:p>
    <w:p>
      <w:pPr>
        <w:rPr>
          <w:noProof/>
        </w:rPr>
      </w:pPr>
      <w:r>
        <w:rPr>
          <w:noProof/>
        </w:rPr>
        <w:t>I bilaga III till denna förordning anges den totala tillåtna fångstmängden (TAC) för piggvar (</w:t>
      </w:r>
      <w:r>
        <w:rPr>
          <w:i/>
          <w:noProof/>
        </w:rPr>
        <w:t>Psetta maxima</w:t>
      </w:r>
      <w:r>
        <w:rPr>
          <w:noProof/>
        </w:rPr>
        <w:t xml:space="preserve">) som är tillämplig för unionsfiskefartyg i unionens vatten i Svarta havet och fördelningen av TAC:erna mellan medlemsstaterna samt, i tillämpliga fall, vilka villkor som är funktionellt knutna till TAC:erna. </w:t>
      </w:r>
    </w:p>
    <w:p>
      <w:pPr>
        <w:pStyle w:val="Titrearticle"/>
        <w:rPr>
          <w:b/>
          <w:i w:val="0"/>
          <w:noProof/>
        </w:rPr>
      </w:pPr>
      <w:r>
        <w:rPr>
          <w:noProof/>
        </w:rPr>
        <w:t>Artikel 13</w:t>
      </w:r>
      <w:r>
        <w:rPr>
          <w:noProof/>
        </w:rPr>
        <w:br/>
      </w:r>
      <w:r>
        <w:rPr>
          <w:b/>
          <w:i w:val="0"/>
          <w:noProof/>
        </w:rPr>
        <w:t>Förvaltning av fiskeansträngningen avseende piggvar</w:t>
      </w:r>
    </w:p>
    <w:p>
      <w:pPr>
        <w:rPr>
          <w:noProof/>
        </w:rPr>
      </w:pPr>
      <w:r>
        <w:rPr>
          <w:noProof/>
        </w:rPr>
        <w:t>Unionsfiskefartyg som har tillstånd att fiska efter piggvar i unionens vatten i Svarta havet får, oberoende av fartygets längd överallt, inte fiska under mer än 180 fiskedagar per år.</w:t>
      </w:r>
    </w:p>
    <w:p>
      <w:pPr>
        <w:rPr>
          <w:noProof/>
        </w:rPr>
      </w:pPr>
    </w:p>
    <w:p>
      <w:pPr>
        <w:pStyle w:val="Titrearticle"/>
        <w:rPr>
          <w:b/>
          <w:i w:val="0"/>
          <w:noProof/>
        </w:rPr>
      </w:pPr>
      <w:r>
        <w:rPr>
          <w:noProof/>
        </w:rPr>
        <w:t>Artikel 14</w:t>
      </w:r>
      <w:r>
        <w:rPr>
          <w:noProof/>
        </w:rPr>
        <w:br/>
      </w:r>
      <w:r>
        <w:rPr>
          <w:b/>
          <w:i w:val="0"/>
          <w:noProof/>
        </w:rPr>
        <w:t>Fredningsperiod för piggvar</w:t>
      </w:r>
    </w:p>
    <w:p>
      <w:pPr>
        <w:rPr>
          <w:noProof/>
        </w:rPr>
      </w:pPr>
      <w:r>
        <w:rPr>
          <w:noProof/>
        </w:rPr>
        <w:t xml:space="preserve">Det ska vara förbjudet för unionsfiskefartyg att bedriva någon form av fiskeverksamhet, inbegripet omlastning, bevarande ombord och landning av piggvar i unionens vatten i Svarta havet mellan den 15 april och den 15 juni. </w:t>
      </w:r>
    </w:p>
    <w:p>
      <w:pPr>
        <w:pStyle w:val="Titrearticle"/>
        <w:rPr>
          <w:b/>
          <w:i w:val="0"/>
          <w:noProof/>
        </w:rPr>
      </w:pPr>
      <w:r>
        <w:rPr>
          <w:noProof/>
        </w:rPr>
        <w:t>Artikel 15</w:t>
      </w:r>
      <w:r>
        <w:rPr>
          <w:noProof/>
        </w:rPr>
        <w:br/>
      </w:r>
      <w:r>
        <w:rPr>
          <w:b/>
          <w:i w:val="0"/>
          <w:noProof/>
        </w:rPr>
        <w:t>Särskilda bestämmelser om fördelning av fiskemöjligheter i Svarta havet</w:t>
      </w:r>
      <w:r>
        <w:rPr>
          <w:b/>
          <w:i w:val="0"/>
          <w:noProof/>
        </w:rPr>
        <w:br/>
      </w:r>
    </w:p>
    <w:p>
      <w:pPr>
        <w:rPr>
          <w:noProof/>
        </w:rPr>
      </w:pPr>
      <w:r>
        <w:rPr>
          <w:noProof/>
        </w:rPr>
        <w:t>Fördelningen mellan medlemsstaterna av fiskemöjligheter enligt artiklarna 11 och 12 i denna förordning ska inte påverka</w:t>
      </w:r>
    </w:p>
    <w:p>
      <w:pPr>
        <w:pStyle w:val="Point0"/>
        <w:rPr>
          <w:noProof/>
        </w:rPr>
      </w:pPr>
      <w:r>
        <w:t>(a)</w:t>
      </w:r>
      <w:r>
        <w:tab/>
      </w:r>
      <w:r>
        <w:rPr>
          <w:noProof/>
        </w:rPr>
        <w:t>byten enligt artikel 16.8 i förordning (EU) nr 1380/2013,</w:t>
      </w:r>
    </w:p>
    <w:p>
      <w:pPr>
        <w:pStyle w:val="Point0"/>
        <w:rPr>
          <w:noProof/>
        </w:rPr>
      </w:pPr>
      <w:r>
        <w:t>(b)</w:t>
      </w:r>
      <w:r>
        <w:tab/>
      </w:r>
      <w:r>
        <w:rPr>
          <w:noProof/>
        </w:rPr>
        <w:t>reduceringar och omfördelningar enligt artikel 37 i förordning (EG) nr 1224/2009</w:t>
      </w:r>
      <w:r>
        <w:rPr>
          <w:rStyle w:val="FootnoteReference"/>
          <w:noProof/>
        </w:rPr>
        <w:footnoteReference w:id="14"/>
      </w:r>
      <w:r>
        <w:rPr>
          <w:noProof/>
        </w:rPr>
        <w:t>,</w:t>
      </w:r>
    </w:p>
    <w:p>
      <w:pPr>
        <w:pStyle w:val="Point0"/>
        <w:rPr>
          <w:noProof/>
        </w:rPr>
      </w:pPr>
      <w:r>
        <w:t>(c)</w:t>
      </w:r>
      <w:r>
        <w:tab/>
      </w:r>
      <w:r>
        <w:rPr>
          <w:noProof/>
        </w:rPr>
        <w:t>avdrag enligt artiklarna 105 och 107 i förordning (EG) nr 1224/2009.</w:t>
      </w:r>
    </w:p>
    <w:p>
      <w:pPr>
        <w:pStyle w:val="Titrearticle"/>
        <w:rPr>
          <w:b/>
          <w:i w:val="0"/>
          <w:noProof/>
        </w:rPr>
      </w:pPr>
      <w:r>
        <w:rPr>
          <w:noProof/>
        </w:rPr>
        <w:t>Artikel 16</w:t>
      </w:r>
      <w:r>
        <w:rPr>
          <w:noProof/>
        </w:rPr>
        <w:br/>
      </w:r>
      <w:r>
        <w:rPr>
          <w:b/>
          <w:i w:val="0"/>
          <w:noProof/>
        </w:rPr>
        <w:t>Överföring av uppgifter</w:t>
      </w:r>
      <w:r>
        <w:rPr>
          <w:b/>
          <w:i w:val="0"/>
          <w:noProof/>
        </w:rPr>
        <w:br/>
      </w:r>
    </w:p>
    <w:p>
      <w:pPr>
        <w:rPr>
          <w:noProof/>
        </w:rPr>
      </w:pPr>
      <w:r>
        <w:rPr>
          <w:noProof/>
        </w:rPr>
        <w:t>När medlemsstaterna, i enlighet med artiklarna 33 och 34 i förordning (EG) nr 1224/2009, sänder uppgifter till kommissionen om de kvantiteter ur varje bestånd av skarpsill och piggvar som fångats i unionens vatten i Svarta havet, ska de använda de beståndskoder som anges i bilaga III till denna förordning.</w:t>
      </w:r>
    </w:p>
    <w:p>
      <w:pPr>
        <w:rPr>
          <w:noProof/>
        </w:rPr>
      </w:pPr>
    </w:p>
    <w:p>
      <w:pPr>
        <w:pStyle w:val="ChapterTitle"/>
        <w:rPr>
          <w:noProof/>
        </w:rPr>
      </w:pPr>
      <w:r>
        <w:rPr>
          <w:noProof/>
        </w:rPr>
        <w:t>AVDELNING III</w:t>
      </w:r>
      <w:r>
        <w:rPr>
          <w:noProof/>
        </w:rPr>
        <w:br/>
      </w:r>
      <w:r>
        <w:rPr>
          <w:noProof/>
        </w:rPr>
        <w:br/>
        <w:t>SLUTBESTÄMMELSER</w:t>
      </w:r>
    </w:p>
    <w:p>
      <w:pPr>
        <w:pStyle w:val="Titrearticle"/>
        <w:rPr>
          <w:b/>
          <w:i w:val="0"/>
          <w:noProof/>
        </w:rPr>
      </w:pPr>
      <w:r>
        <w:rPr>
          <w:noProof/>
        </w:rPr>
        <w:t xml:space="preserve">Artikel 17 </w:t>
      </w:r>
      <w:r>
        <w:rPr>
          <w:noProof/>
        </w:rPr>
        <w:br/>
      </w:r>
      <w:r>
        <w:rPr>
          <w:b/>
          <w:i w:val="0"/>
          <w:noProof/>
        </w:rPr>
        <w:t>Ikraftträdande</w:t>
      </w:r>
    </w:p>
    <w:p>
      <w:pPr>
        <w:rPr>
          <w:noProof/>
        </w:rPr>
      </w:pPr>
      <w:r>
        <w:rPr>
          <w:noProof/>
        </w:rPr>
        <w:t xml:space="preserve">Denna förordning träder i kraft dagen efter det att den har offentliggjorts i </w:t>
      </w:r>
      <w:r>
        <w:rPr>
          <w:i/>
          <w:noProof/>
        </w:rPr>
        <w:t>Europeiska unionens officiella tidning</w:t>
      </w:r>
      <w:r>
        <w:rPr>
          <w:noProof/>
        </w:rPr>
        <w:t>.</w:t>
      </w:r>
    </w:p>
    <w:p>
      <w:pPr>
        <w:rPr>
          <w:noProof/>
        </w:rPr>
      </w:pPr>
      <w:r>
        <w:rPr>
          <w:noProof/>
        </w:rPr>
        <w:t>Den ska tillämpas från och med den 1 januari 2020.</w:t>
      </w:r>
    </w:p>
    <w:p>
      <w:pPr>
        <w:pStyle w:val="Applicationdirecte"/>
        <w:keepNext/>
        <w:keepLines/>
        <w:rPr>
          <w:noProof/>
        </w:rPr>
      </w:pPr>
      <w:r>
        <w:rPr>
          <w:noProof/>
        </w:rPr>
        <w:lastRenderedPageBreak/>
        <w:t>Denna förordning är till alla delar bindande och direkt tillämplig i alla medlemsstater.</w:t>
      </w:r>
    </w:p>
    <w:p>
      <w:pPr>
        <w:pStyle w:val="Fait"/>
        <w:rPr>
          <w:noProof/>
        </w:rPr>
      </w:pPr>
      <w:r>
        <w:t>Utfärdad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US"/>
        </w:rPr>
        <w:tab/>
        <w:t>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footnote>
  <w:footnote w:id="2">
    <w:p>
      <w:pPr>
        <w:pStyle w:val="FootnoteText"/>
        <w:rPr>
          <w:lang w:val="en-US"/>
        </w:rPr>
      </w:pPr>
      <w:r>
        <w:rPr>
          <w:rStyle w:val="FootnoteReference"/>
        </w:rPr>
        <w:footnoteRef/>
      </w:r>
      <w:r>
        <w:rPr>
          <w:lang w:val="en-US"/>
        </w:rPr>
        <w:tab/>
        <w:t>Regulation (EU) 2019/1022 of the European Parliament and of the Council of 20 June 2019 establishing a multiannual plan for the fisheries exploiting demersal stocks in the western Mediterranean Sea and amending Regulation (EU) No 508/2014, OJ L 172, 26.06.2019, p. 1.</w:t>
      </w:r>
    </w:p>
  </w:footnote>
  <w:footnote w:id="3">
    <w:p>
      <w:pPr>
        <w:pStyle w:val="FootnoteText"/>
        <w:rPr>
          <w:lang w:val="en-US"/>
        </w:rPr>
      </w:pPr>
      <w:r>
        <w:rPr>
          <w:rStyle w:val="FootnoteReference"/>
        </w:rPr>
        <w:footnoteRef/>
      </w:r>
      <w:r>
        <w:rPr>
          <w:lang w:val="en-US"/>
        </w:rPr>
        <w:tab/>
        <w:t>Council Regulation (EU) 2018/2058 of 17 December 2018 fixing for 2019 the fishing opportunities for certain fish stocks and groups of fish stocks in the Black Sea (OJ L 329, 27.12.2018, p. 8)</w:t>
      </w:r>
    </w:p>
  </w:footnote>
  <w:footnote w:id="4">
    <w:p>
      <w:pPr>
        <w:pStyle w:val="FootnoteText"/>
        <w:rPr>
          <w:lang w:val="en-US"/>
        </w:rPr>
      </w:pPr>
      <w:r>
        <w:rPr>
          <w:rStyle w:val="FootnoteReference"/>
        </w:rPr>
        <w:footnoteRef/>
      </w:r>
      <w:r>
        <w:rPr>
          <w:lang w:val="en-US"/>
        </w:rPr>
        <w:tab/>
        <w:t>Council Regulation (EU) 2019/124 of 30 January 2019 fixing for 2019 the fishing opportunities for certain fish stocks and groups of fish stocks, applicable in Union waters and, for Union fishing vessels, in certain non-Union waters (OJ L 29, 31.1.2019, p.1).</w:t>
      </w:r>
    </w:p>
  </w:footnote>
  <w:footnote w:id="5">
    <w:p>
      <w:pPr>
        <w:pStyle w:val="FootnoteText"/>
        <w:rPr>
          <w:lang w:val="en-US"/>
        </w:rPr>
      </w:pPr>
      <w:r>
        <w:rPr>
          <w:rStyle w:val="FootnoteReference"/>
        </w:rPr>
        <w:footnoteRef/>
      </w:r>
      <w:r>
        <w:rPr>
          <w:lang w:val="en-US"/>
        </w:rPr>
        <w:tab/>
        <w:t>Communication from the Commission to the European Parliament and to the Council  on the State of Play of the Common Fisheries Policy and Consultation on the Fishing Opportunities for 2020, COM/2019/274 final.</w:t>
      </w:r>
    </w:p>
  </w:footnote>
  <w:footnote w:id="6">
    <w:p>
      <w:pPr>
        <w:pStyle w:val="FootnoteText"/>
        <w:rPr>
          <w:lang w:val="en-US"/>
        </w:rPr>
      </w:pPr>
      <w:r>
        <w:rPr>
          <w:rStyle w:val="FootnoteReference"/>
        </w:rPr>
        <w:footnoteRef/>
      </w:r>
      <w:r>
        <w:rPr>
          <w:lang w:val="en-US"/>
        </w:rPr>
        <w:tab/>
        <w:t>SEC(2011)891 final of 13.7.2011 and SWD(2018)59 and 60 final, of 8.3.2018, respectively.</w:t>
      </w:r>
    </w:p>
  </w:footnote>
  <w:footnote w:id="7">
    <w:p>
      <w:pPr>
        <w:pStyle w:val="FootnoteText"/>
        <w:rPr>
          <w:lang w:val="en-US"/>
        </w:rPr>
      </w:pPr>
      <w:r>
        <w:rPr>
          <w:rStyle w:val="FootnoteReference"/>
        </w:rPr>
        <w:footnoteRef/>
      </w:r>
      <w:r>
        <w:rPr>
          <w:lang w:val="en-US"/>
        </w:rPr>
        <w:tab/>
        <w:t>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footnote>
  <w:footnote w:id="8">
    <w:p>
      <w:pPr>
        <w:pStyle w:val="FootnoteText"/>
        <w:rPr>
          <w:lang w:val="en-US"/>
        </w:rPr>
      </w:pPr>
      <w:r>
        <w:rPr>
          <w:rStyle w:val="FootnoteReference"/>
        </w:rPr>
        <w:footnoteRef/>
      </w:r>
      <w:r>
        <w:rPr>
          <w:lang w:val="en-US"/>
        </w:rPr>
        <w:tab/>
        <w:t>Regulation (EU) 2019/1022 of the European Parliament and of the Council of 20 June 2019 establishing a multiannual plan for the fisheries exploiting demersal stocks in the western Mediterranean Sea and amending Regulation (EU) No 508/2014, OJ L 172, 26.6.2019, p. 1</w:t>
      </w:r>
    </w:p>
  </w:footnote>
  <w:footnote w:id="9">
    <w:p>
      <w:pPr>
        <w:pStyle w:val="FootnoteText"/>
        <w:rPr>
          <w:lang w:val="en-US"/>
        </w:rPr>
      </w:pPr>
      <w:r>
        <w:rPr>
          <w:rStyle w:val="FootnoteReference"/>
        </w:rPr>
        <w:footnoteRef/>
      </w:r>
      <w:r>
        <w:rPr>
          <w:lang w:val="en-US"/>
        </w:rPr>
        <w:tab/>
        <w:t>Council Regulation (EC) No 1100/2007 of 18 September 2007 establishing measures for the recovery of the stock of European eel (OJ L 248, 22.9.2007, p. 17).</w:t>
      </w:r>
    </w:p>
  </w:footnote>
  <w:footnote w:id="10">
    <w:p>
      <w:pPr>
        <w:pStyle w:val="FootnoteText"/>
        <w:rPr>
          <w:lang w:val="en-US"/>
        </w:rPr>
      </w:pPr>
      <w:r>
        <w:rPr>
          <w:rStyle w:val="FootnoteReference"/>
        </w:rPr>
        <w:footnoteRef/>
      </w:r>
      <w:r>
        <w:rPr>
          <w:lang w:val="en-US"/>
        </w:rPr>
        <w:tab/>
        <w:t>Council Regulation (EC) No 847/96 of 6 May 1996 introducing additional conditions for year-to-year management of TACs and quotas (OJ L 115, 9.5.1996, p. 3).</w:t>
      </w:r>
    </w:p>
  </w:footnote>
  <w:footnote w:id="11">
    <w:p>
      <w:pPr>
        <w:pStyle w:val="FootnoteText"/>
        <w:rPr>
          <w:lang w:val="en-US"/>
        </w:rPr>
      </w:pPr>
      <w:r>
        <w:rPr>
          <w:rStyle w:val="FootnoteReference"/>
        </w:rPr>
        <w:footnoteRef/>
      </w:r>
      <w:r>
        <w:rPr>
          <w:lang w:val="en-US"/>
        </w:rPr>
        <w:tab/>
        <w:t>Council Regulation (EC) No 1224/2009 of 20 November 2009 establishing a Union control system for ensuring compliance with the rules of the common fisheries policy, amending Regulations (EC) No 847/96, (EC) No 2371/2002, (EC) No 811/2004, (EC) No 768/2005, (EC) No 2115/2005, (EC) No 2166/2005, (EC) No 388/2006, (EC) No 509/2007, (EC) No 676/2007, (EC) No 1098/2007, (EC) No 1300/2008, (EC) No 1342/2008 and repealing Regulations (EEC) No 2847/93, (EC) No 1627/94 and (EC) No 1966/2006 (OJ L 343, 22.12.2009, p. 1).</w:t>
      </w:r>
    </w:p>
  </w:footnote>
  <w:footnote w:id="12">
    <w:p>
      <w:pPr>
        <w:pStyle w:val="FootnoteText"/>
        <w:rPr>
          <w:lang w:val="en-US"/>
        </w:rPr>
      </w:pPr>
      <w:r>
        <w:rPr>
          <w:rStyle w:val="FootnoteReference"/>
        </w:rPr>
        <w:footnoteRef/>
      </w:r>
      <w:r>
        <w:rPr>
          <w:lang w:val="en-US"/>
        </w:rPr>
        <w:tab/>
        <w:t>Regulation (EU) No 1343/2011 of the European Parliament and of the Council of 13 December 2011 on certain provisions for fishing in the GFCM (General Fisheries Commission for the Mediterranean) Agreement area and amending Council Regulation (EC) No 1967/2006 concerning management measures for the sustainable exploitation of fishery resources in the Mediterranean Sea (OJ L 347, 30.12.2011, p.44).</w:t>
      </w:r>
    </w:p>
  </w:footnote>
  <w:footnote w:id="13">
    <w:p>
      <w:pPr>
        <w:pStyle w:val="FootnoteText"/>
        <w:rPr>
          <w:lang w:val="en-US"/>
        </w:rPr>
      </w:pPr>
      <w:r>
        <w:rPr>
          <w:rStyle w:val="FootnoteReference"/>
        </w:rPr>
        <w:footnoteRef/>
      </w:r>
      <w:r>
        <w:rPr>
          <w:lang w:val="en-US"/>
        </w:rPr>
        <w:tab/>
        <w:t>Council Regulation (EC) No 1100/2007 of 18 September 2007 establishing measures for the recovery of the stock of European eel, OJ L 248, 22.9.2007, p. 17.</w:t>
      </w:r>
    </w:p>
  </w:footnote>
  <w:footnote w:id="14">
    <w:p>
      <w:pPr>
        <w:pStyle w:val="FootnoteText"/>
        <w:rPr>
          <w:lang w:val="en-US"/>
        </w:rPr>
      </w:pPr>
      <w:r>
        <w:rPr>
          <w:rStyle w:val="FootnoteReference"/>
        </w:rPr>
        <w:footnoteRef/>
      </w:r>
      <w:r>
        <w:rPr>
          <w:lang w:val="en-US"/>
        </w:rPr>
        <w:tab/>
        <w:t>Council Regulation (EC) No 1224/2009 of 20 November 2009 establishing a Union control system for ensuring compliance with the rules of the common fisheries policy, amending Regulations (EC) No 847/96, (EC) 2371/2002, (EC) 811/2004, (EC) 768/2005, (EC) 2115/2005, (EC) 2166/2005, (EC) 388/2006, (EC) 509/2007, (EC) 676/2007, (EC) 1098/2007, (EC) 1300/2008, (EC) 1342/2008, and repealing Regulations (EEC) No 2847/93, (EC) No 1627/94 and (EC) No 1966/2006 (OJ L 343, 22.12.2009,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A86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26A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B68B5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2A5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3E6E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F0D2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AA5582"/>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AA1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3"/>
    </w:lvlOverride>
    <w:lvlOverride w:ilvl="2">
      <w:startOverride w:val="1"/>
    </w:lvlOverride>
    <w:lvlOverride w:ilvl="3">
      <w:startOverride w:val="9"/>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1 12:21: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71F24CF-7F64-4623-BB2E-379C195F163E"/>
    <w:docVar w:name="LW_COVERPAGE_TYPE" w:val="1"/>
    <w:docVar w:name="LW_CROSSREFERENCE" w:val="&lt;UNUSED&gt;"/>
    <w:docVar w:name="LW_DocType" w:val="COM"/>
    <w:docVar w:name="LW_EMISSION" w:val="8.10.2019"/>
    <w:docVar w:name="LW_EMISSION_ISODATE" w:val="2019-10-08"/>
    <w:docVar w:name="LW_EMISSION_LOCATION" w:val="BRX"/>
    <w:docVar w:name="LW_EMISSION_PREFIX" w:val="Bryssel den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11"/>
    <w:docVar w:name="LW_REF.II.NEW.CP_YEAR" w:val="2019"/>
    <w:docVar w:name="LW_REF.INST.NEW" w:val="COM"/>
    <w:docVar w:name="LW_REF.INST.NEW_ADOPTED" w:val="final"/>
    <w:docVar w:name="LW_REF.INST.NEW_TEXT" w:val="(2019) 4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fastställande för 2020 av fiskemöjligheterna för vissa fiskbestånd och grupper av fiskbestånd i Medelhavet och Svarta havet"/>
    <w:docVar w:name="LW_TYPE.DOC.CP" w:val="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88365-F5A4-4BFB-AAC8-C4F5D273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3622</Words>
  <Characters>22570</Characters>
  <Application>Microsoft Office Word</Application>
  <DocSecurity>0</DocSecurity>
  <Lines>442</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2019-08-27T10:02:00Z</cp:lastPrinted>
  <dcterms:created xsi:type="dcterms:W3CDTF">2019-09-23T11:37:00Z</dcterms:created>
  <dcterms:modified xsi:type="dcterms:W3CDTF">2019-10-01T10:21:00Z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