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5FACB5A-DEA0-4099-B8C6-025AB3E62371" style="width:450.8pt;height:383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ALLEGATO I 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SFORZO DI PESCA DEI PESCHERECCI DELL'UNIONE NELL'AMBITO DELLA GESTIONE DEGLI STOCK DEMERSALI NEL MAR MEDITERRANEO OCCIDENTALE</w:t>
      </w:r>
    </w:p>
    <w:p>
      <w:pPr>
        <w:rPr>
          <w:noProof/>
        </w:rPr>
      </w:pPr>
      <w:r>
        <w:rPr>
          <w:noProof/>
        </w:rPr>
        <w:t>Nelle tabelle del presente allegato figurano lo sforzo di pesca massimo consentito (espresso in giorni di pesca) per i gruppi di stock definiti all'articolo 1 del regolamento (UE) 2019/1022 e la lunghezza fuori tutto delle navi, per tutti i tipi di reti da traino</w:t>
      </w:r>
      <w:r>
        <w:rPr>
          <w:rStyle w:val="FootnoteReference"/>
          <w:noProof/>
        </w:rPr>
        <w:footnoteReference w:customMarkFollows="1" w:id="1"/>
        <w:t>*</w:t>
      </w:r>
      <w:r>
        <w:rPr>
          <w:noProof/>
        </w:rPr>
        <w:t>, che praticano la pesca di stock demersali nel Mar Mediterraneo occidentale.</w:t>
      </w:r>
    </w:p>
    <w:p>
      <w:pPr>
        <w:rPr>
          <w:noProof/>
        </w:rPr>
      </w:pPr>
      <w:r>
        <w:rPr>
          <w:noProof/>
        </w:rPr>
        <w:t xml:space="preserve">Tutti i valori dello sforzo di pesca massimo consentito stabiliti nel presente allegato sono soggetti alle norme fissate nel regolamento (UE) 2019/1022 e negli articoli da 26 a 35 del regolamento (CE) n. 1224/2009. </w:t>
      </w:r>
    </w:p>
    <w:p>
      <w:pPr>
        <w:spacing w:after="0"/>
        <w:rPr>
          <w:noProof/>
        </w:rPr>
      </w:pPr>
      <w:r>
        <w:rPr>
          <w:noProof/>
        </w:rPr>
        <w:t>I riferimenti alle zone di pesca si intendono fatti a sottozone geografiche (GSA) della CGPM.</w:t>
      </w:r>
    </w:p>
    <w:p>
      <w:pPr>
        <w:rPr>
          <w:noProof/>
        </w:rPr>
      </w:pPr>
      <w:r>
        <w:rPr>
          <w:noProof/>
        </w:rPr>
        <w:t>Ai fini del presente allegato è fornita la seguente tabella comparativa dei nomi latini e dei nomi comuni: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scientifico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Codice alfa-3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comune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Aristaeomorpha foliacea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ARS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Gambero rosso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Aristeus antennatus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ARA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Gambero viola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Nasello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Triglia di fango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norvegicus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Scampo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Gambero rosa mediterraneo</w:t>
            </w:r>
          </w:p>
        </w:tc>
      </w:tr>
    </w:tbl>
    <w:p>
      <w:pPr>
        <w:pBdr>
          <w:bottom w:val="single" w:sz="4" w:space="1" w:color="auto"/>
        </w:pBdr>
        <w:spacing w:after="0"/>
        <w:ind w:left="3969" w:right="4206"/>
        <w:rPr>
          <w:b/>
          <w:noProof/>
        </w:rPr>
      </w:pPr>
    </w:p>
    <w:p>
      <w:pPr>
        <w:spacing w:after="160" w:line="259" w:lineRule="auto"/>
        <w:rPr>
          <w:b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</w:rPr>
      </w:pPr>
      <w:r>
        <w:rPr>
          <w:b/>
          <w:noProof/>
        </w:rPr>
        <w:t>Sforzo di pesca massimo consentito espresso in giorni di pesca</w:t>
      </w:r>
    </w:p>
    <w:p>
      <w:pPr>
        <w:spacing w:after="160" w:line="259" w:lineRule="auto"/>
        <w:rPr>
          <w:noProof/>
        </w:rPr>
      </w:pPr>
      <w:r>
        <w:rPr>
          <w:noProof/>
        </w:rPr>
        <w:t>(a) Mare di Alboran, Isole Baleari, nord della Spagna e Golfo del Leone (GSA 1, 2, 5, 6 e 7)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Gruppo di stock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Lunghezza fuori tutto delle navi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Spagna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Codice del gruppo di sforzo di pesca</w:t>
            </w:r>
          </w:p>
        </w:tc>
      </w:tr>
      <w:tr>
        <w:trPr>
          <w:trHeight w:val="42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Triglia di fango nelle GSA 1, 5, 6 e 7; nasello nelle GSA 1, 5, 6 e 7; gambero rosa mediterraneo nelle GSA 1, 5 e 6; scampo nelle GSA 5 e 6.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2 260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EFF1/MED1_TR1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e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24 284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EFF1/MED1_TR2</w:t>
            </w:r>
          </w:p>
        </w:tc>
      </w:tr>
      <w:tr>
        <w:trPr>
          <w:trHeight w:val="42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e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46 277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5 144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EFF1/MED1_TR3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 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16 240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6 258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Gruppo di stock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Lunghezza fuori tutto delle navi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Spagna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Codice del gruppo di sforzo di pesca</w:t>
            </w:r>
          </w:p>
        </w:tc>
      </w:tr>
      <w:tr>
        <w:trPr>
          <w:trHeight w:val="35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Gambero viola nelle GSA 1, 5, 6 e 7.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EFF2/MED1_TR1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e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1 139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EFF2/MED1_TR2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e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10 822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EFF2/MED1_TR3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 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9 066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EFF2/MED1_TR4</w:t>
            </w:r>
          </w:p>
        </w:tc>
      </w:tr>
    </w:tbl>
    <w:p>
      <w:pPr>
        <w:spacing w:after="0"/>
        <w:rPr>
          <w:noProof/>
        </w:rPr>
      </w:pPr>
    </w:p>
    <w:p>
      <w:pPr>
        <w:rPr>
          <w:noProof/>
        </w:rPr>
      </w:pPr>
      <w:r>
        <w:rPr>
          <w:noProof/>
        </w:rPr>
        <w:t>(b) Corsica, Mar Ligure, Mar Tirreno e Sardegna (GSA 8, 9, 10 e 11)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Gruppo di stock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Lunghezza fuori tutto delle navi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Spagna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Codice del gruppo di sforzo di pesca</w:t>
            </w:r>
          </w:p>
        </w:tc>
      </w:tr>
      <w:tr>
        <w:trPr>
          <w:trHeight w:val="42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Triglia di fango nelle GSA 9, 10 e 11; nasello nelle GSA 9, 10 e 11; gambero rosa mediterraneo nelle GSA 9, 10 e 11; scampo nelle GSA 9 e 10.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3 081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EFF1/MED2_TR1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e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832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46 350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EFF1/MED2_TR2</w:t>
            </w:r>
          </w:p>
        </w:tc>
      </w:tr>
      <w:tr>
        <w:trPr>
          <w:trHeight w:val="42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e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31 170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EFF1/MED2_TR3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 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4 160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Gruppo di stock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Lunghezza fuori tutto delle navi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Spagna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Codice del gruppo di sforzo di pesca</w:t>
            </w:r>
          </w:p>
        </w:tc>
      </w:tr>
      <w:tr>
        <w:trPr>
          <w:trHeight w:val="35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Gambero rosso nelle GSA 9, 10 e 11.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510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EFF2/MED2_TR1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e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3 760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EFF2/MED2_TR2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e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3 028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EFF2/MED2_TR3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 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405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r>
        <w:rPr>
          <w:noProof/>
        </w:rPr>
        <w:t>ALLEGATO II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 xml:space="preserve">POSSIBILITÀ DI PESCA PER I PESCHERECCI DELL'UNIONE NEL MARE ADRIATICO </w:t>
      </w:r>
    </w:p>
    <w:p>
      <w:pPr>
        <w:rPr>
          <w:noProof/>
        </w:rPr>
      </w:pPr>
      <w:r>
        <w:rPr>
          <w:noProof/>
        </w:rPr>
        <w:t>Nelle tabelle del presente allegato figurano le possibilità di pesca per stock o per gruppo di sforzo delle navi e le eventuali condizioni ad esse funzionalmente collegate.</w:t>
      </w:r>
    </w:p>
    <w:p>
      <w:pPr>
        <w:rPr>
          <w:noProof/>
        </w:rPr>
      </w:pPr>
      <w:r>
        <w:rPr>
          <w:noProof/>
        </w:rPr>
        <w:t xml:space="preserve">Tutte le possibilità di pesca stabilite nel presente allegato sono soggette alle norme fissate negli articoli da 26 a 35 del regolamento (CE) n. 1224/2009. </w:t>
      </w:r>
    </w:p>
    <w:p>
      <w:pPr>
        <w:rPr>
          <w:noProof/>
        </w:rPr>
      </w:pPr>
      <w:r>
        <w:rPr>
          <w:noProof/>
        </w:rPr>
        <w:t>I riferimenti alle zone di pesca si intendono fatti a sottozone geografiche (GSA) della CGPM.</w:t>
      </w:r>
    </w:p>
    <w:p>
      <w:pPr>
        <w:rPr>
          <w:noProof/>
        </w:rPr>
      </w:pPr>
      <w:r>
        <w:rPr>
          <w:noProof/>
        </w:rPr>
        <w:t>Ai fini del presente allegato è fornita la seguente tabella comparativa dei nomi latini e dei nomi comuni: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scientifico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Codice alfa-3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comune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Engraulis encrasicolus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ANE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Acciuga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Nasello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Triglia di fango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norvegicus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Scampo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Sardina pilchardus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Solea solea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PIL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SOL</w:t>
            </w:r>
          </w:p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Gambero rosa mediterraneo</w:t>
            </w:r>
          </w:p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Sardina</w:t>
            </w:r>
          </w:p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Sogliola</w:t>
            </w:r>
          </w:p>
        </w:tc>
      </w:tr>
    </w:tbl>
    <w:p>
      <w:pPr>
        <w:rPr>
          <w:noProof/>
        </w:rPr>
      </w:pPr>
    </w:p>
    <w:p>
      <w:pPr>
        <w:pStyle w:val="NumPar1"/>
        <w:numPr>
          <w:ilvl w:val="0"/>
          <w:numId w:val="5"/>
        </w:numPr>
        <w:rPr>
          <w:b/>
          <w:noProof/>
        </w:rPr>
      </w:pPr>
      <w:r>
        <w:rPr>
          <w:b/>
          <w:noProof/>
        </w:rPr>
        <w:t>Stock di piccoli pelagici – GSA 17 e 18</w:t>
      </w:r>
    </w:p>
    <w:p>
      <w:pPr>
        <w:rPr>
          <w:noProof/>
        </w:rPr>
      </w:pPr>
      <w:r>
        <w:rPr>
          <w:noProof/>
        </w:rPr>
        <w:t>Nelle tabelle della presente sezione figura il livello massimo di catture espresso in tonnellate di peso vivo.</w:t>
      </w:r>
    </w:p>
    <w:tbl>
      <w:tblPr>
        <w:tblW w:w="93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48"/>
        <w:gridCol w:w="426"/>
        <w:gridCol w:w="1842"/>
        <w:gridCol w:w="993"/>
        <w:gridCol w:w="850"/>
        <w:gridCol w:w="4120"/>
      </w:tblGrid>
      <w:tr>
        <w:trPr>
          <w:trHeight w:val="227"/>
        </w:trPr>
        <w:tc>
          <w:tcPr>
            <w:tcW w:w="1148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Specie: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Piccole specie pelagiche </w:t>
            </w:r>
            <w:r>
              <w:rPr>
                <w:noProof/>
                <w:sz w:val="18"/>
                <w:szCs w:val="16"/>
              </w:rPr>
              <w:br/>
              <w:t>(acciuga e sardina)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i/>
                <w:iCs/>
                <w:noProof/>
                <w:sz w:val="18"/>
                <w:szCs w:val="16"/>
              </w:rPr>
              <w:t>Engraulis encrasicolus</w:t>
            </w:r>
            <w:r>
              <w:rPr>
                <w:noProof/>
                <w:sz w:val="18"/>
                <w:szCs w:val="16"/>
              </w:rPr>
              <w:t xml:space="preserve"> </w:t>
            </w:r>
            <w:r>
              <w:rPr>
                <w:noProof/>
                <w:sz w:val="18"/>
                <w:szCs w:val="16"/>
              </w:rPr>
              <w:br/>
              <w:t xml:space="preserve">e </w:t>
            </w:r>
            <w:r>
              <w:rPr>
                <w:i/>
                <w:iCs/>
                <w:noProof/>
                <w:sz w:val="18"/>
                <w:szCs w:val="16"/>
              </w:rPr>
              <w:t>Sardina pilchardus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Zona: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Acque dell'Unione e acque internazionali delle sottozone geografiche 17 e 18 della CGPM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(SP1/GF1718)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Unione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  <w:highlight w:val="yellow"/>
              </w:rPr>
            </w:pPr>
            <w:r>
              <w:rPr>
                <w:noProof/>
                <w:sz w:val="18"/>
                <w:szCs w:val="18"/>
              </w:rPr>
              <w:t>101 711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b/>
                <w:bCs/>
                <w:noProof/>
                <w:sz w:val="18"/>
                <w:szCs w:val="16"/>
                <w:vertAlign w:val="superscript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 (2)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Livello massimo di catture 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Non si applica l'articolo 3 del regolamento (CE) n. 847/96.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Non si applica l'articolo 4 del regolamento (CE) n. 847/96.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TAC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Non pertinente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93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</w:t>
            </w:r>
            <w:r>
              <w:rPr>
                <w:noProof/>
                <w:sz w:val="18"/>
                <w:szCs w:val="16"/>
              </w:rPr>
              <w:tab/>
              <w:t>Per quanto riguarda la Slovenia, i quantitativi sono basati sul livello delle catture nel 2014, fino a un quantitativo che non dovrebbe superare 300 tonnellate.</w:t>
            </w:r>
          </w:p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(2)</w:t>
            </w:r>
            <w:r>
              <w:rPr>
                <w:noProof/>
                <w:sz w:val="18"/>
                <w:szCs w:val="16"/>
              </w:rPr>
              <w:tab/>
              <w:t>Limitato a Croazia, Italia e Slovenia.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keepNext/>
        <w:ind w:left="851" w:hanging="851"/>
        <w:rPr>
          <w:b/>
          <w:noProof/>
        </w:rPr>
      </w:pPr>
      <w:r>
        <w:rPr>
          <w:b/>
          <w:noProof/>
        </w:rPr>
        <w:t>Stock demersali – GSA 17 e 18</w:t>
      </w:r>
    </w:p>
    <w:p>
      <w:pPr>
        <w:rPr>
          <w:noProof/>
        </w:rPr>
      </w:pPr>
      <w:r>
        <w:rPr>
          <w:noProof/>
        </w:rPr>
        <w:t>Nella tabella della presente sezione figurano lo sforzo di pesca massimo consentito (kilowatt-giorni di pesca) per gruppo di sforzo, la lunghezza fuori tutto delle navi e i tipi di reti da traino che pescano stock demersali nelle sottozone geografiche 17 e 18 (Mare Adriatico).</w:t>
      </w:r>
    </w:p>
    <w:tbl>
      <w:tblPr>
        <w:tblStyle w:val="TableGrid2"/>
        <w:tblpPr w:leftFromText="180" w:rightFromText="180" w:vertAnchor="text" w:horzAnchor="margin" w:tblpY="287"/>
        <w:tblW w:w="3486" w:type="pct"/>
        <w:tblLayout w:type="fixed"/>
        <w:tblLook w:val="04A0" w:firstRow="1" w:lastRow="0" w:firstColumn="1" w:lastColumn="0" w:noHBand="0" w:noVBand="1"/>
      </w:tblPr>
      <w:tblGrid>
        <w:gridCol w:w="923"/>
        <w:gridCol w:w="1027"/>
        <w:gridCol w:w="1135"/>
        <w:gridCol w:w="851"/>
        <w:gridCol w:w="661"/>
        <w:gridCol w:w="940"/>
        <w:gridCol w:w="939"/>
      </w:tblGrid>
      <w:tr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1892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kW * giorni di pesca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</w:tr>
      <w:tr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Tipo di attrezzo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Stock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Lunghezza fuori tutto delle navi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Croazia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Italia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Slovenia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Codice del gruppo di sforzo di pesca</w:t>
            </w:r>
          </w:p>
        </w:tc>
      </w:tr>
      <w:tr>
        <w:trPr>
          <w:trHeight w:val="77"/>
        </w:trPr>
        <w:tc>
          <w:tcPr>
            <w:tcW w:w="7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Reti da traino (OTB)</w:t>
            </w:r>
          </w:p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Nasello, gambero rosa mediterraneo, scampo, triglia di fango</w:t>
            </w:r>
            <w:r>
              <w:rPr>
                <w:rFonts w:ascii="Calibri" w:hAnsi="Calibri"/>
                <w:noProof/>
                <w:sz w:val="20"/>
              </w:rPr>
              <w:t xml:space="preserve"> (GSA 17 e 18) </w:t>
            </w:r>
          </w:p>
        </w:tc>
        <w:tc>
          <w:tcPr>
            <w:tcW w:w="876" w:type="pct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 m</w:t>
            </w:r>
          </w:p>
        </w:tc>
        <w:tc>
          <w:tcPr>
            <w:tcW w:w="657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e &lt; 18 m</w:t>
            </w:r>
          </w:p>
        </w:tc>
        <w:tc>
          <w:tcPr>
            <w:tcW w:w="65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e &lt; 24 m</w:t>
            </w:r>
          </w:p>
        </w:tc>
        <w:tc>
          <w:tcPr>
            <w:tcW w:w="65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433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  <w:tcBorders>
              <w:bottom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 24 m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Sfogliare [TBB]</w:t>
            </w:r>
          </w:p>
        </w:tc>
        <w:tc>
          <w:tcPr>
            <w:tcW w:w="793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Sogliola (GSA 17)</w:t>
            </w:r>
          </w:p>
        </w:tc>
        <w:tc>
          <w:tcPr>
            <w:tcW w:w="876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 m</w:t>
            </w:r>
          </w:p>
        </w:tc>
        <w:tc>
          <w:tcPr>
            <w:tcW w:w="65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e &lt; 18 m</w:t>
            </w:r>
          </w:p>
        </w:tc>
        <w:tc>
          <w:tcPr>
            <w:tcW w:w="65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e &lt; 24 m</w:t>
            </w:r>
          </w:p>
        </w:tc>
        <w:tc>
          <w:tcPr>
            <w:tcW w:w="65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 24 m</w:t>
            </w:r>
          </w:p>
        </w:tc>
        <w:tc>
          <w:tcPr>
            <w:tcW w:w="65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Reti a strascico a coppia [PTB] </w:t>
            </w:r>
          </w:p>
        </w:tc>
        <w:tc>
          <w:tcPr>
            <w:tcW w:w="793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Nasello, gambero rosa mediterraneo, scampo, triglia di fango (GSA 17 e 18)</w:t>
            </w:r>
          </w:p>
        </w:tc>
        <w:tc>
          <w:tcPr>
            <w:tcW w:w="876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 m</w:t>
            </w:r>
          </w:p>
        </w:tc>
        <w:tc>
          <w:tcPr>
            <w:tcW w:w="65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e &lt; 18 m</w:t>
            </w:r>
          </w:p>
        </w:tc>
        <w:tc>
          <w:tcPr>
            <w:tcW w:w="65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e &lt; 24 m</w:t>
            </w:r>
          </w:p>
        </w:tc>
        <w:tc>
          <w:tcPr>
            <w:tcW w:w="65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 24 m</w:t>
            </w:r>
          </w:p>
        </w:tc>
        <w:tc>
          <w:tcPr>
            <w:tcW w:w="65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Reti gemelle a divergenti (OTT)</w:t>
            </w:r>
          </w:p>
        </w:tc>
        <w:tc>
          <w:tcPr>
            <w:tcW w:w="793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Nasello, gambero rosa mediterraneo, scampo, triglia di fango (GSA 17 e 18)</w:t>
            </w:r>
          </w:p>
        </w:tc>
        <w:tc>
          <w:tcPr>
            <w:tcW w:w="876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 m</w:t>
            </w:r>
          </w:p>
        </w:tc>
        <w:tc>
          <w:tcPr>
            <w:tcW w:w="65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e &lt; 18 m</w:t>
            </w:r>
          </w:p>
        </w:tc>
        <w:tc>
          <w:tcPr>
            <w:tcW w:w="65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e &lt; 24 m</w:t>
            </w:r>
          </w:p>
        </w:tc>
        <w:tc>
          <w:tcPr>
            <w:tcW w:w="65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7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 24 m</w:t>
            </w:r>
          </w:p>
        </w:tc>
        <w:tc>
          <w:tcPr>
            <w:tcW w:w="65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10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</w:tbl>
    <w:p>
      <w:pPr>
        <w:widowControl w:val="0"/>
        <w:suppressAutoHyphens/>
        <w:autoSpaceDN w:val="0"/>
        <w:spacing w:before="0" w:after="200" w:line="276" w:lineRule="auto"/>
        <w:jc w:val="left"/>
        <w:textAlignment w:val="baseline"/>
        <w:rPr>
          <w:rFonts w:ascii="Calibri" w:eastAsia="Lucida Sans Unicode" w:hAnsi="Calibri" w:cs="Tahoma"/>
          <w:noProof/>
          <w:kern w:val="3"/>
          <w:sz w:val="22"/>
        </w:rPr>
      </w:pP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ALLEGATO III 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POSSIBILITÀ DI PESCA PER I PESCHERECCI DELL'UNIONE NEL MAR NERO</w:t>
      </w:r>
    </w:p>
    <w:p>
      <w:pPr>
        <w:rPr>
          <w:rFonts w:eastAsia="Calibri"/>
          <w:noProof/>
        </w:rPr>
      </w:pPr>
      <w:r>
        <w:rPr>
          <w:noProof/>
        </w:rPr>
        <w:t>Nelle tabelle del presente allegato figurano i TAC e i contingenti espressi in tonnellate di peso vivo per ogni stock e le eventuali condizioni ad essi funzionalmente collegate.</w:t>
      </w:r>
    </w:p>
    <w:p>
      <w:pPr>
        <w:rPr>
          <w:noProof/>
        </w:rPr>
      </w:pPr>
      <w:r>
        <w:rPr>
          <w:noProof/>
        </w:rPr>
        <w:t xml:space="preserve">Tutte le possibilità di pesca stabilite nel presente allegato sono soggette alle norme fissate negli articoli da 26 a 35 del regolamento (CE) n. 1224/2009. </w:t>
      </w:r>
    </w:p>
    <w:p>
      <w:pPr>
        <w:rPr>
          <w:noProof/>
        </w:rPr>
      </w:pPr>
      <w:r>
        <w:rPr>
          <w:noProof/>
        </w:rPr>
        <w:t>I riferimenti alle zone di pesca si intendono fatti a sottozone geografiche (GSA) della CGPM.</w:t>
      </w:r>
    </w:p>
    <w:p>
      <w:pPr>
        <w:rPr>
          <w:noProof/>
        </w:rPr>
      </w:pPr>
      <w:r>
        <w:rPr>
          <w:noProof/>
        </w:rPr>
        <w:t>Ai fini del presente allegato è fornita la seguente tabella comparativa dei nomi latini e dei nomi comuni: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scientifico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Codice alfa-3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comune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Sprattus sprattus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Spratto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Psetta maxima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TUR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Rombo chiodato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</w:p>
        </w:tc>
      </w:tr>
    </w:tbl>
    <w:p>
      <w:pPr>
        <w:jc w:val="center"/>
        <w:rPr>
          <w:rFonts w:eastAsia="Calibri"/>
          <w:b/>
          <w:noProof/>
          <w:u w:val="single"/>
        </w:rPr>
      </w:pP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48"/>
        <w:gridCol w:w="261"/>
        <w:gridCol w:w="922"/>
        <w:gridCol w:w="852"/>
        <w:gridCol w:w="3408"/>
        <w:gridCol w:w="962"/>
      </w:tblGrid>
      <w:tr>
        <w:trPr>
          <w:trHeight w:val="233"/>
        </w:trPr>
        <w:tc>
          <w:tcPr>
            <w:tcW w:w="2157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Specie: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Spratto 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Zona: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Acque dell'Unione nel Mar Nero - GSA 29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157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2157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Bulgaria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8 032,50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Contingente analitico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 si applica l'articolo 3 del regolamento (CE) n.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 si applica l'articolo 4 del regolamento (CE) n.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Romania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Unione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TAC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Non pertinente/non concordato  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972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2066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  <w:szCs w:val="20"/>
              </w:rPr>
              <w:t>Specie:</w:t>
            </w:r>
          </w:p>
        </w:tc>
        <w:tc>
          <w:tcPr>
            <w:tcW w:w="207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Rombo chiodato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Zona:</w:t>
            </w:r>
          </w:p>
        </w:tc>
        <w:tc>
          <w:tcPr>
            <w:tcW w:w="4370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Acque dell'Unione nel Mar Nero - GSA 29</w:t>
            </w:r>
          </w:p>
        </w:tc>
      </w:tr>
      <w:tr>
        <w:trPr>
          <w:cantSplit/>
          <w:trHeight w:val="233"/>
        </w:trPr>
        <w:tc>
          <w:tcPr>
            <w:tcW w:w="2066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Psetta maxima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(TUR/F3742C)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Bulgaria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TAC analitico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 si applica l'articolo 3 del regolamento (CE) n.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 si applica l'articolo 4 del regolamento (CE) n.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Romania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pm 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Unione</w:t>
            </w: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(*)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TAC</w:t>
            </w:r>
          </w:p>
        </w:tc>
        <w:tc>
          <w:tcPr>
            <w:tcW w:w="2075" w:type="dxa"/>
            <w:gridSpan w:val="2"/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pm 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</w:t>
            </w:r>
          </w:p>
        </w:tc>
        <w:tc>
          <w:tcPr>
            <w:tcW w:w="964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435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(*)</w:t>
            </w:r>
            <w:r>
              <w:rPr>
                <w:noProof/>
                <w:sz w:val="20"/>
                <w:szCs w:val="20"/>
              </w:rPr>
              <w:tab/>
              <w:t>Dal 15 aprile al 15 giugno 2020 è vietata qualsiasi attività di pesca, compresi il trasbordo, la conservazione a bordo e lo sbarco.</w:t>
            </w:r>
            <w:r>
              <w:rPr>
                <w:b/>
                <w:noProof/>
              </w:rPr>
              <w:t xml:space="preserve">                                 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t>*</w:t>
      </w:r>
      <w:r>
        <w:tab/>
        <w:t>TBB, OTB, PTB, TBN, TBS, TB, OTM, PTM, TMS, TM, OTT, OT, PT, TX, OTP, TSP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BE09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7C42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A67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F04D6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58CEF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D5EB5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0C5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1CA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1 12:22:4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25FACB5A-DEA0-4099-B8C6-025AB3E62371"/>
    <w:docVar w:name="LW_COVERPAGE_TYPE" w:val="1"/>
    <w:docVar w:name="LW_CROSSREFERENCE" w:val="&lt;UNUSED&gt;"/>
    <w:docVar w:name="LW_DocType" w:val="ANNEX"/>
    <w:docVar w:name="LW_EMISSION" w:val="8.10.2019"/>
    <w:docVar w:name="LW_EMISSION_ISODATE" w:val="2019-10-0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che stabilisce, per il 2020, le possibilità di pesca per alcuni stock e gruppi di stock ittici applicabili nel Mar Mediterraneo e nel Mar Nero"/>
    <w:docVar w:name="LW_OBJETACTEPRINCIPAL.CP" w:val="che stabilisce, per il 2020, le possibilità di pesca per alcuni stock e gruppi di stock ittici applicabili nel Mar Mediterraneo e nel Mar Nero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4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LLEGATI"/>
    <w:docVar w:name="LW_TYPE.DOC.CP" w:val="ALLEGATI"/>
    <w:docVar w:name="LW_TYPEACTEPRINCIPAL" w:val="Proposta di regolamento del Consiglio"/>
    <w:docVar w:name="LW_TYPEACTEPRINCIPAL.CP" w:val="Proposta di regolamento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1344</Words>
  <Characters>5981</Characters>
  <Application>Microsoft Office Word</Application>
  <DocSecurity>0</DocSecurity>
  <Lines>598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MANSILLAS Belen (MARE)</dc:creator>
  <cp:keywords/>
  <dc:description/>
  <cp:lastModifiedBy>WES PDFC Administrator</cp:lastModifiedBy>
  <cp:revision>9</cp:revision>
  <cp:lastPrinted>2019-09-02T10:06:00Z</cp:lastPrinted>
  <dcterms:created xsi:type="dcterms:W3CDTF">2019-09-23T09:09:00Z</dcterms:created>
  <dcterms:modified xsi:type="dcterms:W3CDTF">2019-10-01T10:22:00Z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