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6A86BA3-35E7-40A7-9FD4-4FFD0994618E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 I.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RIBOLOVNI NAPOR ZA RIBARSKA PLOVILA UNIJE U KONTEKSTU UPRAVLJANJA PRIDNENIM STOKOVIMA U ZAPADNOM SREDOZEMNOME MORU</w:t>
      </w:r>
    </w:p>
    <w:p>
      <w:pPr>
        <w:rPr>
          <w:noProof/>
        </w:rPr>
      </w:pPr>
      <w:r>
        <w:rPr>
          <w:noProof/>
        </w:rPr>
        <w:t>U tablicama u ovom Prilogu utvrđeni su najveći dopušteni ribolovni napori (u ribolovnim danima) po skupinama stokova, kako su definirane u članku 1. Uredbe (EU) 2019/1022, i duljini plovila preko svega za sve vrste povlačnih mreža (koća)</w:t>
      </w:r>
      <w:r>
        <w:rPr>
          <w:rStyle w:val="FootnoteReference"/>
          <w:noProof/>
        </w:rPr>
        <w:footnoteReference w:customMarkFollows="1" w:id="1"/>
        <w:t>*</w:t>
      </w:r>
      <w:r>
        <w:rPr>
          <w:noProof/>
        </w:rPr>
        <w:t xml:space="preserve"> kojima se love pridnene vrste u zapadnom Sredozemnome moru.</w:t>
      </w:r>
    </w:p>
    <w:p>
      <w:pPr>
        <w:rPr>
          <w:noProof/>
        </w:rPr>
      </w:pPr>
      <w:r>
        <w:rPr>
          <w:noProof/>
        </w:rPr>
        <w:t xml:space="preserve">Svi najveći dopušteni ribolovni napori utvrđeni u ovom Prilogu podliježu pravilima utvrđenima Uredbom (EU) 2019/1022 i člancima od 26. do 35. Uredbe (EZ) br. 1224/2009. </w:t>
      </w:r>
    </w:p>
    <w:p>
      <w:pPr>
        <w:spacing w:after="0"/>
        <w:rPr>
          <w:noProof/>
        </w:rPr>
      </w:pPr>
      <w:r>
        <w:rPr>
          <w:noProof/>
        </w:rPr>
        <w:t>Osim ako je određeno drukčije, upućivanja na ribolovne zone jesu upućivanja na geografska potpodručja GFCM-a.</w:t>
      </w:r>
    </w:p>
    <w:p>
      <w:pPr>
        <w:rPr>
          <w:noProof/>
        </w:rPr>
      </w:pPr>
      <w:r>
        <w:rPr>
          <w:noProof/>
        </w:rPr>
        <w:t>Za potrebe ovog Priloga navodi se sljedeća usporedna tablica latinskih i uobičajenih naziva ribljih stokova: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Znanstveni naziv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Troslovna oznaka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Uobičajeni naziv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Aristaeomorpha foliacea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ARS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Velika crvena kozica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Aristeus antennatus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ARA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Svijetlocrvena kozica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Oslić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Trlja blatarica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norvegicus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Škamp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Dubinska kozica</w:t>
            </w:r>
          </w:p>
        </w:tc>
      </w:tr>
    </w:tbl>
    <w:p>
      <w:pPr>
        <w:pBdr>
          <w:bottom w:val="single" w:sz="4" w:space="1" w:color="auto"/>
        </w:pBdr>
        <w:spacing w:after="0"/>
        <w:ind w:left="3969" w:right="4206"/>
        <w:rPr>
          <w:b/>
          <w:noProof/>
        </w:rPr>
      </w:pPr>
    </w:p>
    <w:p>
      <w:pPr>
        <w:spacing w:after="160" w:line="259" w:lineRule="auto"/>
        <w:rPr>
          <w:b/>
          <w:noProof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NormalCentered"/>
        <w:rPr>
          <w:b/>
          <w:noProof/>
        </w:rPr>
      </w:pPr>
      <w:r>
        <w:rPr>
          <w:b/>
          <w:noProof/>
        </w:rPr>
        <w:t>Najveći dopušteni ribolovni napor u ribolovnim danima</w:t>
      </w:r>
    </w:p>
    <w:p>
      <w:pPr>
        <w:spacing w:after="160" w:line="259" w:lineRule="auto"/>
        <w:rPr>
          <w:noProof/>
        </w:rPr>
      </w:pPr>
      <w:r>
        <w:rPr>
          <w:noProof/>
        </w:rPr>
        <w:t>(a) Alboransko more, Balearski otoci, sjeverna Španjolska i Lionski zaljev (geografska potpodručja GFCM-a 1, 2, 5, 6 i 7)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747"/>
        <w:gridCol w:w="1270"/>
        <w:gridCol w:w="1203"/>
        <w:gridCol w:w="776"/>
        <w:gridCol w:w="2017"/>
      </w:tblGrid>
      <w:tr>
        <w:tc>
          <w:tcPr>
            <w:tcW w:w="12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Skupina stokova</w:t>
            </w:r>
          </w:p>
        </w:tc>
        <w:tc>
          <w:tcPr>
            <w:tcW w:w="99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Duljina plovila preko svega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Španjolska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Francuska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Italija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Oznaka skupine ribolovnog napora</w:t>
            </w:r>
          </w:p>
        </w:tc>
      </w:tr>
      <w:tr>
        <w:trPr>
          <w:trHeight w:val="426"/>
        </w:trPr>
        <w:tc>
          <w:tcPr>
            <w:tcW w:w="1278" w:type="pct"/>
            <w:vMerge w:val="restart"/>
            <w:vAlign w:val="center"/>
          </w:tcPr>
          <w:p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 xml:space="preserve">Trlja blatarica na geografskim potpodručjima 1, 5, 6 i 7; </w:t>
            </w:r>
            <w:r>
              <w:rPr>
                <w:noProof/>
              </w:rPr>
              <w:br/>
              <w:t xml:space="preserve">oslić na geografskim potpodručjima 1, 5, 6 i 7; </w:t>
            </w:r>
            <w:r>
              <w:rPr>
                <w:noProof/>
              </w:rPr>
              <w:br/>
              <w:t xml:space="preserve">dubinska kozica na geografskim potpodručjima 1, 5 i 6; </w:t>
            </w:r>
            <w:r>
              <w:rPr>
                <w:noProof/>
              </w:rPr>
              <w:br/>
              <w:t>škamp na geografskim potpodručjima 5 i 6.</w:t>
            </w: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2 260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EFF1/MED1_TR1</w:t>
            </w:r>
          </w:p>
        </w:tc>
      </w:tr>
      <w:tr>
        <w:trPr>
          <w:trHeight w:val="427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i &lt; 18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24 284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EFF1/MED1_TR2</w:t>
            </w:r>
          </w:p>
        </w:tc>
      </w:tr>
      <w:tr>
        <w:trPr>
          <w:trHeight w:val="42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 m i &lt; 24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46 277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5 144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EFF1/MED1_TR3</w:t>
            </w:r>
          </w:p>
        </w:tc>
      </w:tr>
      <w:tr>
        <w:trPr>
          <w:trHeight w:val="427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16 240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6 258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EFF1/MED1_TR4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747"/>
        <w:gridCol w:w="1270"/>
        <w:gridCol w:w="1203"/>
        <w:gridCol w:w="776"/>
        <w:gridCol w:w="2017"/>
      </w:tblGrid>
      <w:tr>
        <w:tc>
          <w:tcPr>
            <w:tcW w:w="12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Skupina stokova</w:t>
            </w:r>
          </w:p>
        </w:tc>
        <w:tc>
          <w:tcPr>
            <w:tcW w:w="99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Duljina plovila preko svega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Španjolska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Francuska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Italija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Oznaka skupine ribolovnog napora</w:t>
            </w:r>
          </w:p>
        </w:tc>
      </w:tr>
      <w:tr>
        <w:trPr>
          <w:trHeight w:val="356"/>
        </w:trPr>
        <w:tc>
          <w:tcPr>
            <w:tcW w:w="1278" w:type="pct"/>
            <w:vMerge w:val="restart"/>
            <w:vAlign w:val="center"/>
          </w:tcPr>
          <w:p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Svijetlocrvena kozica na geografskim potpodručjima 1, 5, 6 i 7.</w:t>
            </w: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EFF2/MED1_TR1</w:t>
            </w:r>
          </w:p>
        </w:tc>
      </w:tr>
      <w:tr>
        <w:trPr>
          <w:trHeight w:val="35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i &lt; 18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1 139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EFF2/MED1_TR2</w:t>
            </w:r>
          </w:p>
        </w:tc>
      </w:tr>
      <w:tr>
        <w:trPr>
          <w:trHeight w:val="35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 m i &lt; 24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10 822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EFF2/MED1_TR3</w:t>
            </w:r>
          </w:p>
        </w:tc>
      </w:tr>
      <w:tr>
        <w:trPr>
          <w:trHeight w:val="35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57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9 066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EFF2/MED1_TR4</w:t>
            </w:r>
          </w:p>
        </w:tc>
      </w:tr>
    </w:tbl>
    <w:p>
      <w:pPr>
        <w:spacing w:after="0"/>
        <w:rPr>
          <w:noProof/>
        </w:rPr>
      </w:pPr>
    </w:p>
    <w:p>
      <w:pPr>
        <w:rPr>
          <w:noProof/>
        </w:rPr>
      </w:pPr>
      <w:r>
        <w:rPr>
          <w:noProof/>
        </w:rPr>
        <w:t>(b) otok Korzika, Ligursko more, Tirensko more i otok Sardinija (geografska potpodručja GFCM-a 8, 9, 10 i 11)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1676"/>
        <w:gridCol w:w="1270"/>
        <w:gridCol w:w="1203"/>
        <w:gridCol w:w="776"/>
        <w:gridCol w:w="2017"/>
      </w:tblGrid>
      <w:tr>
        <w:tc>
          <w:tcPr>
            <w:tcW w:w="12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Skupina stokova</w:t>
            </w:r>
          </w:p>
        </w:tc>
        <w:tc>
          <w:tcPr>
            <w:tcW w:w="91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Duljina plovila preko svega</w:t>
            </w:r>
          </w:p>
        </w:tc>
        <w:tc>
          <w:tcPr>
            <w:tcW w:w="65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Španjolska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Francuska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Italija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Oznaka skupine ribolovnog napora</w:t>
            </w:r>
          </w:p>
        </w:tc>
      </w:tr>
      <w:tr>
        <w:trPr>
          <w:trHeight w:val="426"/>
        </w:trPr>
        <w:tc>
          <w:tcPr>
            <w:tcW w:w="1278" w:type="pct"/>
            <w:vMerge w:val="restart"/>
            <w:vAlign w:val="center"/>
          </w:tcPr>
          <w:p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 xml:space="preserve">Trlja blatarica na geografskim potpodručjima 9, 10 i 11; </w:t>
            </w:r>
            <w:r>
              <w:rPr>
                <w:noProof/>
              </w:rPr>
              <w:br/>
              <w:t xml:space="preserve">oslić na geografskim potpodručjima 9, 10 i 11; </w:t>
            </w:r>
            <w:r>
              <w:rPr>
                <w:noProof/>
              </w:rPr>
              <w:br/>
              <w:t xml:space="preserve">dubinska kozica na geografskim potpodručjima 9, 10 i 11; </w:t>
            </w:r>
            <w:r>
              <w:rPr>
                <w:noProof/>
              </w:rPr>
              <w:br/>
              <w:t>škamp na geografskim potpodručjima 9 i 10.</w:t>
            </w:r>
          </w:p>
        </w:tc>
        <w:tc>
          <w:tcPr>
            <w:tcW w:w="91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65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3 081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EFF1/MED2_TR1</w:t>
            </w:r>
          </w:p>
        </w:tc>
      </w:tr>
      <w:tr>
        <w:trPr>
          <w:trHeight w:val="427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1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i &lt; 18 m</w:t>
            </w:r>
          </w:p>
        </w:tc>
        <w:tc>
          <w:tcPr>
            <w:tcW w:w="65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832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46 350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EFF1/MED2_TR2</w:t>
            </w:r>
          </w:p>
        </w:tc>
      </w:tr>
      <w:tr>
        <w:trPr>
          <w:trHeight w:val="42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1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 m i &lt; 24 m</w:t>
            </w:r>
          </w:p>
        </w:tc>
        <w:tc>
          <w:tcPr>
            <w:tcW w:w="65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31 170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EFF1/MED2_TR3</w:t>
            </w:r>
          </w:p>
        </w:tc>
      </w:tr>
      <w:tr>
        <w:trPr>
          <w:trHeight w:val="427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16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65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4 160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EFF1/MED2_TR4</w:t>
            </w:r>
          </w:p>
        </w:tc>
      </w:tr>
    </w:tbl>
    <w:p>
      <w:pPr>
        <w:spacing w:after="0"/>
        <w:rPr>
          <w:noProof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1747"/>
        <w:gridCol w:w="1270"/>
        <w:gridCol w:w="1203"/>
        <w:gridCol w:w="776"/>
        <w:gridCol w:w="2017"/>
      </w:tblGrid>
      <w:tr>
        <w:tc>
          <w:tcPr>
            <w:tcW w:w="12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Skupina stokova</w:t>
            </w:r>
          </w:p>
        </w:tc>
        <w:tc>
          <w:tcPr>
            <w:tcW w:w="993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Duljina plovila preko svega</w:t>
            </w:r>
          </w:p>
        </w:tc>
        <w:tc>
          <w:tcPr>
            <w:tcW w:w="5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Španjolska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Francuska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Italija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Oznaka skupine ribolovnog napora</w:t>
            </w:r>
          </w:p>
        </w:tc>
      </w:tr>
      <w:tr>
        <w:trPr>
          <w:trHeight w:val="356"/>
        </w:trPr>
        <w:tc>
          <w:tcPr>
            <w:tcW w:w="1278" w:type="pct"/>
            <w:vMerge w:val="restart"/>
            <w:vAlign w:val="center"/>
          </w:tcPr>
          <w:p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Velika crvena kozica na geografskim potpodručjima 9, 10 i 11.</w:t>
            </w: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&lt; 12 m</w:t>
            </w:r>
          </w:p>
        </w:tc>
        <w:tc>
          <w:tcPr>
            <w:tcW w:w="5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510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EFF2/MED2_TR1</w:t>
            </w:r>
          </w:p>
        </w:tc>
      </w:tr>
      <w:tr>
        <w:trPr>
          <w:trHeight w:val="35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12 m i &lt; 18 m</w:t>
            </w:r>
          </w:p>
        </w:tc>
        <w:tc>
          <w:tcPr>
            <w:tcW w:w="5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3 760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EFF2/MED2_TR2</w:t>
            </w:r>
          </w:p>
        </w:tc>
      </w:tr>
      <w:tr>
        <w:trPr>
          <w:trHeight w:val="35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18 m i &lt; 24 m</w:t>
            </w:r>
          </w:p>
        </w:tc>
        <w:tc>
          <w:tcPr>
            <w:tcW w:w="5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3 028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EFF2/MED2_TR3</w:t>
            </w:r>
          </w:p>
        </w:tc>
      </w:tr>
      <w:tr>
        <w:trPr>
          <w:trHeight w:val="356"/>
        </w:trPr>
        <w:tc>
          <w:tcPr>
            <w:tcW w:w="1278" w:type="pct"/>
            <w:vMerge/>
          </w:tcPr>
          <w:p>
            <w:pPr>
              <w:spacing w:before="40" w:after="40"/>
              <w:rPr>
                <w:noProof/>
              </w:rPr>
            </w:pPr>
          </w:p>
        </w:tc>
        <w:tc>
          <w:tcPr>
            <w:tcW w:w="993" w:type="pct"/>
            <w:vAlign w:val="center"/>
          </w:tcPr>
          <w:p>
            <w:pPr>
              <w:spacing w:before="40" w:after="4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≥ 24 m</w:t>
            </w:r>
          </w:p>
        </w:tc>
        <w:tc>
          <w:tcPr>
            <w:tcW w:w="57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4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418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405</w:t>
            </w:r>
          </w:p>
        </w:tc>
        <w:tc>
          <w:tcPr>
            <w:tcW w:w="1086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EFF2/MED2_TR4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r>
        <w:rPr>
          <w:noProof/>
        </w:rPr>
        <w:t>PRILOG II.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 xml:space="preserve">RIBOLOVNE MOGUĆNOSTI ZA RIBARSKA PLOVILA UNIJE U JADRANSKOME MORU </w:t>
      </w:r>
    </w:p>
    <w:p>
      <w:pPr>
        <w:rPr>
          <w:noProof/>
        </w:rPr>
      </w:pPr>
      <w:r>
        <w:rPr>
          <w:noProof/>
        </w:rPr>
        <w:t>U tablicama u ovom Prilogu utvrđuju se ribolovne mogućnosti po skupinama napora za stokove i plovila te, prema potrebi, s njima funkcionalno povezani uvjeti.</w:t>
      </w:r>
    </w:p>
    <w:p>
      <w:pPr>
        <w:rPr>
          <w:noProof/>
        </w:rPr>
      </w:pPr>
      <w:r>
        <w:rPr>
          <w:noProof/>
        </w:rPr>
        <w:t xml:space="preserve">Sve ribolovne mogućnosti utvrđene u ovom Prilogu podliježu pravilima utvrđenima u člancima od 26. do 35. Uredbe (EZ) 1224/2009. </w:t>
      </w:r>
    </w:p>
    <w:p>
      <w:pPr>
        <w:rPr>
          <w:noProof/>
        </w:rPr>
      </w:pPr>
      <w:r>
        <w:rPr>
          <w:noProof/>
        </w:rPr>
        <w:t>Osim ako je određeno drukčije, upućivanja na ribolovne zone jesu upućivanja na geografska potpodručja GFCM-a.</w:t>
      </w:r>
    </w:p>
    <w:p>
      <w:pPr>
        <w:rPr>
          <w:noProof/>
        </w:rPr>
      </w:pPr>
      <w:r>
        <w:rPr>
          <w:noProof/>
        </w:rPr>
        <w:t>Za potrebe ovog Priloga navodi se sljedeća usporedna tablica latinskih i uobičajenih naziva:</w:t>
      </w:r>
    </w:p>
    <w:p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Znanstveni naziv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Troslovna oznaka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Uobičajeni naziv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Engraulis encrasicolus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ANE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Inćun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Merluccius merluccius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HKE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Oslić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Mullus barbatus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MUT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Trlja blatarica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Nephrops norvegicus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NEP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Škamp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Parapenaeus longirostris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Sardina pilchardus</w:t>
            </w:r>
          </w:p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Solea solea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DPS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PIL</w:t>
            </w:r>
          </w:p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SOL</w:t>
            </w:r>
          </w:p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Dubinska kozica</w:t>
            </w:r>
          </w:p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Srdela</w:t>
            </w:r>
          </w:p>
          <w:p>
            <w:pPr>
              <w:spacing w:before="40" w:after="40"/>
              <w:rPr>
                <w:noProof/>
                <w:szCs w:val="24"/>
              </w:rPr>
            </w:pPr>
            <w:r>
              <w:rPr>
                <w:noProof/>
              </w:rPr>
              <w:t>List</w:t>
            </w:r>
          </w:p>
        </w:tc>
      </w:tr>
    </w:tbl>
    <w:p>
      <w:pPr>
        <w:rPr>
          <w:noProof/>
        </w:rPr>
      </w:pPr>
    </w:p>
    <w:p>
      <w:pPr>
        <w:pStyle w:val="NumPar1"/>
        <w:numPr>
          <w:ilvl w:val="0"/>
          <w:numId w:val="5"/>
        </w:numPr>
        <w:rPr>
          <w:b/>
          <w:noProof/>
        </w:rPr>
      </w:pPr>
      <w:r>
        <w:rPr>
          <w:b/>
          <w:noProof/>
        </w:rPr>
        <w:t>Mali pelagični stokovi na geografskim potpodručjima GFCM-a 17 i 18</w:t>
      </w:r>
    </w:p>
    <w:p>
      <w:pPr>
        <w:rPr>
          <w:noProof/>
        </w:rPr>
      </w:pPr>
      <w:r>
        <w:rPr>
          <w:noProof/>
        </w:rPr>
        <w:t>U tablici u ovom odjeljku utvrđuje se najveća dopuštena razina ulova izražena u tonama žive mase.</w:t>
      </w:r>
    </w:p>
    <w:tbl>
      <w:tblPr>
        <w:tblW w:w="9379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148"/>
        <w:gridCol w:w="426"/>
        <w:gridCol w:w="1842"/>
        <w:gridCol w:w="993"/>
        <w:gridCol w:w="850"/>
        <w:gridCol w:w="4120"/>
      </w:tblGrid>
      <w:tr>
        <w:trPr>
          <w:trHeight w:val="227"/>
        </w:trPr>
        <w:tc>
          <w:tcPr>
            <w:tcW w:w="1148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Vrsta: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>
            <w:pPr>
              <w:spacing w:before="60" w:after="60"/>
              <w:jc w:val="left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Male pelagične vrste </w:t>
            </w:r>
            <w:r>
              <w:rPr>
                <w:noProof/>
                <w:sz w:val="18"/>
                <w:szCs w:val="16"/>
              </w:rPr>
              <w:br/>
              <w:t>(inćun i srdela)</w:t>
            </w:r>
          </w:p>
          <w:p>
            <w:pPr>
              <w:spacing w:before="60" w:after="60"/>
              <w:jc w:val="left"/>
              <w:rPr>
                <w:noProof/>
                <w:sz w:val="18"/>
                <w:szCs w:val="16"/>
              </w:rPr>
            </w:pPr>
            <w:r>
              <w:rPr>
                <w:i/>
                <w:iCs/>
                <w:noProof/>
                <w:sz w:val="18"/>
                <w:szCs w:val="16"/>
              </w:rPr>
              <w:t>Engraulis encrasicolus</w:t>
            </w:r>
            <w:r>
              <w:rPr>
                <w:noProof/>
                <w:sz w:val="18"/>
                <w:szCs w:val="16"/>
              </w:rPr>
              <w:t xml:space="preserve"> </w:t>
            </w:r>
            <w:r>
              <w:rPr>
                <w:noProof/>
                <w:sz w:val="18"/>
                <w:szCs w:val="16"/>
              </w:rPr>
              <w:br/>
              <w:t xml:space="preserve">i </w:t>
            </w:r>
            <w:r>
              <w:rPr>
                <w:i/>
                <w:iCs/>
                <w:noProof/>
                <w:sz w:val="18"/>
                <w:szCs w:val="16"/>
              </w:rPr>
              <w:t>Sardina pilchardus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Zona: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000000"/>
            </w:tcBorders>
            <w:shd w:val="clear" w:color="auto" w:fill="FFFFFF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vode Unije i međunarodne vode na geografskim potpodručjima GFCM-a 17 i 18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(SP1/GF1718)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Unija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  <w:szCs w:val="18"/>
              </w:rPr>
              <w:t>101 711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b/>
                <w:bCs/>
                <w:noProof/>
                <w:sz w:val="18"/>
                <w:szCs w:val="16"/>
                <w:vertAlign w:val="superscript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 (2)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 xml:space="preserve">Najviša razina ulova 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Ne primjenjuje se članak 3. Uredbe (EZ) br. 847/96.</w:t>
            </w:r>
          </w:p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Ne primjenjuje se članak 4. Uredbe (EZ) br. 847/96.</w:t>
            </w: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1574" w:type="dxa"/>
            <w:gridSpan w:val="2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TAC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t>Nije relevantno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>
            <w:pPr>
              <w:spacing w:before="60" w:after="60"/>
              <w:rPr>
                <w:noProof/>
                <w:sz w:val="18"/>
                <w:szCs w:val="16"/>
              </w:rPr>
            </w:pPr>
          </w:p>
        </w:tc>
      </w:tr>
      <w:tr>
        <w:trPr>
          <w:trHeight w:val="227"/>
        </w:trPr>
        <w:tc>
          <w:tcPr>
            <w:tcW w:w="93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(1)</w:t>
            </w:r>
            <w:r>
              <w:rPr>
                <w:noProof/>
                <w:sz w:val="18"/>
                <w:szCs w:val="16"/>
              </w:rPr>
              <w:tab/>
              <w:t>Količine za Sloveniju temelje se na razini ulova iz 2014., no ne bi smjele premašiti 300 tona.</w:t>
            </w:r>
          </w:p>
          <w:p>
            <w:pPr>
              <w:spacing w:before="0" w:after="0"/>
              <w:ind w:left="720" w:hanging="720"/>
              <w:rPr>
                <w:noProof/>
                <w:sz w:val="18"/>
                <w:szCs w:val="16"/>
              </w:rPr>
            </w:pPr>
            <w:r>
              <w:rPr>
                <w:b/>
                <w:bCs/>
                <w:noProof/>
                <w:sz w:val="18"/>
                <w:szCs w:val="16"/>
                <w:vertAlign w:val="superscript"/>
              </w:rPr>
              <w:t>(2)</w:t>
            </w:r>
            <w:r>
              <w:rPr>
                <w:noProof/>
                <w:sz w:val="18"/>
                <w:szCs w:val="16"/>
              </w:rPr>
              <w:tab/>
              <w:t>Ograničeno na Hrvatsku, Italiju i Sloveniju.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Pridneni stokovi na geografskim potpodručjima GFCM-a 17 i 18</w:t>
      </w:r>
    </w:p>
    <w:p>
      <w:pPr>
        <w:rPr>
          <w:noProof/>
        </w:rPr>
      </w:pPr>
      <w:r>
        <w:rPr>
          <w:noProof/>
        </w:rPr>
        <w:t>U tablici u ovom odjeljku utvrđuje se najveći dopušteni ribolovni napor (kilovat ribolovni dani) po skupinama napora, duljini plovila preko svega i vrsti povlačnih mreža (koća) kojima se love pridneni stokovi na geografskim potpodručjima GFCM-a 17 i 18 (Jadransko more).</w:t>
      </w:r>
    </w:p>
    <w:tbl>
      <w:tblPr>
        <w:tblStyle w:val="TableGrid2"/>
        <w:tblpPr w:leftFromText="180" w:rightFromText="180" w:vertAnchor="text" w:horzAnchor="margin" w:tblpY="287"/>
        <w:tblW w:w="5018" w:type="pct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59"/>
        <w:gridCol w:w="992"/>
        <w:gridCol w:w="994"/>
        <w:gridCol w:w="994"/>
        <w:gridCol w:w="1840"/>
      </w:tblGrid>
      <w:tr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  <w:tc>
          <w:tcPr>
            <w:tcW w:w="15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kW * ribolovni dani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</w:p>
        </w:tc>
      </w:tr>
      <w:tr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Vrsta ribolovnog alata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Stokovi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Duljina plovila preko svega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Hrvatska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Italija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Slovenija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before="60" w:after="60"/>
              <w:jc w:val="center"/>
              <w:rPr>
                <w:rFonts w:ascii="Calibri" w:hAnsi="Calibri" w:cs="Tahoma"/>
                <w:b/>
                <w:noProof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Oznaka skupine ribolovnog napora</w:t>
            </w:r>
          </w:p>
        </w:tc>
      </w:tr>
      <w:tr>
        <w:trPr>
          <w:trHeight w:val="77"/>
        </w:trPr>
        <w:tc>
          <w:tcPr>
            <w:tcW w:w="7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Povlačne mreže (koće) (OTB)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Oslić, dubinska kozica, škamp, trlja blatarica (geografska potpodručja 17 i 18) </w:t>
            </w:r>
          </w:p>
        </w:tc>
        <w:tc>
          <w:tcPr>
            <w:tcW w:w="836" w:type="pct"/>
            <w:tcBorders>
              <w:top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532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top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i &lt; 18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 m i &lt; 24 m</w:t>
            </w:r>
          </w:p>
        </w:tc>
        <w:tc>
          <w:tcPr>
            <w:tcW w:w="532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433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  <w:tcBorders>
              <w:bottom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42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Povlačna mreža (koća) s gredom (TBB)</w:t>
            </w:r>
          </w:p>
        </w:tc>
        <w:tc>
          <w:tcPr>
            <w:tcW w:w="836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Oslić (geografsko potpodručje 17)</w:t>
            </w:r>
          </w:p>
        </w:tc>
        <w:tc>
          <w:tcPr>
            <w:tcW w:w="836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532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i &lt; 18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 m i &lt; 24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532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42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 xml:space="preserve">Pridnena povlačna mreža (koća) koja se povlači dvama plovilima (PTB) </w:t>
            </w:r>
          </w:p>
        </w:tc>
        <w:tc>
          <w:tcPr>
            <w:tcW w:w="836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Oslić, dubinska kozica, škamp, trlja blatarica (geografska potpodručja 17 i 18)</w:t>
            </w:r>
          </w:p>
        </w:tc>
        <w:tc>
          <w:tcPr>
            <w:tcW w:w="836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532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i &lt; 18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 m i &lt; 24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532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57"/>
        </w:trPr>
        <w:tc>
          <w:tcPr>
            <w:tcW w:w="742" w:type="pct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Povlačna mreža (koća) sa širilicama za vuču u paru (OTT)</w:t>
            </w:r>
          </w:p>
        </w:tc>
        <w:tc>
          <w:tcPr>
            <w:tcW w:w="836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Oslić, dubinska kozica, škamp, trlja blatarica (geografska potpodručja GFCM-a 17 i 18)</w:t>
            </w:r>
          </w:p>
        </w:tc>
        <w:tc>
          <w:tcPr>
            <w:tcW w:w="836" w:type="pct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&lt; 12 m</w:t>
            </w:r>
          </w:p>
        </w:tc>
        <w:tc>
          <w:tcPr>
            <w:tcW w:w="532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top w:val="doub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12 m i &lt; 18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18 m i &lt; 24 m</w:t>
            </w:r>
          </w:p>
        </w:tc>
        <w:tc>
          <w:tcPr>
            <w:tcW w:w="532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  <w:tr>
        <w:trPr>
          <w:trHeight w:val="77"/>
        </w:trPr>
        <w:tc>
          <w:tcPr>
            <w:tcW w:w="742" w:type="pct"/>
            <w:vMerge/>
            <w:tcBorders>
              <w:left w:val="nil"/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>
            <w:pPr>
              <w:suppressAutoHyphens/>
              <w:spacing w:before="0" w:after="0"/>
              <w:jc w:val="left"/>
              <w:rPr>
                <w:rFonts w:ascii="Calibri" w:hAnsi="Calibri" w:cs="Tahoma"/>
                <w:noProof/>
                <w:sz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≥ 24 m</w:t>
            </w:r>
          </w:p>
        </w:tc>
        <w:tc>
          <w:tcPr>
            <w:tcW w:w="532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533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  <w:tc>
          <w:tcPr>
            <w:tcW w:w="987" w:type="pct"/>
            <w:tcBorders>
              <w:bottom w:val="single" w:sz="4" w:space="0" w:color="auto"/>
              <w:right w:val="nil"/>
            </w:tcBorders>
          </w:tcPr>
          <w:p>
            <w:pPr>
              <w:suppressAutoHyphens/>
              <w:spacing w:before="80" w:after="80"/>
              <w:jc w:val="left"/>
              <w:rPr>
                <w:rFonts w:ascii="Calibri" w:hAnsi="Calibri" w:cs="Tahoma"/>
                <w:noProof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t>pm</w:t>
            </w:r>
          </w:p>
        </w:tc>
      </w:tr>
    </w:tbl>
    <w:p>
      <w:pPr>
        <w:widowControl w:val="0"/>
        <w:suppressAutoHyphens/>
        <w:autoSpaceDN w:val="0"/>
        <w:spacing w:before="0" w:after="200" w:line="276" w:lineRule="auto"/>
        <w:jc w:val="left"/>
        <w:textAlignment w:val="baseline"/>
        <w:rPr>
          <w:rFonts w:ascii="Calibri" w:eastAsia="Lucida Sans Unicode" w:hAnsi="Calibri" w:cs="Tahoma"/>
          <w:noProof/>
          <w:kern w:val="3"/>
          <w:sz w:val="22"/>
        </w:rPr>
      </w:pP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t xml:space="preserve">PRILOG III. 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RIBOLOVNE MOGUĆNOSTI ZA RIBARSKA PLOVILA UNIJE U CRNOME MORU</w:t>
      </w:r>
    </w:p>
    <w:p>
      <w:pPr>
        <w:rPr>
          <w:rFonts w:eastAsia="Calibri"/>
          <w:noProof/>
        </w:rPr>
      </w:pPr>
      <w:r>
        <w:rPr>
          <w:noProof/>
        </w:rPr>
        <w:t>U tablicama u ovom Prilogu utvrđeni su TAC-ovi i kvote izraženi u tonama žive mase za svaki stok i, prema potrebi, s njima funkcionalno povezani uvjeti.</w:t>
      </w:r>
    </w:p>
    <w:p>
      <w:pPr>
        <w:rPr>
          <w:noProof/>
        </w:rPr>
      </w:pPr>
      <w:r>
        <w:rPr>
          <w:noProof/>
        </w:rPr>
        <w:t xml:space="preserve">Sve ribolovne mogućnosti utvrđene u ovom Prilogu podliježu pravilima utvrđenima u člancima od 26. do 35. Uredbe (EZ) 1224/2009. </w:t>
      </w:r>
    </w:p>
    <w:p>
      <w:pPr>
        <w:rPr>
          <w:noProof/>
        </w:rPr>
      </w:pPr>
      <w:r>
        <w:rPr>
          <w:noProof/>
        </w:rPr>
        <w:t>Osim ako je određeno drukčije, upućivanja na ribolovne zone jesu upućivanja na geografska potpodručja GFCM-a.</w:t>
      </w:r>
    </w:p>
    <w:p>
      <w:pPr>
        <w:rPr>
          <w:noProof/>
        </w:rPr>
      </w:pPr>
      <w:r>
        <w:rPr>
          <w:noProof/>
        </w:rPr>
        <w:t>Za potrebe ovog Priloga navodi se sljedeća usporedna tablica latinskih i uobičajenih naziva: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>
        <w:tc>
          <w:tcPr>
            <w:tcW w:w="3080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Znanstveni naziv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Troslovna oznaka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Uobičajeni naziv</w:t>
            </w:r>
          </w:p>
        </w:tc>
      </w:tr>
      <w:tr>
        <w:tc>
          <w:tcPr>
            <w:tcW w:w="3080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Sprattus sprattus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papalina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i/>
                <w:noProof/>
              </w:rPr>
              <w:t>Psetta maxima</w:t>
            </w: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TUR</w:t>
            </w: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oblić</w:t>
            </w:r>
          </w:p>
        </w:tc>
      </w:tr>
      <w:tr>
        <w:tc>
          <w:tcPr>
            <w:tcW w:w="3080" w:type="dxa"/>
          </w:tcPr>
          <w:p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jc w:val="center"/>
              <w:rPr>
                <w:noProof/>
              </w:rPr>
            </w:pPr>
          </w:p>
        </w:tc>
        <w:tc>
          <w:tcPr>
            <w:tcW w:w="3081" w:type="dxa"/>
          </w:tcPr>
          <w:p>
            <w:pPr>
              <w:spacing w:before="40" w:after="40"/>
              <w:rPr>
                <w:noProof/>
              </w:rPr>
            </w:pPr>
          </w:p>
        </w:tc>
      </w:tr>
    </w:tbl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544"/>
        <w:gridCol w:w="639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Vrsta: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papalina 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Zona: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vode Unije u Crnome moru – geografsko potpodručje GFCM-a 29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Bugarska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8 032,50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Analitička kvota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 primjenjuje se članak 3. Uredbe (EZ) br. 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 primjenjuje se članak 4. Uredbe (EZ) br. 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Rumunjska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Unija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TAC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Nije relevantno/</w:t>
            </w:r>
            <w:r>
              <w:rPr>
                <w:noProof/>
                <w:sz w:val="20"/>
                <w:szCs w:val="20"/>
              </w:rPr>
              <w:br/>
              <w:t xml:space="preserve">Nije dogovoreno  </w:t>
            </w:r>
          </w:p>
        </w:tc>
        <w:tc>
          <w:tcPr>
            <w:tcW w:w="639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  <w:szCs w:val="20"/>
              </w:rPr>
              <w:t>Vrsta: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oblić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Zona: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vode Unije u Crnome moru – geografsko potpodručje GFCM-a 29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Bugarska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Analitički TAC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 primjenjuje se članak 3. Uredbe (EZ) br. 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 primjenjuje se članak 4. Uredbe (EZ) br. 847/96.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Rumunjska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pm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Unija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pm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TAC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pm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(*)</w:t>
            </w:r>
            <w:r>
              <w:rPr>
                <w:noProof/>
                <w:sz w:val="20"/>
                <w:szCs w:val="20"/>
              </w:rPr>
              <w:tab/>
              <w:t>Od 15. travnja do 15. lipnja 2020. nisu dopuštene nikakve ribolovne aktivnosti, uključujući prekrcaj, zadržavanje na plovilu i iskrcavanje.</w:t>
            </w:r>
            <w:r>
              <w:rPr>
                <w:b/>
                <w:noProof/>
              </w:rPr>
              <w:t xml:space="preserve"> 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t>*</w:t>
      </w:r>
      <w:r>
        <w:tab/>
        <w:t>TBB, OTB, PTB, TBN, TBS, TB, OTM, PTM, TMS, TM, OTT, OT, PT, TX, OTP, TSP.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BE09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7C42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A67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F04D6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58CEF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D5EB5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0C54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1CA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1 12:23:4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96A86BA3-35E7-40A7-9FD4-4FFD0994618E"/>
    <w:docVar w:name="LW_COVERPAGE_TYPE" w:val="1"/>
    <w:docVar w:name="LW_CROSSREFERENCE" w:val="&lt;UNUSED&gt;"/>
    <w:docVar w:name="LW_DocType" w:val="ANNEX"/>
    <w:docVar w:name="LW_EMISSION" w:val="8.10.2019."/>
    <w:docVar w:name="LW_EMISSION_ISODATE" w:val="2019-10-0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&lt;FMT:Bold&gt;o utvr\u273?ivanju ribolovnih mogu\u263?nosti za odre\u273?ene riblje stokove i skupine ribljih stokova u Sredozemnom i Crnome moru za 2020.&lt;/FMT&gt;_x000b_"/>
    <w:docVar w:name="LW_OBJETACTEPRINCIPAL.CP" w:val="&lt;FMT:Bold&gt;o utvr\u273?ivanju ribolovnih mogu\u263?nosti za odre\u273?ene riblje stokove i skupine ribljih stokova u Sredozemnom i Crnome moru za 2020.&lt;/FMT&gt;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4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ZI"/>
    <w:docVar w:name="LW_TYPE.DOC.CP" w:val="PRILOZI"/>
    <w:docVar w:name="LW_TYPEACTEPRINCIPAL" w:val="Prijedlogu uredbe Vije\u263?a"/>
    <w:docVar w:name="LW_TYPEACTEPRINCIPAL.CP" w:val="Prijedlogu uredbe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8</Pages>
  <Words>1255</Words>
  <Characters>6154</Characters>
  <Application>Microsoft Office Word</Application>
  <DocSecurity>0</DocSecurity>
  <Lines>615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MANSILLAS Belen (MARE)</dc:creator>
  <cp:keywords/>
  <dc:description/>
  <cp:lastModifiedBy>DIGIT/C6</cp:lastModifiedBy>
  <cp:revision>9</cp:revision>
  <cp:lastPrinted>2019-09-02T10:06:00Z</cp:lastPrinted>
  <dcterms:created xsi:type="dcterms:W3CDTF">2019-09-23T07:10:00Z</dcterms:created>
  <dcterms:modified xsi:type="dcterms:W3CDTF">2019-10-01T10:23:00Z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