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85D36CEC-AD62-4934-9C70-8987B8996922" style="width:450.75pt;height:321pt">
            <v:imagedata r:id="rId9" o:title=""/>
          </v:shape>
        </w:pict>
      </w:r>
    </w:p>
    <w:bookmarkEnd w:id="0"/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ManualHeading1"/>
        <w:rPr>
          <w:noProof/>
        </w:rPr>
      </w:pPr>
      <w:bookmarkStart w:id="1" w:name="_GoBack"/>
      <w:bookmarkEnd w:id="1"/>
      <w:r>
        <w:rPr>
          <w:noProof/>
        </w:rPr>
        <w:lastRenderedPageBreak/>
        <w:t>1.</w:t>
      </w:r>
      <w:r>
        <w:rPr>
          <w:noProof/>
        </w:rPr>
        <w:tab/>
        <w:t>Uvod</w:t>
      </w:r>
    </w:p>
    <w:p>
      <w:pPr>
        <w:spacing w:after="100" w:afterAutospacing="1"/>
        <w:rPr>
          <w:noProof/>
          <w:szCs w:val="22"/>
        </w:rPr>
      </w:pPr>
      <w:r>
        <w:rPr>
          <w:noProof/>
        </w:rPr>
        <w:t>U vezi s povlačenjem Ujedinjene Kraljevine iz Unije ostalih 27 država članica, koje su se sastale na marginama sastanka Vijeća, odabralo je Pariz za novo sjedište Europskog nadzornog tijela za bankarstvo (EBA)</w:t>
      </w:r>
      <w:r>
        <w:rPr>
          <w:rStyle w:val="FootnoteReference"/>
          <w:noProof/>
          <w:szCs w:val="22"/>
        </w:rPr>
        <w:footnoteReference w:id="2"/>
      </w:r>
      <w:r>
        <w:rPr>
          <w:noProof/>
        </w:rPr>
        <w:t xml:space="preserve">. </w:t>
      </w:r>
    </w:p>
    <w:p>
      <w:pPr>
        <w:spacing w:after="100" w:afterAutospacing="1"/>
        <w:rPr>
          <w:noProof/>
          <w:szCs w:val="22"/>
        </w:rPr>
      </w:pPr>
      <w:r>
        <w:rPr>
          <w:noProof/>
        </w:rPr>
        <w:t>Sjedište EBA-e utvrđeno je u članku 7. Uredbe o osnivanju Europskog nadzornog tijela za bankarstvo</w:t>
      </w:r>
      <w:r>
        <w:rPr>
          <w:rStyle w:val="FootnoteReference"/>
          <w:noProof/>
          <w:szCs w:val="22"/>
        </w:rPr>
        <w:footnoteReference w:id="3"/>
      </w:r>
      <w:r>
        <w:rPr>
          <w:noProof/>
        </w:rPr>
        <w:t xml:space="preserve"> (Uredba o EBA-i), koju je stoga trebalo izmijeniti kako bi se sjedište EBA-e premjestilo iz Londona u Pariz. Izmjenom Uredbe o EBA-i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uvedeni su, uz promjenu sjedišta, i novi zahtjevi u vezi sa sjedištem EBA-e te obveza Komisiji da do 30. ožujka 2019. i nakon toga svakih 12 mjeseci objavi izvješće o usklađenosti EBA-e s tim zahtjevima.</w:t>
      </w:r>
    </w:p>
    <w:p>
      <w:pPr>
        <w:spacing w:after="100" w:afterAutospacing="1"/>
        <w:rPr>
          <w:noProof/>
          <w:szCs w:val="22"/>
        </w:rPr>
      </w:pPr>
      <w:r>
        <w:rPr>
          <w:noProof/>
        </w:rPr>
        <w:t xml:space="preserve">U skladu s člankom 7. Uredbe o EBA-i: „Mjesto sjedišta Tijela ne utječe na izvršavanje njegovih zadaća i ovlasti, ustroj njegove upravljačke strukture, funkcioniranje njegove glavne organizacije ili glavno financiranje njegovih aktivnosti, ali omogućuje, kada je to primjenjivo, dijeljenje s drugim agencijama Unije usluga administrativne podrške i usluga upravljanja objektima koje nisu povezane s temeljnim aktivnostima Tijela.” </w:t>
      </w:r>
    </w:p>
    <w:p>
      <w:pPr>
        <w:spacing w:after="100" w:afterAutospacing="1"/>
        <w:rPr>
          <w:noProof/>
          <w:szCs w:val="22"/>
        </w:rPr>
      </w:pPr>
      <w:r>
        <w:rPr>
          <w:noProof/>
        </w:rPr>
        <w:t xml:space="preserve">EBA je dostavila potrebne informacije za ispunjenje tih zahtjeva za izvješćivanje. Ovo prvo izvješće u skladu s novom obvezom izvješćivanja objavljuje se nakon 30. ožujka 2019. jer je Tijelo s punim radom u Parizu započelo tek 3. lipnja 2019. 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Sporazum o sjedištu EBA-e</w:t>
      </w:r>
    </w:p>
    <w:p>
      <w:pPr>
        <w:rPr>
          <w:noProof/>
          <w:szCs w:val="22"/>
        </w:rPr>
      </w:pPr>
      <w:r>
        <w:rPr>
          <w:noProof/>
        </w:rPr>
        <w:t xml:space="preserve">Upravni odbor EBA-e odobrio je 4. ožujka 2019. sporazum o sjedištu, koji je potpisan na svečanosti u Parizu 6. ožujka 2019. EBA čeka potvrdu o završetku nužnih internih postupaka u Francuskoj kako bi sporazum o sjedištu stupio na snagu. Potpisivanje sporazuma o sjedištu ne utječe na rad EBA-e i upravljanje njome.   </w:t>
      </w:r>
    </w:p>
    <w:p>
      <w:pPr>
        <w:rPr>
          <w:noProof/>
          <w:szCs w:val="22"/>
        </w:rPr>
      </w:pPr>
      <w:r>
        <w:rPr>
          <w:noProof/>
        </w:rPr>
        <w:t>U sporazumu o sjedištu odražavaju se zahtjevi iz Protokola br. 7 o povlasticama i imunitetima Europske unije</w:t>
      </w:r>
      <w:r>
        <w:rPr>
          <w:rStyle w:val="FootnoteReference"/>
          <w:noProof/>
          <w:szCs w:val="22"/>
        </w:rPr>
        <w:footnoteReference w:id="5"/>
      </w:r>
      <w:r>
        <w:rPr>
          <w:noProof/>
        </w:rPr>
        <w:t xml:space="preserve"> te se utvrđuju privilegije osoblja koje se seli iz Londona u Pariz u vezi s kupnjom automobila bez poreza u roku od dvanaest mjeseci od premještanja. Riječ je privilegiji kojom je obuhvaćeno i osoblje s francuskim državljanstvom. Sporazumom o sjedištu francuska se vlada obvezuje da će započeti postupak osnivanja europske škole u pariškoj regiji. Odbor guvernera europskih škola odobrio je dokumentaciju o sukladnosti predložene europske škole, koja bi se trebala otvoriti u općini Curbevoie u rujnu 2019. Svrha je tih dviju mjera pomoći osoblju pri preseljenju, posebno onima koji u obitelji imaju djecu školskog uzrasta.  </w:t>
      </w:r>
    </w:p>
    <w:p>
      <w:pPr>
        <w:rPr>
          <w:noProof/>
        </w:rPr>
      </w:pPr>
      <w:r>
        <w:rPr>
          <w:noProof/>
        </w:rPr>
        <w:lastRenderedPageBreak/>
        <w:t>EBA je surađivala i s Uredom za protokol francuskog ministarstva za europske i vanjske poslove te s francuskim carinskim tijelima kako bi se osigurao neometan dolazak osoblja i njihovih obitelji u Francusku, izdavanje posebnih dozvola za boravak i primjena poreznih povlastica EBA-i.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Upravljanje, poslovanje i izvršavanje zadaća EBA-e</w:t>
      </w:r>
    </w:p>
    <w:p>
      <w:pPr>
        <w:spacing w:after="100" w:afterAutospacing="1"/>
        <w:rPr>
          <w:noProof/>
        </w:rPr>
      </w:pPr>
      <w:r>
        <w:rPr>
          <w:noProof/>
        </w:rPr>
        <w:t>Premještanje sjedišta EBA-e nije utjecalo na zadaće i ovlasti EBA-e, ustroj njezine upravljačke strukture, funkcioniranje njezine glavne organizacije i njezino glavno financiranje.</w:t>
      </w:r>
    </w:p>
    <w:p>
      <w:pPr>
        <w:rPr>
          <w:noProof/>
          <w:sz w:val="22"/>
          <w:szCs w:val="22"/>
        </w:rPr>
      </w:pPr>
      <w:r>
        <w:rPr>
          <w:noProof/>
        </w:rPr>
        <w:t>EBA je dobila sljedeća posebna sredstva od francuske vlade kao pomoć za troškove preseljenja:</w:t>
      </w:r>
    </w:p>
    <w:p>
      <w:pPr>
        <w:pStyle w:val="ListParagraph"/>
        <w:numPr>
          <w:ilvl w:val="0"/>
          <w:numId w:val="21"/>
        </w:numPr>
        <w:spacing w:before="0" w:after="160" w:line="252" w:lineRule="auto"/>
        <w:rPr>
          <w:noProof/>
        </w:rPr>
      </w:pPr>
      <w:r>
        <w:rPr>
          <w:noProof/>
        </w:rPr>
        <w:t>iznos od 1,5 milijuna EUR kao doprinos troškovima opremanja pariških ureda. Taj je iznos isplaćen i primljen;</w:t>
      </w:r>
    </w:p>
    <w:p>
      <w:pPr>
        <w:pStyle w:val="ListParagraph"/>
        <w:numPr>
          <w:ilvl w:val="0"/>
          <w:numId w:val="21"/>
        </w:numPr>
        <w:spacing w:before="0" w:after="100" w:afterAutospacing="1" w:line="252" w:lineRule="auto"/>
        <w:rPr>
          <w:noProof/>
        </w:rPr>
      </w:pPr>
      <w:r>
        <w:rPr>
          <w:noProof/>
        </w:rPr>
        <w:t>iznos od 7 milijuna EUR kao doprinos troškovima najma ureda u Parizu i režijskim troškovima. EBA je od tog iznosa dosad primila 2,5 milijuna EUR. Preostali iznos isplaćivat će se tijekom trajanja ugovora o najmu uredâ u Parizu.</w:t>
      </w:r>
    </w:p>
    <w:p>
      <w:pPr>
        <w:spacing w:after="100" w:afterAutospacing="1"/>
        <w:rPr>
          <w:noProof/>
        </w:rPr>
      </w:pPr>
      <w:r>
        <w:rPr>
          <w:noProof/>
        </w:rPr>
        <w:t xml:space="preserve">Do dolaska novog predsjednika EBA-e 1. svibnja 2019. zamjenik predsjednika EBA-e djelovao je kao privremeni predsjednik EBA-e, a među ostalim potpisao je u ime EBA-e sporazum o sjedištu. Budući da novi uredski prostor u Parizu nije bio dostupan do kraja svibnja 2019., u prijelaznom razdoblju od travnja do svibnja 2019. primjenjivali su se posebni aranžmani kako bi se poremećaji u radu osoblja EBA-e sveli na najmanju moguću mjeru i u potpunosti zadržao operativni kontinuitet. Više rukovodstvo djeluje u Parizu od 30. ožujka 2019. u privremenim uredima koje je EBA unajmila u zgradi Europlaza (zgrada namijenjena novim prostorima EBA-e).  </w:t>
      </w:r>
    </w:p>
    <w:p>
      <w:pPr>
        <w:spacing w:after="100" w:afterAutospacing="1"/>
        <w:rPr>
          <w:noProof/>
        </w:rPr>
      </w:pPr>
      <w:r>
        <w:rPr>
          <w:noProof/>
        </w:rPr>
        <w:t>EBA je od 1. travnja 2019. započela održavati važne sastanke u Parizu i drugim gradovima EU-a. Posebnu je potporu pružila i Središnja banka Francuske (</w:t>
      </w:r>
      <w:r>
        <w:rPr>
          <w:i/>
          <w:iCs/>
          <w:noProof/>
        </w:rPr>
        <w:t>Banque de France</w:t>
      </w:r>
      <w:r>
        <w:rPr>
          <w:noProof/>
        </w:rPr>
        <w:t>), ugostivši Odbor nadzornih tijela 16. i 17. travnja 2019., a u zgradi Europlaza organizirano je i javno saslušanje.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Preseljenja ureda EBA-e</w:t>
      </w:r>
    </w:p>
    <w:p>
      <w:pPr>
        <w:rPr>
          <w:noProof/>
        </w:rPr>
      </w:pPr>
      <w:r>
        <w:rPr>
          <w:noProof/>
        </w:rPr>
        <w:t>Posljednjih nekoliko mjeseci u zgradi Europlaza održavani su intenzivni tjedni sastanci radi praćenja i rješavanja problema povezanih s opremanjem. Iako je rad na potpunom opremanju ureda koji je obavljao najmodavac kasnio preko ugovorenog roka (16. travnja 2019.), ostvaren je dostatan napredak koji je EBA-i omogućio da održi planirane rokove za potpuno preseljenje ureda. Radovi na uredima EBA-e u zgradi Europlaza (namještaj, audiovizualna oprema i IT usluge za krajnje korisnike) koje su izvodili vanjski suradnici i osoblje EBA-e dovršeno je 31. svibnja 2019., a rok za potpuno preseljenje ureda EBA-e iz Londona u Pariz bio je 2. lipnja 2019. S punim radom u Parizu započelo se 3. lipnja 2019. kada je svo osoblje preuzelo dužnosti u novom sjedištu EBA-e u zgradi Europlaza.</w:t>
      </w:r>
    </w:p>
    <w:p>
      <w:pPr>
        <w:pStyle w:val="ManualHeading1"/>
        <w:rPr>
          <w:noProof/>
        </w:rPr>
      </w:pPr>
      <w:r>
        <w:rPr>
          <w:noProof/>
        </w:rPr>
        <w:lastRenderedPageBreak/>
        <w:t>5.</w:t>
      </w:r>
      <w:r>
        <w:rPr>
          <w:noProof/>
        </w:rPr>
        <w:tab/>
        <w:t>Preseljenje podatkovnog centra EBA-e</w:t>
      </w:r>
    </w:p>
    <w:p>
      <w:pPr>
        <w:rPr>
          <w:noProof/>
        </w:rPr>
      </w:pPr>
      <w:r>
        <w:rPr>
          <w:noProof/>
        </w:rPr>
        <w:t>Budući da ugovori o smještaju njezina podatkovnog centra istječu 2019., EBA je odlučila podatkovni centar preseliti u zajednički međuagencijski oblak (</w:t>
      </w:r>
      <w:r>
        <w:rPr>
          <w:i/>
          <w:iCs/>
          <w:noProof/>
        </w:rPr>
        <w:t>Interagency Community Cloud</w:t>
      </w:r>
      <w:r>
        <w:rPr>
          <w:noProof/>
        </w:rPr>
        <w:t>), u skladu sa svojom strategijom smještaja na poslužitelje i prije očekivanog datuma Brexita u ožujku 2019. EBA je u programu migracije podatkovnog centra iz 2018., u bliskoj suradnji s Europskim nadzornim tijelom za osiguranje i strukovno mirovinsko osiguranje (EIOPA), projektirala, planirala, ugovorila i u potpunosti provela prijenos svojih podataka i infrastrukturnih usluga. Na taj je način osiguran neometan rad EBA-e, poboljšana sigurnost i smanjeni su troškovi za uslugu jednake ili više kvalitete.</w:t>
      </w:r>
    </w:p>
    <w:p>
      <w:pPr>
        <w:rPr>
          <w:noProof/>
        </w:rPr>
      </w:pPr>
      <w:r>
        <w:rPr>
          <w:noProof/>
        </w:rPr>
        <w:t>EBA je pristupila dvama međuinstitucijskim postupcima javne nabave koje predvodi Europsko nadzorno tijelo za vrijednosne papire i tržišta kapitala (ESMA): za usluge savjetovanja u vezi s informacijskim i komunikacijskim tehnologijama (IKT) (okvirni ugovor potpisan 8. listopada 2018.) i za usluge savjetovanja u vezi s upravljanjem objektima (okvirni ugovor dodijeljen 30. travnja 2019.). Na temelju ugovora o informatičkom savjetovanju vanjskom se suradniku prenosi postojeće stručno znanje privremeno zaposlenog osoblja iz UK-a kako bi se osiguralo da se tehničko znanje o svim informatičkim aplikacijama i projektima zadrži u EBA-i i da se strukturirano pohrani.</w:t>
      </w:r>
    </w:p>
    <w:p>
      <w:pPr>
        <w:pStyle w:val="ManualHeading1"/>
        <w:ind w:left="0" w:firstLine="0"/>
        <w:rPr>
          <w:noProof/>
        </w:rPr>
      </w:pPr>
      <w:r>
        <w:rPr>
          <w:noProof/>
        </w:rPr>
        <w:t>5.</w:t>
      </w:r>
      <w:r>
        <w:rPr>
          <w:noProof/>
        </w:rPr>
        <w:tab/>
        <w:t>Zaključci</w:t>
      </w:r>
    </w:p>
    <w:p>
      <w:pPr>
        <w:rPr>
          <w:noProof/>
          <w:sz w:val="22"/>
          <w:szCs w:val="22"/>
        </w:rPr>
      </w:pPr>
      <w:r>
        <w:rPr>
          <w:noProof/>
        </w:rPr>
        <w:t>Na temelju dostupnih informacija preseljenje sjedišta EBA-e u Pariz nije utjecalo na izvršavanje njezinih zadaća i ovlasti, ustroj njezine upravljačke strukture, funkcioniranje njezine glavne organizacije ili financiranje njezinih aktivnosti niti na navedene sporazume o administrativnoj suradnji s ESMA-om i EIOPA-om, koji nisu povezani s temeljnim aktivnostima EBA-e.</w:t>
      </w:r>
    </w:p>
    <w:p>
      <w:pPr>
        <w:rPr>
          <w:noProof/>
          <w:szCs w:val="22"/>
        </w:rPr>
      </w:pP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  <w:endnote w:type="continuationNotice" w:id="1">
    <w:p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type="continuationNotice" w:id="1">
    <w:p>
      <w:pPr>
        <w:spacing w:before="0" w:after="0"/>
      </w:pP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Vijeće za opće poslove (članak 50.), 20. studenoga 2017.: </w:t>
      </w:r>
      <w:r>
        <w:tab/>
        <w:t xml:space="preserve"> </w:t>
      </w:r>
      <w:hyperlink r:id="rId1" w:history="1">
        <w:r>
          <w:rPr>
            <w:rStyle w:val="Hyperlink"/>
          </w:rPr>
          <w:t>https://www.consilium.europa.eu/en/press/press-releases/2017/11/20/european-banking-authority-to-be-relocated-to-city-country/</w:t>
        </w:r>
      </w:hyperlink>
      <w:r>
        <w:t xml:space="preserve"> 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Uredba (EU) br. 1093/2010 Europskog parlamenta i Vijeća od 24. studenoga 2010. o osnivanju europskog nadzornog tijela (Europskog nadzornog tijela za bankarstvo), (SL L 331, 15.12.2010., str. 12.).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Uredba (EU) 2018/1717 Europskog parlamenta i Vijeća od 14. studenoga 2018. o izmjeni Uredbe (EU) br. 1093/2010 u pogledu mjesta sjedišta Europskog nadzornog tijela za bankarstvo (SL L 291, 16.11.2018., str. 1).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SL C 202, 7.6.2016., str. 266.–272.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16DD"/>
    <w:multiLevelType w:val="hybridMultilevel"/>
    <w:tmpl w:val="950A2F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05CB3"/>
    <w:multiLevelType w:val="hybridMultilevel"/>
    <w:tmpl w:val="F5F07DB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A630759"/>
    <w:multiLevelType w:val="hybridMultilevel"/>
    <w:tmpl w:val="3DA2D288"/>
    <w:lvl w:ilvl="0" w:tplc="382EB298">
      <w:start w:val="1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3C78B8"/>
    <w:multiLevelType w:val="multilevel"/>
    <w:tmpl w:val="2ED4F4D0"/>
    <w:name w:val="Point"/>
    <w:lvl w:ilvl="0">
      <w:start w:val="1"/>
      <w:numFmt w:val="decimal"/>
      <w:lvlRestart w:val="0"/>
      <w:pStyle w:val="Rfrenceinstitutionnelle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SectionTitle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Rfrenceinterinstitutionnelle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Sous-titreobjet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RfrenceinterinstitutionnellePagedecouverture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Sous-titreobjetPagedecouverture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Rfrenceinterne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Statut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StatutPagedecouverture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4">
    <w:nsid w:val="1F734306"/>
    <w:multiLevelType w:val="multilevel"/>
    <w:tmpl w:val="D266108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3942455"/>
    <w:multiLevelType w:val="multilevel"/>
    <w:tmpl w:val="FAD43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2C9B7D3F"/>
    <w:multiLevelType w:val="hybridMultilevel"/>
    <w:tmpl w:val="60D2B5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D26EF3"/>
    <w:multiLevelType w:val="hybridMultilevel"/>
    <w:tmpl w:val="4524F13E"/>
    <w:lvl w:ilvl="0" w:tplc="82AA57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393CED"/>
    <w:multiLevelType w:val="hybridMultilevel"/>
    <w:tmpl w:val="0930C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263F03"/>
    <w:multiLevelType w:val="multilevel"/>
    <w:tmpl w:val="6EC0168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>
    <w:nsid w:val="67167667"/>
    <w:multiLevelType w:val="hybridMultilevel"/>
    <w:tmpl w:val="7A1E7628"/>
    <w:lvl w:ilvl="0" w:tplc="76089A36">
      <w:start w:val="15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D316EF"/>
    <w:multiLevelType w:val="hybridMultilevel"/>
    <w:tmpl w:val="E86E8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E31602"/>
    <w:multiLevelType w:val="hybridMultilevel"/>
    <w:tmpl w:val="E02EC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EF2E05"/>
    <w:multiLevelType w:val="hybridMultilevel"/>
    <w:tmpl w:val="4524F13E"/>
    <w:lvl w:ilvl="0" w:tplc="82AA57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BE95D7F"/>
    <w:multiLevelType w:val="multilevel"/>
    <w:tmpl w:val="F126F780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num w:numId="1">
    <w:abstractNumId w:val="1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2"/>
  </w:num>
  <w:num w:numId="6">
    <w:abstractNumId w:val="6"/>
  </w:num>
  <w:num w:numId="7">
    <w:abstractNumId w:val="12"/>
  </w:num>
  <w:num w:numId="8">
    <w:abstractNumId w:val="1"/>
  </w:num>
  <w:num w:numId="9">
    <w:abstractNumId w:val="13"/>
  </w:num>
  <w:num w:numId="10">
    <w:abstractNumId w:val="7"/>
  </w:num>
  <w:num w:numId="11">
    <w:abstractNumId w:val="1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en-IE" w:vendorID="64" w:dllVersion="131078" w:nlCheck="1" w:checkStyle="1"/>
  <w:revisionView w:markup="0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CORRIGENDUM" w:val="&lt;UNUSED&gt;"/>
    <w:docVar w:name="LW_COVERPAGE_EXISTS" w:val="True"/>
    <w:docVar w:name="LW_COVERPAGE_GUID" w:val="85D36CEC-AD62-4934-9C70-8987B8996922"/>
    <w:docVar w:name="LW_COVERPAGE_TYPE" w:val="1"/>
    <w:docVar w:name="LW_CROSSREFERENCE" w:val="&lt;UNUSED&gt;"/>
    <w:docVar w:name="LW_DocType" w:val="NORMAL"/>
    <w:docVar w:name="LW_EMISSION" w:val="9.10.2019."/>
    <w:docVar w:name="LW_EMISSION_ISODATE" w:val="2019-10-09"/>
    <w:docVar w:name="LW_EMISSION_LOCATION" w:val="BRX"/>
    <w:docVar w:name="LW_EMISSION_PREFIX" w:val="Bruxelles, "/>
    <w:docVar w:name="LW_EMISSION_SUFFIX" w:val="&lt;EMPTY&gt;"/>
    <w:docVar w:name="LW_ID_DOCTYPE_NONLW" w:val="CP-006"/>
    <w:docVar w:name="LW_LANGUE" w:val="HR"/>
    <w:docVar w:name="LW_LEVEL_OF_SENSITIVITY" w:val="Standard treatment"/>
    <w:docVar w:name="LW_NOM.INST" w:val="EUROPSKA KOMISIJA"/>
    <w:docVar w:name="LW_NOM.INST_JOINTDOC" w:val="&lt;EMPTY&gt;"/>
    <w:docVar w:name="LW_PART_NBR" w:val="1"/>
    <w:docVar w:name="LW_PART_NBR_TOTAL" w:val="1"/>
    <w:docVar w:name="LW_REF.INST.NEW" w:val="COM"/>
    <w:docVar w:name="LW_REF.INST.NEW_ADOPTED" w:val="final"/>
    <w:docVar w:name="LW_REF.INST.NEW_TEXT" w:val="(2019) 45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OUS.TITRE.OBJ.CP" w:val="&lt;UNUSED&gt;"/>
    <w:docVar w:name="LW_SUPERTITRE" w:val="&lt;UNUSED&gt;"/>
    <w:docVar w:name="LW_TITRE.OBJ.CP" w:val="&lt;FMT:Bold&gt;o uskla\u273?enosti &lt;/FMT&gt;Europskog nadzornog tijela za bankarstvo sa zahtjevima koji se odnose na njegovo sjedi\u353?te_x000d__x000d__x000d__x000d__x000d__x000d__x000d__x000d__x000d__x000d__x000d__x000b_"/>
    <w:docVar w:name="LW_TYPE.DOC.CP" w:val="IZVJE\u352?\u262?E KOMISIJE EUROPSKOM PARLAMENTU I VIJE\u262?U"/>
    <w:docVar w:name="Stamp" w:val="\\dossiers.dgt.cec.eu.int\dossiers\ENER\ENER-2018-00192\ENER-2018-00192-00-00-EN-REV-00.201803050814321755775.DOCX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rFonts w:eastAsiaTheme="minorHAnsi"/>
      <w:szCs w:val="22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character" w:styleId="FootnoteReference">
    <w:name w:val="footnote reference"/>
    <w:uiPriority w:val="99"/>
    <w:rPr>
      <w:shd w:val="clear" w:color="auto" w:fill="auto"/>
      <w:vertAlign w:val="superscript"/>
    </w:rPr>
  </w:style>
  <w:style w:type="paragraph" w:styleId="FootnoteText">
    <w:name w:val="footnote text"/>
    <w:basedOn w:val="Normal"/>
    <w:uiPriority w:val="99"/>
    <w:semiHidden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rFonts w:eastAsiaTheme="minorHAnsi"/>
      <w:szCs w:val="22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customStyle="1" w:styleId="ManualHeading1">
    <w:name w:val="Manual Heading 1"/>
    <w:basedOn w:val="Normal"/>
    <w:next w:val="Normal"/>
    <w:link w:val="ManualHeading1Char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Normal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Point0letter">
    <w:name w:val="Point 0 (letter)"/>
    <w:basedOn w:val="Normal"/>
    <w:pPr>
      <w:numPr>
        <w:ilvl w:val="1"/>
        <w:numId w:val="1"/>
      </w:numPr>
    </w:pPr>
  </w:style>
  <w:style w:type="paragraph" w:customStyle="1" w:styleId="Point0number">
    <w:name w:val="Point 0 (number)"/>
    <w:basedOn w:val="Normal"/>
    <w:pPr>
      <w:numPr>
        <w:numId w:val="1"/>
      </w:numPr>
    </w:pPr>
  </w:style>
  <w:style w:type="paragraph" w:customStyle="1" w:styleId="Point1letter">
    <w:name w:val="Point 1 (letter)"/>
    <w:basedOn w:val="Normal"/>
    <w:pPr>
      <w:numPr>
        <w:ilvl w:val="3"/>
        <w:numId w:val="1"/>
      </w:numPr>
    </w:pPr>
  </w:style>
  <w:style w:type="paragraph" w:customStyle="1" w:styleId="Point1number">
    <w:name w:val="Point 1 (number)"/>
    <w:basedOn w:val="Normal"/>
    <w:pPr>
      <w:numPr>
        <w:ilvl w:val="2"/>
        <w:numId w:val="1"/>
      </w:numPr>
    </w:pPr>
  </w:style>
  <w:style w:type="paragraph" w:customStyle="1" w:styleId="Point2letter">
    <w:name w:val="Point 2 (letter)"/>
    <w:basedOn w:val="Normal"/>
    <w:pPr>
      <w:numPr>
        <w:ilvl w:val="5"/>
        <w:numId w:val="1"/>
      </w:numPr>
    </w:pPr>
  </w:style>
  <w:style w:type="paragraph" w:customStyle="1" w:styleId="Point2number">
    <w:name w:val="Point 2 (number)"/>
    <w:basedOn w:val="Normal"/>
    <w:pPr>
      <w:numPr>
        <w:ilvl w:val="4"/>
        <w:numId w:val="1"/>
      </w:numPr>
    </w:pPr>
  </w:style>
  <w:style w:type="paragraph" w:customStyle="1" w:styleId="Point3letter">
    <w:name w:val="Point 3 (letter)"/>
    <w:basedOn w:val="Normal"/>
    <w:pPr>
      <w:numPr>
        <w:ilvl w:val="7"/>
        <w:numId w:val="1"/>
      </w:numPr>
    </w:pPr>
  </w:style>
  <w:style w:type="paragraph" w:customStyle="1" w:styleId="Point3number">
    <w:name w:val="Point 3 (number)"/>
    <w:basedOn w:val="Normal"/>
    <w:pPr>
      <w:numPr>
        <w:ilvl w:val="6"/>
        <w:numId w:val="1"/>
      </w:numPr>
    </w:pPr>
  </w:style>
  <w:style w:type="paragraph" w:customStyle="1" w:styleId="Point4letter">
    <w:name w:val="Point 4 (letter)"/>
    <w:basedOn w:val="Normal"/>
    <w:pPr>
      <w:numPr>
        <w:ilvl w:val="8"/>
        <w:numId w:val="1"/>
      </w:numPr>
    </w:pPr>
  </w:style>
  <w:style w:type="paragraph" w:customStyle="1" w:styleId="Rfrenceinstitutionnelle">
    <w:name w:val="Référence institutionnelle"/>
    <w:basedOn w:val="Normal"/>
    <w:next w:val="Normal"/>
    <w:pPr>
      <w:numPr>
        <w:numId w:val="2"/>
      </w:numPr>
      <w:tabs>
        <w:tab w:val="clear" w:pos="850"/>
      </w:tabs>
      <w:spacing w:before="0" w:after="240"/>
      <w:ind w:left="5103" w:firstLine="0"/>
      <w:jc w:val="left"/>
    </w:pPr>
  </w:style>
  <w:style w:type="paragraph" w:customStyle="1" w:styleId="Rfrenceinterinstitutionnelle">
    <w:name w:val="Référence interinstitutionnelle"/>
    <w:basedOn w:val="Normal"/>
    <w:next w:val="Normal"/>
    <w:pPr>
      <w:numPr>
        <w:ilvl w:val="2"/>
        <w:numId w:val="2"/>
      </w:numPr>
      <w:tabs>
        <w:tab w:val="clear" w:pos="1417"/>
      </w:tabs>
      <w:spacing w:before="0" w:after="0"/>
      <w:ind w:left="5103" w:firstLine="0"/>
      <w:jc w:val="left"/>
    </w:pPr>
  </w:style>
  <w:style w:type="paragraph" w:customStyle="1" w:styleId="RfrenceinterinstitutionnellePagedecouverture">
    <w:name w:val="Référence interinstitutionnelle (Page de couverture)"/>
    <w:basedOn w:val="Rfrenceinterinstitutionnelle"/>
    <w:next w:val="Normal"/>
    <w:pPr>
      <w:numPr>
        <w:ilvl w:val="4"/>
      </w:numPr>
      <w:tabs>
        <w:tab w:val="clear" w:pos="1984"/>
      </w:tabs>
      <w:ind w:left="5103" w:firstLine="0"/>
    </w:pPr>
  </w:style>
  <w:style w:type="paragraph" w:customStyle="1" w:styleId="Rfrenceinterne">
    <w:name w:val="Référence interne"/>
    <w:basedOn w:val="Normal"/>
    <w:next w:val="Rfrenceinterinstitutionnelle"/>
    <w:pPr>
      <w:numPr>
        <w:ilvl w:val="6"/>
        <w:numId w:val="2"/>
      </w:numPr>
      <w:tabs>
        <w:tab w:val="clear" w:pos="2551"/>
      </w:tabs>
      <w:spacing w:before="0" w:after="0"/>
      <w:ind w:left="5103" w:firstLine="0"/>
      <w:jc w:val="left"/>
    </w:pPr>
  </w:style>
  <w:style w:type="paragraph" w:customStyle="1" w:styleId="SectionTitle">
    <w:name w:val="SectionTitle"/>
    <w:basedOn w:val="Normal"/>
    <w:next w:val="Heading1"/>
    <w:pPr>
      <w:keepNext/>
      <w:numPr>
        <w:ilvl w:val="1"/>
        <w:numId w:val="2"/>
      </w:numPr>
      <w:tabs>
        <w:tab w:val="clear" w:pos="850"/>
      </w:tabs>
      <w:spacing w:after="360"/>
      <w:ind w:left="0" w:firstLine="0"/>
      <w:jc w:val="center"/>
    </w:pPr>
    <w:rPr>
      <w:b/>
      <w:smallCaps/>
      <w:sz w:val="28"/>
    </w:rPr>
  </w:style>
  <w:style w:type="paragraph" w:customStyle="1" w:styleId="Sous-titreobjet">
    <w:name w:val="Sous-titre objet"/>
    <w:basedOn w:val="Normal"/>
    <w:pPr>
      <w:numPr>
        <w:ilvl w:val="3"/>
        <w:numId w:val="2"/>
      </w:numPr>
      <w:tabs>
        <w:tab w:val="clear" w:pos="1417"/>
      </w:tabs>
      <w:spacing w:before="0" w:after="0"/>
      <w:ind w:left="0" w:firstLine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  <w:pPr>
      <w:numPr>
        <w:ilvl w:val="5"/>
      </w:numPr>
      <w:tabs>
        <w:tab w:val="clear" w:pos="1984"/>
      </w:tabs>
      <w:ind w:left="0" w:firstLine="0"/>
    </w:pPr>
  </w:style>
  <w:style w:type="paragraph" w:customStyle="1" w:styleId="Statut">
    <w:name w:val="Statut"/>
    <w:basedOn w:val="Normal"/>
    <w:next w:val="Normal"/>
    <w:pPr>
      <w:numPr>
        <w:ilvl w:val="7"/>
        <w:numId w:val="2"/>
      </w:numPr>
      <w:tabs>
        <w:tab w:val="clear" w:pos="2551"/>
      </w:tabs>
      <w:spacing w:before="360" w:after="0"/>
      <w:ind w:left="0" w:firstLine="0"/>
      <w:jc w:val="center"/>
    </w:pPr>
  </w:style>
  <w:style w:type="paragraph" w:customStyle="1" w:styleId="StatutPagedecouverture">
    <w:name w:val="Statut (Page de couverture)"/>
    <w:basedOn w:val="Statut"/>
    <w:next w:val="Normal"/>
    <w:pPr>
      <w:numPr>
        <w:ilvl w:val="8"/>
      </w:numPr>
      <w:tabs>
        <w:tab w:val="clear" w:pos="3118"/>
      </w:tabs>
      <w:ind w:left="0" w:firstLine="0"/>
    </w:pPr>
  </w:style>
  <w:style w:type="paragraph" w:customStyle="1" w:styleId="ListDash">
    <w:name w:val="List Dash"/>
    <w:basedOn w:val="Normal"/>
    <w:pPr>
      <w:spacing w:after="0"/>
      <w:ind w:firstLine="283"/>
    </w:pPr>
    <w:rPr>
      <w:noProof/>
      <w:szCs w:val="22"/>
      <w:lang w:eastAsia="de-D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spacing w:line="276" w:lineRule="auto"/>
      <w:jc w:val="left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  <w:rPr>
      <w:rFonts w:eastAsiaTheme="minorHAnsi"/>
      <w:szCs w:val="22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Heading1Char"/>
    <w:link w:val="FooterCoverPage"/>
    <w:rPr>
      <w:rFonts w:ascii="Times New Roman" w:eastAsia="Times New Roman" w:hAnsi="Times New Roman" w:cs="Times New Roman"/>
      <w:b w:val="0"/>
      <w:bCs w:val="0"/>
      <w:color w:val="365F91" w:themeColor="accent1" w:themeShade="BF"/>
      <w:sz w:val="24"/>
      <w:szCs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</w:style>
  <w:style w:type="character" w:customStyle="1" w:styleId="HeaderCoverPageChar">
    <w:name w:val="Header Cover Page Char"/>
    <w:basedOn w:val="Heading1Char"/>
    <w:link w:val="HeaderCoverPage"/>
    <w:rPr>
      <w:rFonts w:ascii="Times New Roman" w:eastAsia="Times New Roman" w:hAnsi="Times New Roman" w:cs="Times New Roman"/>
      <w:b w:val="0"/>
      <w:bCs w:val="0"/>
      <w:color w:val="365F91" w:themeColor="accent1" w:themeShade="B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customStyle="1" w:styleId="CM4">
    <w:name w:val="CM4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</w:rPr>
  </w:style>
  <w:style w:type="paragraph" w:customStyle="1" w:styleId="Footno">
    <w:name w:val="Footno"/>
    <w:basedOn w:val="FootnoteText"/>
    <w:pPr>
      <w:jc w:val="left"/>
    </w:p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customStyle="1" w:styleId="Declassification">
    <w:name w:val="Declassification"/>
    <w:basedOn w:val="Normal"/>
    <w:next w:val="Normal"/>
    <w:pPr>
      <w:spacing w:before="0" w:after="0"/>
    </w:pPr>
    <w:rPr>
      <w:rFonts w:eastAsiaTheme="minorHAnsi"/>
      <w:szCs w:val="22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rFonts w:eastAsiaTheme="minorHAnsi"/>
      <w:szCs w:val="22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rFonts w:eastAsiaTheme="minorHAnsi"/>
      <w:szCs w:val="2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character" w:customStyle="1" w:styleId="st1">
    <w:name w:val="st1"/>
    <w:basedOn w:val="DefaultParagraphFont"/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rFonts w:eastAsiaTheme="minorHAnsi"/>
      <w:sz w:val="28"/>
      <w:szCs w:val="22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rFonts w:eastAsiaTheme="minorHAnsi"/>
      <w:i/>
      <w:sz w:val="28"/>
      <w:szCs w:val="22"/>
    </w:rPr>
  </w:style>
  <w:style w:type="paragraph" w:customStyle="1" w:styleId="HeaderSensitivityRight">
    <w:name w:val="Header Sensitivity Right"/>
    <w:basedOn w:val="Normal"/>
    <w:link w:val="HeaderSensitivityRightChar"/>
    <w:pPr>
      <w:spacing w:before="0"/>
      <w:jc w:val="right"/>
    </w:pPr>
    <w:rPr>
      <w:sz w:val="28"/>
    </w:rPr>
  </w:style>
  <w:style w:type="character" w:customStyle="1" w:styleId="ManualHeading1Char">
    <w:name w:val="Manual Heading 1 Char"/>
    <w:basedOn w:val="DefaultParagraphFont"/>
    <w:link w:val="ManualHeading1"/>
    <w:rPr>
      <w:rFonts w:ascii="Times New Roman" w:eastAsia="Times New Roman" w:hAnsi="Times New Roman" w:cs="Times New Roman"/>
      <w:b/>
      <w:smallCaps/>
      <w:sz w:val="24"/>
      <w:szCs w:val="24"/>
    </w:rPr>
  </w:style>
  <w:style w:type="character" w:customStyle="1" w:styleId="HeaderSensitivityRightChar">
    <w:name w:val="Header Sensitivity Right Char"/>
    <w:basedOn w:val="ManualHeading1Char"/>
    <w:link w:val="HeaderSensitivityRight"/>
    <w:rPr>
      <w:rFonts w:ascii="Times New Roman" w:eastAsia="Times New Roman" w:hAnsi="Times New Roman" w:cs="Times New Roman"/>
      <w:b w:val="0"/>
      <w:smallCaps w:val="0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rFonts w:eastAsiaTheme="minorHAnsi"/>
      <w:szCs w:val="22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character" w:styleId="FootnoteReference">
    <w:name w:val="footnote reference"/>
    <w:uiPriority w:val="99"/>
    <w:rPr>
      <w:shd w:val="clear" w:color="auto" w:fill="auto"/>
      <w:vertAlign w:val="superscript"/>
    </w:rPr>
  </w:style>
  <w:style w:type="paragraph" w:styleId="FootnoteText">
    <w:name w:val="footnote text"/>
    <w:basedOn w:val="Normal"/>
    <w:uiPriority w:val="99"/>
    <w:semiHidden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rFonts w:eastAsiaTheme="minorHAnsi"/>
      <w:szCs w:val="22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customStyle="1" w:styleId="ManualHeading1">
    <w:name w:val="Manual Heading 1"/>
    <w:basedOn w:val="Normal"/>
    <w:next w:val="Normal"/>
    <w:link w:val="ManualHeading1Char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Normal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Point0letter">
    <w:name w:val="Point 0 (letter)"/>
    <w:basedOn w:val="Normal"/>
    <w:pPr>
      <w:numPr>
        <w:ilvl w:val="1"/>
        <w:numId w:val="1"/>
      </w:numPr>
    </w:pPr>
  </w:style>
  <w:style w:type="paragraph" w:customStyle="1" w:styleId="Point0number">
    <w:name w:val="Point 0 (number)"/>
    <w:basedOn w:val="Normal"/>
    <w:pPr>
      <w:numPr>
        <w:numId w:val="1"/>
      </w:numPr>
    </w:pPr>
  </w:style>
  <w:style w:type="paragraph" w:customStyle="1" w:styleId="Point1letter">
    <w:name w:val="Point 1 (letter)"/>
    <w:basedOn w:val="Normal"/>
    <w:pPr>
      <w:numPr>
        <w:ilvl w:val="3"/>
        <w:numId w:val="1"/>
      </w:numPr>
    </w:pPr>
  </w:style>
  <w:style w:type="paragraph" w:customStyle="1" w:styleId="Point1number">
    <w:name w:val="Point 1 (number)"/>
    <w:basedOn w:val="Normal"/>
    <w:pPr>
      <w:numPr>
        <w:ilvl w:val="2"/>
        <w:numId w:val="1"/>
      </w:numPr>
    </w:pPr>
  </w:style>
  <w:style w:type="paragraph" w:customStyle="1" w:styleId="Point2letter">
    <w:name w:val="Point 2 (letter)"/>
    <w:basedOn w:val="Normal"/>
    <w:pPr>
      <w:numPr>
        <w:ilvl w:val="5"/>
        <w:numId w:val="1"/>
      </w:numPr>
    </w:pPr>
  </w:style>
  <w:style w:type="paragraph" w:customStyle="1" w:styleId="Point2number">
    <w:name w:val="Point 2 (number)"/>
    <w:basedOn w:val="Normal"/>
    <w:pPr>
      <w:numPr>
        <w:ilvl w:val="4"/>
        <w:numId w:val="1"/>
      </w:numPr>
    </w:pPr>
  </w:style>
  <w:style w:type="paragraph" w:customStyle="1" w:styleId="Point3letter">
    <w:name w:val="Point 3 (letter)"/>
    <w:basedOn w:val="Normal"/>
    <w:pPr>
      <w:numPr>
        <w:ilvl w:val="7"/>
        <w:numId w:val="1"/>
      </w:numPr>
    </w:pPr>
  </w:style>
  <w:style w:type="paragraph" w:customStyle="1" w:styleId="Point3number">
    <w:name w:val="Point 3 (number)"/>
    <w:basedOn w:val="Normal"/>
    <w:pPr>
      <w:numPr>
        <w:ilvl w:val="6"/>
        <w:numId w:val="1"/>
      </w:numPr>
    </w:pPr>
  </w:style>
  <w:style w:type="paragraph" w:customStyle="1" w:styleId="Point4letter">
    <w:name w:val="Point 4 (letter)"/>
    <w:basedOn w:val="Normal"/>
    <w:pPr>
      <w:numPr>
        <w:ilvl w:val="8"/>
        <w:numId w:val="1"/>
      </w:numPr>
    </w:pPr>
  </w:style>
  <w:style w:type="paragraph" w:customStyle="1" w:styleId="Rfrenceinstitutionnelle">
    <w:name w:val="Référence institutionnelle"/>
    <w:basedOn w:val="Normal"/>
    <w:next w:val="Normal"/>
    <w:pPr>
      <w:numPr>
        <w:numId w:val="2"/>
      </w:numPr>
      <w:tabs>
        <w:tab w:val="clear" w:pos="850"/>
      </w:tabs>
      <w:spacing w:before="0" w:after="240"/>
      <w:ind w:left="5103" w:firstLine="0"/>
      <w:jc w:val="left"/>
    </w:pPr>
  </w:style>
  <w:style w:type="paragraph" w:customStyle="1" w:styleId="Rfrenceinterinstitutionnelle">
    <w:name w:val="Référence interinstitutionnelle"/>
    <w:basedOn w:val="Normal"/>
    <w:next w:val="Normal"/>
    <w:pPr>
      <w:numPr>
        <w:ilvl w:val="2"/>
        <w:numId w:val="2"/>
      </w:numPr>
      <w:tabs>
        <w:tab w:val="clear" w:pos="1417"/>
      </w:tabs>
      <w:spacing w:before="0" w:after="0"/>
      <w:ind w:left="5103" w:firstLine="0"/>
      <w:jc w:val="left"/>
    </w:pPr>
  </w:style>
  <w:style w:type="paragraph" w:customStyle="1" w:styleId="RfrenceinterinstitutionnellePagedecouverture">
    <w:name w:val="Référence interinstitutionnelle (Page de couverture)"/>
    <w:basedOn w:val="Rfrenceinterinstitutionnelle"/>
    <w:next w:val="Normal"/>
    <w:pPr>
      <w:numPr>
        <w:ilvl w:val="4"/>
      </w:numPr>
      <w:tabs>
        <w:tab w:val="clear" w:pos="1984"/>
      </w:tabs>
      <w:ind w:left="5103" w:firstLine="0"/>
    </w:pPr>
  </w:style>
  <w:style w:type="paragraph" w:customStyle="1" w:styleId="Rfrenceinterne">
    <w:name w:val="Référence interne"/>
    <w:basedOn w:val="Normal"/>
    <w:next w:val="Rfrenceinterinstitutionnelle"/>
    <w:pPr>
      <w:numPr>
        <w:ilvl w:val="6"/>
        <w:numId w:val="2"/>
      </w:numPr>
      <w:tabs>
        <w:tab w:val="clear" w:pos="2551"/>
      </w:tabs>
      <w:spacing w:before="0" w:after="0"/>
      <w:ind w:left="5103" w:firstLine="0"/>
      <w:jc w:val="left"/>
    </w:pPr>
  </w:style>
  <w:style w:type="paragraph" w:customStyle="1" w:styleId="SectionTitle">
    <w:name w:val="SectionTitle"/>
    <w:basedOn w:val="Normal"/>
    <w:next w:val="Heading1"/>
    <w:pPr>
      <w:keepNext/>
      <w:numPr>
        <w:ilvl w:val="1"/>
        <w:numId w:val="2"/>
      </w:numPr>
      <w:tabs>
        <w:tab w:val="clear" w:pos="850"/>
      </w:tabs>
      <w:spacing w:after="360"/>
      <w:ind w:left="0" w:firstLine="0"/>
      <w:jc w:val="center"/>
    </w:pPr>
    <w:rPr>
      <w:b/>
      <w:smallCaps/>
      <w:sz w:val="28"/>
    </w:rPr>
  </w:style>
  <w:style w:type="paragraph" w:customStyle="1" w:styleId="Sous-titreobjet">
    <w:name w:val="Sous-titre objet"/>
    <w:basedOn w:val="Normal"/>
    <w:pPr>
      <w:numPr>
        <w:ilvl w:val="3"/>
        <w:numId w:val="2"/>
      </w:numPr>
      <w:tabs>
        <w:tab w:val="clear" w:pos="1417"/>
      </w:tabs>
      <w:spacing w:before="0" w:after="0"/>
      <w:ind w:left="0" w:firstLine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  <w:pPr>
      <w:numPr>
        <w:ilvl w:val="5"/>
      </w:numPr>
      <w:tabs>
        <w:tab w:val="clear" w:pos="1984"/>
      </w:tabs>
      <w:ind w:left="0" w:firstLine="0"/>
    </w:pPr>
  </w:style>
  <w:style w:type="paragraph" w:customStyle="1" w:styleId="Statut">
    <w:name w:val="Statut"/>
    <w:basedOn w:val="Normal"/>
    <w:next w:val="Normal"/>
    <w:pPr>
      <w:numPr>
        <w:ilvl w:val="7"/>
        <w:numId w:val="2"/>
      </w:numPr>
      <w:tabs>
        <w:tab w:val="clear" w:pos="2551"/>
      </w:tabs>
      <w:spacing w:before="360" w:after="0"/>
      <w:ind w:left="0" w:firstLine="0"/>
      <w:jc w:val="center"/>
    </w:pPr>
  </w:style>
  <w:style w:type="paragraph" w:customStyle="1" w:styleId="StatutPagedecouverture">
    <w:name w:val="Statut (Page de couverture)"/>
    <w:basedOn w:val="Statut"/>
    <w:next w:val="Normal"/>
    <w:pPr>
      <w:numPr>
        <w:ilvl w:val="8"/>
      </w:numPr>
      <w:tabs>
        <w:tab w:val="clear" w:pos="3118"/>
      </w:tabs>
      <w:ind w:left="0" w:firstLine="0"/>
    </w:pPr>
  </w:style>
  <w:style w:type="paragraph" w:customStyle="1" w:styleId="ListDash">
    <w:name w:val="List Dash"/>
    <w:basedOn w:val="Normal"/>
    <w:pPr>
      <w:spacing w:after="0"/>
      <w:ind w:firstLine="283"/>
    </w:pPr>
    <w:rPr>
      <w:noProof/>
      <w:szCs w:val="22"/>
      <w:lang w:eastAsia="de-D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spacing w:line="276" w:lineRule="auto"/>
      <w:jc w:val="left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  <w:rPr>
      <w:rFonts w:eastAsiaTheme="minorHAnsi"/>
      <w:szCs w:val="22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Heading1Char"/>
    <w:link w:val="FooterCoverPage"/>
    <w:rPr>
      <w:rFonts w:ascii="Times New Roman" w:eastAsia="Times New Roman" w:hAnsi="Times New Roman" w:cs="Times New Roman"/>
      <w:b w:val="0"/>
      <w:bCs w:val="0"/>
      <w:color w:val="365F91" w:themeColor="accent1" w:themeShade="BF"/>
      <w:sz w:val="24"/>
      <w:szCs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</w:style>
  <w:style w:type="character" w:customStyle="1" w:styleId="HeaderCoverPageChar">
    <w:name w:val="Header Cover Page Char"/>
    <w:basedOn w:val="Heading1Char"/>
    <w:link w:val="HeaderCoverPage"/>
    <w:rPr>
      <w:rFonts w:ascii="Times New Roman" w:eastAsia="Times New Roman" w:hAnsi="Times New Roman" w:cs="Times New Roman"/>
      <w:b w:val="0"/>
      <w:bCs w:val="0"/>
      <w:color w:val="365F91" w:themeColor="accent1" w:themeShade="B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customStyle="1" w:styleId="CM4">
    <w:name w:val="CM4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</w:rPr>
  </w:style>
  <w:style w:type="paragraph" w:customStyle="1" w:styleId="Footno">
    <w:name w:val="Footno"/>
    <w:basedOn w:val="FootnoteText"/>
    <w:pPr>
      <w:jc w:val="left"/>
    </w:p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customStyle="1" w:styleId="Declassification">
    <w:name w:val="Declassification"/>
    <w:basedOn w:val="Normal"/>
    <w:next w:val="Normal"/>
    <w:pPr>
      <w:spacing w:before="0" w:after="0"/>
    </w:pPr>
    <w:rPr>
      <w:rFonts w:eastAsiaTheme="minorHAnsi"/>
      <w:szCs w:val="22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rFonts w:eastAsiaTheme="minorHAnsi"/>
      <w:szCs w:val="22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rFonts w:eastAsiaTheme="minorHAnsi"/>
      <w:szCs w:val="2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character" w:customStyle="1" w:styleId="st1">
    <w:name w:val="st1"/>
    <w:basedOn w:val="DefaultParagraphFont"/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rFonts w:eastAsiaTheme="minorHAnsi"/>
      <w:sz w:val="28"/>
      <w:szCs w:val="22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rFonts w:eastAsiaTheme="minorHAnsi"/>
      <w:i/>
      <w:sz w:val="28"/>
      <w:szCs w:val="22"/>
    </w:rPr>
  </w:style>
  <w:style w:type="paragraph" w:customStyle="1" w:styleId="HeaderSensitivityRight">
    <w:name w:val="Header Sensitivity Right"/>
    <w:basedOn w:val="Normal"/>
    <w:link w:val="HeaderSensitivityRightChar"/>
    <w:pPr>
      <w:spacing w:before="0"/>
      <w:jc w:val="right"/>
    </w:pPr>
    <w:rPr>
      <w:sz w:val="28"/>
    </w:rPr>
  </w:style>
  <w:style w:type="character" w:customStyle="1" w:styleId="ManualHeading1Char">
    <w:name w:val="Manual Heading 1 Char"/>
    <w:basedOn w:val="DefaultParagraphFont"/>
    <w:link w:val="ManualHeading1"/>
    <w:rPr>
      <w:rFonts w:ascii="Times New Roman" w:eastAsia="Times New Roman" w:hAnsi="Times New Roman" w:cs="Times New Roman"/>
      <w:b/>
      <w:smallCaps/>
      <w:sz w:val="24"/>
      <w:szCs w:val="24"/>
    </w:rPr>
  </w:style>
  <w:style w:type="character" w:customStyle="1" w:styleId="HeaderSensitivityRightChar">
    <w:name w:val="Header Sensitivity Right Char"/>
    <w:basedOn w:val="ManualHeading1Char"/>
    <w:link w:val="HeaderSensitivityRight"/>
    <w:rPr>
      <w:rFonts w:ascii="Times New Roman" w:eastAsia="Times New Roman" w:hAnsi="Times New Roman" w:cs="Times New Roman"/>
      <w:b w:val="0"/>
      <w:smallCaps w:val="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4196">
          <w:marLeft w:val="86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8086">
          <w:marLeft w:val="155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42235">
          <w:marLeft w:val="86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0541">
          <w:marLeft w:val="86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4938">
          <w:marLeft w:val="86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ilium.europa.eu/en/press/press-releases/2017/11/20/european-banking-authority-to-be-relocated-to-city-count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2DEDD-7438-4AF1-A3A8-A3FE03BF8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1021</Words>
  <Characters>5865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16</cp:revision>
  <cp:lastPrinted>2019-06-17T17:15:00Z</cp:lastPrinted>
  <dcterms:created xsi:type="dcterms:W3CDTF">2019-09-04T14:36:00Z</dcterms:created>
  <dcterms:modified xsi:type="dcterms:W3CDTF">2019-10-02T09:03:00Z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">
    <vt:lpwstr>1</vt:lpwstr>
  </property>
  <property fmtid="{D5CDD505-2E9C-101B-9397-08002B2CF9AE}" pid="3" name="Total parts">
    <vt:lpwstr>1</vt:lpwstr>
  </property>
  <property fmtid="{D5CDD505-2E9C-101B-9397-08002B2CF9AE}" pid="4" name="DocStatus">
    <vt:lpwstr>Green</vt:lpwstr>
  </property>
  <property fmtid="{D5CDD505-2E9C-101B-9397-08002B2CF9AE}" pid="5" name="Level of sensitivity">
    <vt:lpwstr>Standard treatment</vt:lpwstr>
  </property>
  <property fmtid="{D5CDD505-2E9C-101B-9397-08002B2CF9AE}" pid="6" name="Last edited using">
    <vt:lpwstr>LW 7.0, Build 20190717</vt:lpwstr>
  </property>
  <property fmtid="{D5CDD505-2E9C-101B-9397-08002B2CF9AE}" pid="7" name="Created using">
    <vt:lpwstr>LW 6.0.1, Build 20180503</vt:lpwstr>
  </property>
  <property fmtid="{D5CDD505-2E9C-101B-9397-08002B2CF9AE}" pid="8" name="CPTemplateID">
    <vt:lpwstr>CP-006</vt:lpwstr>
  </property>
</Properties>
</file>