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4073E83-5241-4D96-9783-F27EE1719F82" style="width:450.75pt;height:379.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u w:color="000000"/>
          <w:bdr w:val="nil"/>
        </w:rPr>
        <w:t>•</w:t>
      </w:r>
      <w:r>
        <w:rPr>
          <w:noProof/>
          <w:u w:color="000000"/>
          <w:bdr w:val="nil"/>
        </w:rPr>
        <w:tab/>
      </w:r>
      <w:r>
        <w:rPr>
          <w:noProof/>
        </w:rPr>
        <w:t>Motivering en doel van het voorstel</w:t>
      </w:r>
    </w:p>
    <w:p>
      <w:pPr>
        <w:pBdr>
          <w:top w:val="nil"/>
          <w:left w:val="nil"/>
          <w:bottom w:val="nil"/>
          <w:right w:val="nil"/>
          <w:between w:val="nil"/>
          <w:bar w:val="nil"/>
        </w:pBdr>
        <w:spacing w:before="0" w:after="240"/>
        <w:rPr>
          <w:noProof/>
        </w:rPr>
      </w:pPr>
      <w:r>
        <w:rPr>
          <w:noProof/>
        </w:rPr>
        <w:t>Het voorstel heeft betrekking op:</w:t>
      </w:r>
    </w:p>
    <w:p>
      <w:pPr>
        <w:spacing w:before="0"/>
        <w:rPr>
          <w:rFonts w:eastAsia="Arial Unicode MS"/>
          <w:noProof/>
        </w:rPr>
      </w:pPr>
      <w:r>
        <w:rPr>
          <w:noProof/>
        </w:rPr>
        <w:t>–</w:t>
      </w:r>
      <w:r>
        <w:rPr>
          <w:noProof/>
        </w:rPr>
        <w:tab/>
        <w:t>het maximumbedrag van de bijdragen voor 2021;</w:t>
      </w:r>
    </w:p>
    <w:p>
      <w:pPr>
        <w:spacing w:before="0"/>
        <w:rPr>
          <w:rFonts w:eastAsia="Arial Unicode MS"/>
          <w:noProof/>
        </w:rPr>
      </w:pPr>
      <w:r>
        <w:rPr>
          <w:noProof/>
        </w:rPr>
        <w:t>–</w:t>
      </w:r>
      <w:r>
        <w:rPr>
          <w:noProof/>
        </w:rPr>
        <w:tab/>
        <w:t>het jaarbedrag van de bijdragen voor 2020;</w:t>
      </w:r>
    </w:p>
    <w:p>
      <w:pPr>
        <w:spacing w:before="0"/>
        <w:rPr>
          <w:rFonts w:eastAsia="Arial Unicode MS"/>
          <w:noProof/>
        </w:rPr>
      </w:pPr>
      <w:r>
        <w:rPr>
          <w:noProof/>
        </w:rPr>
        <w:t>–</w:t>
      </w:r>
      <w:r>
        <w:rPr>
          <w:noProof/>
        </w:rPr>
        <w:tab/>
        <w:t>het bedrag van de eerste tranche van de bijdrage voor 2020;</w:t>
      </w:r>
    </w:p>
    <w:p>
      <w:pPr>
        <w:spacing w:before="0"/>
        <w:rPr>
          <w:rFonts w:eastAsia="Arial Unicode MS"/>
          <w:noProof/>
        </w:rPr>
      </w:pPr>
      <w:r>
        <w:rPr>
          <w:noProof/>
        </w:rPr>
        <w:t>–</w:t>
      </w:r>
      <w:r>
        <w:rPr>
          <w:noProof/>
        </w:rPr>
        <w:tab/>
        <w:t>de niet-bindende prognose voor de verwachte jaarlijkse bijdragen voor de jaren 2022 en 2023.</w:t>
      </w:r>
    </w:p>
    <w:p>
      <w:pPr>
        <w:spacing w:before="0" w:after="240"/>
        <w:rPr>
          <w:rFonts w:eastAsia="Arial Unicode MS"/>
          <w:noProof/>
        </w:rPr>
      </w:pPr>
      <w:r>
        <w:rPr>
          <w:noProof/>
        </w:rPr>
        <w:t xml:space="preserve">Voor het 11e EOF en de andere EOF's die nog lopen (het 8e, 9e en 10e EOF) geldt de volgende regelgeving: </w:t>
      </w:r>
    </w:p>
    <w:p>
      <w:pPr>
        <w:spacing w:before="0" w:after="240"/>
        <w:rPr>
          <w:rFonts w:eastAsia="Arial Unicode MS"/>
          <w:noProof/>
        </w:rPr>
      </w:pPr>
      <w:r>
        <w:rPr>
          <w:noProof/>
        </w:rPr>
        <w:t>de huidige partnerschapsovereenkomst tussen de leden van de groep van Staten in Afrika, het Caribische gebied en de Stille Oceaan, enerzijds, en de Europese Gemeenschap en haar lidstaten, anderzijds, zoals laatstelijk gewijzigd (hierna de "ACS-EU-partnerschapsovereenkomst" genoemd)</w:t>
      </w:r>
      <w:r>
        <w:rPr>
          <w:rStyle w:val="FootnoteReference"/>
          <w:noProof/>
        </w:rPr>
        <w:footnoteReference w:id="1"/>
      </w:r>
      <w:r>
        <w:rPr>
          <w:noProof/>
        </w:rPr>
        <w:t>;</w:t>
      </w:r>
    </w:p>
    <w:p>
      <w:pPr>
        <w:spacing w:before="0" w:after="240"/>
        <w:rPr>
          <w:rFonts w:eastAsia="Arial Unicode MS"/>
          <w:noProof/>
        </w:rPr>
      </w:pPr>
      <w:r>
        <w:rPr>
          <w:noProof/>
        </w:rPr>
        <w:t>het Intern Akkoord tussen de vertegenwoordigers van de regeringen van de lidstaten van de Europese Unie, in het kader van de Raad bijeen, betreffende de financiering van de steun van de Europese Unie binnen het meerjarig financieel kader voor 2014-2020, overeenkomstig de ACS-EU-partnerschapsovereenkomst en de toewijzing van financiële bijstand ten behoeve van de landen en gebieden overzee waarop de bepalingen van deel vier van het Verdrag betreffende de werking van de Europese Unie van toepassing zijn (hierna "het Intern Akkoord van het 11e EOF" genoemd)</w:t>
      </w:r>
      <w:r>
        <w:rPr>
          <w:rStyle w:val="FootnoteReference"/>
          <w:noProof/>
        </w:rPr>
        <w:footnoteReference w:id="2"/>
      </w:r>
      <w:r>
        <w:rPr>
          <w:noProof/>
        </w:rPr>
        <w:t>;</w:t>
      </w:r>
    </w:p>
    <w:p>
      <w:pPr>
        <w:spacing w:before="0" w:after="240"/>
        <w:rPr>
          <w:rFonts w:eastAsia="Arial Unicode MS"/>
          <w:noProof/>
        </w:rPr>
      </w:pPr>
      <w:r>
        <w:rPr>
          <w:noProof/>
        </w:rPr>
        <w:t>Verordening (EU) 2018/1877 van de Raad inzake het Financieel Reglement van toepassing op het 11e Europees Ontwikkelingsfonds (hierna "Financieel Reglement van het 11e EOF" genoemd)</w:t>
      </w:r>
      <w:r>
        <w:rPr>
          <w:rStyle w:val="FootnoteReference"/>
          <w:noProof/>
        </w:rPr>
        <w:footnoteReference w:id="3"/>
      </w:r>
      <w:r>
        <w:rPr>
          <w:noProof/>
        </w:rPr>
        <w:t>.</w:t>
      </w:r>
    </w:p>
    <w:p>
      <w:pPr>
        <w:spacing w:before="0" w:after="240"/>
        <w:rPr>
          <w:rFonts w:eastAsia="Arial Unicode MS"/>
          <w:noProof/>
        </w:rPr>
      </w:pPr>
      <w:r>
        <w:rPr>
          <w:noProof/>
        </w:rPr>
        <w:t xml:space="preserve">In deze documenten staan meerjarige verbintenissen van de lidstaten om de thesaurie van het EOF te financieren. Het Financieel Reglement van het 11e EOF zorgt ervoor dat de lidstaten op regelmatige basis bijdragen aan de thesaurie van het EOF overeenkomstig vooraf vastgestelde financiële verbintenissen. Regelmatige bijdragen komen er op basis van technische raadsbesluiten waarin tot de tenuitvoerlegging van eerder besloten financiële verbintenissen wordt besloten. </w:t>
      </w:r>
    </w:p>
    <w:p>
      <w:pPr>
        <w:spacing w:before="0" w:after="240"/>
        <w:rPr>
          <w:rFonts w:eastAsia="Arial Unicode MS"/>
          <w:noProof/>
        </w:rPr>
      </w:pPr>
      <w:r>
        <w:rPr>
          <w:noProof/>
        </w:rPr>
        <w:t>Een aantal onderdelen van de toelichting zijn daarom niet van toepassing op oproepen voor regelmatige bijdragen zoals deze.</w:t>
      </w:r>
    </w:p>
    <w:p>
      <w:pPr>
        <w:pStyle w:val="ManualHeading1"/>
        <w:rPr>
          <w:noProof/>
        </w:rPr>
      </w:pPr>
      <w:r>
        <w:rPr>
          <w:noProof/>
        </w:rPr>
        <w:lastRenderedPageBreak/>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u w:color="000000"/>
          <w:bdr w:val="nil"/>
        </w:rPr>
        <w:tab/>
        <w:t>Rechtsgrondslag</w:t>
      </w:r>
    </w:p>
    <w:p>
      <w:pPr>
        <w:spacing w:before="0" w:after="240"/>
        <w:rPr>
          <w:rFonts w:eastAsia="Arial Unicode MS"/>
          <w:noProof/>
        </w:rPr>
      </w:pPr>
      <w:r>
        <w:rPr>
          <w:noProof/>
        </w:rPr>
        <w:t>Overeenkomstig artikel 19, lid 7, van het Financieel Reglement van het 11e EOF wordt bij elk bedrag vermeld welk deel door de Commissie wordt beheerd en welk deel door de Europese Investeringsbank (EIB).</w:t>
      </w:r>
    </w:p>
    <w:p>
      <w:pPr>
        <w:spacing w:before="0" w:after="240"/>
        <w:rPr>
          <w:rFonts w:eastAsia="Arial Unicode MS"/>
          <w:noProof/>
        </w:rPr>
      </w:pPr>
      <w:r>
        <w:rPr>
          <w:noProof/>
        </w:rPr>
        <w:t>Overeenkomstig artikel 46 van het Financieel Reglement van het 11e</w:t>
      </w:r>
      <w:r>
        <w:rPr>
          <w:noProof/>
          <w:vertAlign w:val="superscript"/>
        </w:rPr>
        <w:t xml:space="preserve"> </w:t>
      </w:r>
      <w:r>
        <w:rPr>
          <w:noProof/>
        </w:rPr>
        <w:t>EOF heeft de EIB de Europese Commissie haar bijgewerkte vastleggings- en betalingsramingen betreffende de door haar beheerde instrumenten toegezonden.</w:t>
      </w:r>
    </w:p>
    <w:p>
      <w:pPr>
        <w:spacing w:before="0" w:after="240"/>
        <w:rPr>
          <w:rFonts w:eastAsia="Arial Unicode MS"/>
          <w:noProof/>
        </w:rPr>
      </w:pPr>
      <w:r>
        <w:rPr>
          <w:noProof/>
        </w:rPr>
        <w:t>Artikel 20, lid 1, van het Financieel Reglement van het 11e EOF bepaalt dat bij de verzoeken om bijdragen eerst in chronologische volgorde de bedragen voor vorige EOF’s worden opgebruikt. De verzoeken om bijdragen in dit voorstel hebben dus betrekking op bedragen in het kader van het 10e EOF voor de EIB en bedragen in het kader van het 11e EOF voor de Europese Commissie.</w:t>
      </w:r>
    </w:p>
    <w:p>
      <w:pPr>
        <w:spacing w:before="0" w:after="240"/>
        <w:rPr>
          <w:rFonts w:eastAsia="Arial Unicode MS"/>
          <w:noProof/>
        </w:rPr>
      </w:pPr>
      <w:r>
        <w:rPr>
          <w:noProof/>
        </w:rPr>
        <w:t>Overeenkomstig artikel 19, lid 2, van het Financieel Reglement van het 11e EOF neemt de Raad uiterlijk op 15 november een besluit over dit voorstel.</w:t>
      </w:r>
    </w:p>
    <w:p>
      <w:pPr>
        <w:spacing w:before="0" w:after="240"/>
        <w:rPr>
          <w:rFonts w:eastAsia="Arial Unicode MS"/>
          <w:noProof/>
        </w:rPr>
      </w:pPr>
      <w:r>
        <w:rPr>
          <w:noProof/>
        </w:rPr>
        <w:t>Overeenkomstig artikel 21, lid 1, van het Financieel Reglement van het 11e EOF is een lidstaat die de tranche van de verschuldigde bijdrage niet binnen de vastgestelde termijn betaalt, rente over het niet-betaalde bedrag verschuldigd. De regelingen voor de rentebetaling worden in datzelfde artikel vastgesteld.</w:t>
      </w:r>
    </w:p>
    <w:p>
      <w:pPr>
        <w:spacing w:before="0" w:after="240"/>
        <w:rPr>
          <w:rFonts w:eastAsia="Arial Unicode MS"/>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2019/0230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de financiële bijdragen van de lidstaten aan het Europees Ontwikkelingsfonds, inclusief het maximum voor 2021, het jaarlijkse bedrag voor 2020, de eerste tranche voor 2020 en een indicatieve en niet-bindende prognose voor de verwachte jaarlijkse bedragen van de bijdragen voor de jaren 2022 en 2023</w:t>
      </w:r>
    </w:p>
    <w:p>
      <w:pPr>
        <w:pStyle w:val="Institutionquiagit"/>
        <w:rPr>
          <w:noProof/>
        </w:rPr>
      </w:pPr>
      <w:r>
        <w:rPr>
          <w:noProof/>
        </w:rPr>
        <w:t>DE RAAD VAN DE EUROPESE UNIE,</w:t>
      </w:r>
    </w:p>
    <w:p>
      <w:pPr>
        <w:rPr>
          <w:noProof/>
        </w:rPr>
      </w:pPr>
      <w:r>
        <w:rPr>
          <w:noProof/>
        </w:rPr>
        <w:t>Gezien het Verdrag betreffende de Europese Unie en het Verdrag betreffende de werking van de Europese Unie,</w:t>
      </w:r>
    </w:p>
    <w:p>
      <w:pPr>
        <w:rPr>
          <w:noProof/>
        </w:rPr>
      </w:pPr>
      <w:r>
        <w:rPr>
          <w:noProof/>
        </w:rPr>
        <w:t>Gezien het Intern Akkoord tussen de vertegenwoordigers van de regeringen van de lidstaten van de Europese Unie, in het kader van de Raad bijeen, betreffende de financiering van de steun van de Europese Unie binnen het meerjarig financieel kader voor 2014-2020, overeenkomstig de ACS-EU-partnerschapsovereenkomst en de toewijzing van financiële bijstand ten behoeve van de landen en gebieden overzee waarop de bepalingen van deel vier van het Verdrag betreffende de werking van de Europese Unie van toepassing zijn</w:t>
      </w:r>
      <w:r>
        <w:rPr>
          <w:rStyle w:val="FootnoteReference"/>
          <w:noProof/>
        </w:rPr>
        <w:footnoteReference w:id="4"/>
      </w:r>
      <w:r>
        <w:rPr>
          <w:noProof/>
        </w:rPr>
        <w:t xml:space="preserve"> (hierna "het Intern Akkoord" genoemd), en met name artikel 7,</w:t>
      </w:r>
    </w:p>
    <w:p>
      <w:pPr>
        <w:rPr>
          <w:noProof/>
        </w:rPr>
      </w:pPr>
      <w:r>
        <w:rPr>
          <w:noProof/>
        </w:rPr>
        <w:t>Gezien Verordening (EU) 2018/1877 van de Raad van maandag 26 november 2018 inzake het Financieel Reglement van toepassing op het 11e Europees Ontwikkelingsfonds (hierna "Financieel Reglement van het 11e EOF" genoemd)</w:t>
      </w:r>
      <w:r>
        <w:rPr>
          <w:rStyle w:val="FootnoteReference"/>
          <w:noProof/>
        </w:rPr>
        <w:footnoteReference w:id="5"/>
      </w:r>
      <w:r>
        <w:rPr>
          <w:noProof/>
        </w:rPr>
        <w:t>, en met name artikel 19, lid 2,</w:t>
      </w:r>
    </w:p>
    <w:p>
      <w:pPr>
        <w:rPr>
          <w:noProof/>
        </w:rPr>
      </w:pPr>
      <w:r>
        <w:rPr>
          <w:noProof/>
        </w:rPr>
        <w:t>Gezien het voorstel van de Europese Commissie,</w:t>
      </w:r>
    </w:p>
    <w:p>
      <w:pPr>
        <w:rPr>
          <w:noProof/>
        </w:rPr>
      </w:pPr>
      <w:r>
        <w:rPr>
          <w:noProof/>
        </w:rPr>
        <w:t>Overwegende hetgeen volgt:</w:t>
      </w:r>
    </w:p>
    <w:p>
      <w:pPr>
        <w:pStyle w:val="ManualConsidrant"/>
        <w:rPr>
          <w:rFonts w:eastAsia="Calibri"/>
          <w:noProof/>
        </w:rPr>
      </w:pPr>
      <w:r>
        <w:t>(1)</w:t>
      </w:r>
      <w:r>
        <w:tab/>
      </w:r>
      <w:r>
        <w:rPr>
          <w:noProof/>
        </w:rPr>
        <w:t>Overeenkomstig de procedure van de artikelen 19 tot en met 22 van het Financieel Reglement van het 11e EOF en rekening houdend met een voorstel voor de opneming in de begroting van het EOF, overeenkomstig het voorstel van de Commissie voor het externe financieringsinstrument voor de periode na 2020 dient de Europese Commissie uiterlijk op 15 oktober 2019 een voorstel in voor a) het maximumbedrag van de bijdrage voor 2021; b) het jaarlijkse bedrag van de bijdrage voor 2020; c) het bedrag van de eerste tranche van de bijdrage voor 2020; en d) een indicatieve en niet-bindende prognose voor de verwachte jaarlijkse bedragen van de bijdragen voor de jaren 2022 en 2023.</w:t>
      </w:r>
    </w:p>
    <w:p>
      <w:pPr>
        <w:pStyle w:val="ManualConsidrant"/>
        <w:rPr>
          <w:noProof/>
        </w:rPr>
      </w:pPr>
      <w:r>
        <w:t>(2)</w:t>
      </w:r>
      <w:r>
        <w:tab/>
      </w:r>
      <w:r>
        <w:rPr>
          <w:noProof/>
        </w:rPr>
        <w:t>Overeenkomstig artikel 46 van het Financieel Reglement van het 11e EOF heeft de Europese Investeringsbank (EIB) de Europese Commissie haar bijgewerkte vastleggings- en betalingsramingen betreffende de door haar beheerde instrumenten toegezonden.</w:t>
      </w:r>
    </w:p>
    <w:p>
      <w:pPr>
        <w:pStyle w:val="ManualConsidrant"/>
        <w:rPr>
          <w:noProof/>
        </w:rPr>
      </w:pPr>
      <w:r>
        <w:t>(3)</w:t>
      </w:r>
      <w:r>
        <w:tab/>
      </w:r>
      <w:r>
        <w:rPr>
          <w:noProof/>
        </w:rPr>
        <w:t xml:space="preserve">Artikel 20, lid 1, van het Financieel Reglement van het 11e EOF bepaalt dat bij de verzoeken om bijdragen eerst in chronologische volgorde de bedragen voor vorige EOF's worden opgebruikt. Daarom dient een verzoek om bijdragen in het kader van </w:t>
      </w:r>
      <w:r>
        <w:rPr>
          <w:noProof/>
        </w:rPr>
        <w:lastRenderedPageBreak/>
        <w:t>het 10e EOF voor de EIB en in het kader van het 11e EOF voor de Commissie te worden gedaan.</w:t>
      </w:r>
    </w:p>
    <w:p>
      <w:pPr>
        <w:pStyle w:val="ManualConsidrant"/>
        <w:rPr>
          <w:noProof/>
        </w:rPr>
      </w:pPr>
      <w:r>
        <w:t>(4)</w:t>
      </w:r>
      <w:r>
        <w:tab/>
      </w:r>
      <w:r>
        <w:rPr>
          <w:noProof/>
        </w:rPr>
        <w:t>Bij Besluit (EU) 2019/1093</w:t>
      </w:r>
      <w:r>
        <w:rPr>
          <w:rStyle w:val="FootnoteReference"/>
          <w:noProof/>
        </w:rPr>
        <w:footnoteReference w:id="6"/>
      </w:r>
      <w:r>
        <w:rPr>
          <w:noProof/>
        </w:rPr>
        <w:t xml:space="preserve"> heeft de Raad op woensdag 26 juni 2019 op voorstel van de Europese Commissie besloten de jaarlijkse EOF-bijdragen van de lidstaten voor 2020 vast te stellen op 4 400 000 000 EUR voor de Europese Commissie en 300 000 000 EUR voor de Europese Investeringsbank,</w:t>
      </w:r>
    </w:p>
    <w:p>
      <w:pPr>
        <w:rPr>
          <w:noProof/>
        </w:rPr>
      </w:pP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Het maximum voor het jaarlijkse bedrag van de EOF-bijdragen van de lidstaten voor 2021 wordt vastgesteld op 4 000 000 000 EUR. Het bedrag wordt gesplitst in 3 700 000 000 EUR voor de Commissie en 300 000 000 EUR voor de EIB.</w:t>
      </w:r>
    </w:p>
    <w:p>
      <w:pPr>
        <w:spacing w:before="360"/>
        <w:jc w:val="center"/>
        <w:rPr>
          <w:rFonts w:eastAsia="Calibri"/>
          <w:i/>
          <w:noProof/>
        </w:rPr>
      </w:pPr>
      <w:r>
        <w:rPr>
          <w:i/>
          <w:noProof/>
        </w:rPr>
        <w:t>Artikel 2</w:t>
      </w:r>
    </w:p>
    <w:p>
      <w:pPr>
        <w:keepLines/>
        <w:rPr>
          <w:rFonts w:eastAsia="Calibri"/>
          <w:noProof/>
        </w:rPr>
      </w:pPr>
      <w:r>
        <w:rPr>
          <w:noProof/>
        </w:rPr>
        <w:t>Het jaarlijkse bedrag van de EOF-bijdragen van de lidstaten voor 2020 wordt vastgesteld op 4 700 000 000 EUR. Het bedrag wordt gesplitst in 4 400 000 000 EUR voor de Commissie en 300 000 000 EUR voor de EIB.</w:t>
      </w:r>
    </w:p>
    <w:p>
      <w:pPr>
        <w:spacing w:before="360"/>
        <w:jc w:val="center"/>
        <w:rPr>
          <w:rFonts w:eastAsia="Calibri"/>
          <w:i/>
          <w:noProof/>
        </w:rPr>
      </w:pPr>
      <w:r>
        <w:rPr>
          <w:i/>
          <w:noProof/>
        </w:rPr>
        <w:t>Artikel 3</w:t>
      </w:r>
    </w:p>
    <w:p>
      <w:pPr>
        <w:keepNext/>
        <w:keepLines/>
        <w:rPr>
          <w:rFonts w:eastAsia="Calibri"/>
          <w:noProof/>
        </w:rPr>
      </w:pPr>
      <w:r>
        <w:rPr>
          <w:noProof/>
        </w:rPr>
        <w:t>De individuele bijdragen aan het Europees Ontwikkelingsfonds die de lidstaten voor de eerste tranche van 2020 aan de Europese Commissie en de Europese Investeringsbank moeten betalen, zijn in de tabel in de bijlage bij dit besluit weergegeven.</w:t>
      </w:r>
    </w:p>
    <w:p>
      <w:pPr>
        <w:spacing w:before="360"/>
        <w:jc w:val="center"/>
        <w:rPr>
          <w:rFonts w:eastAsia="Calibri"/>
          <w:i/>
          <w:noProof/>
        </w:rPr>
      </w:pPr>
      <w:r>
        <w:rPr>
          <w:i/>
          <w:noProof/>
        </w:rPr>
        <w:t>Artikel 4</w:t>
      </w:r>
    </w:p>
    <w:p>
      <w:pPr>
        <w:keepNext/>
        <w:keepLines/>
        <w:rPr>
          <w:rFonts w:eastAsia="Calibri"/>
          <w:noProof/>
        </w:rPr>
      </w:pPr>
      <w:r>
        <w:rPr>
          <w:noProof/>
        </w:rPr>
        <w:t>De indicatieve en niet-bindende prognose voor het verwachte jaarlijkse bedrag van de bijdragen voor 2022 wordt vastgesteld op 2 700 000 000 EUR voor de Commissie en op 300 000 000 EUR voor de EIB, en voor 2023 op 2 000 000 000 EUR voor de Commissie en op 100 000 000 EUR voor de EIB.</w:t>
      </w:r>
    </w:p>
    <w:p>
      <w:pPr>
        <w:pStyle w:val="Titrearticle"/>
        <w:keepNext w:val="0"/>
        <w:rPr>
          <w:noProof/>
        </w:rPr>
      </w:pPr>
      <w:r>
        <w:rPr>
          <w:noProof/>
        </w:rPr>
        <w:t>Artikel 5</w:t>
      </w:r>
    </w:p>
    <w:p>
      <w:pPr>
        <w:keepLines/>
        <w:rPr>
          <w:noProof/>
        </w:rPr>
      </w:pPr>
      <w:r>
        <w:rPr>
          <w:noProof/>
        </w:rPr>
        <w:t>Dit besluit treedt in werking op de datum waarop het wordt vastgesteld.</w:t>
      </w:r>
    </w:p>
    <w:p>
      <w:pPr>
        <w:pStyle w:val="Titrearticle"/>
        <w:rPr>
          <w:noProof/>
        </w:rPr>
      </w:pPr>
      <w:r>
        <w:rPr>
          <w:noProof/>
        </w:rPr>
        <w:t>Artikel 6</w:t>
      </w:r>
    </w:p>
    <w:p>
      <w:pPr>
        <w:rPr>
          <w:noProof/>
        </w:rPr>
      </w:pPr>
      <w:r>
        <w:rPr>
          <w:noProof/>
        </w:rPr>
        <w:t>Dit besluit is gericht tot de lidstaten.</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317 van 15.12.2000, blz. 3.</w:t>
      </w:r>
    </w:p>
  </w:footnote>
  <w:footnote w:id="2">
    <w:p>
      <w:pPr>
        <w:pStyle w:val="FootnoteText"/>
      </w:pPr>
      <w:r>
        <w:rPr>
          <w:rStyle w:val="FootnoteReference"/>
        </w:rPr>
        <w:footnoteRef/>
      </w:r>
      <w:r>
        <w:tab/>
        <w:t>PB L 210 van 6.8.2013, blz. 1.</w:t>
      </w:r>
    </w:p>
  </w:footnote>
  <w:footnote w:id="3">
    <w:p>
      <w:pPr>
        <w:pStyle w:val="FootnoteText"/>
      </w:pPr>
      <w:r>
        <w:rPr>
          <w:rStyle w:val="FootnoteReference"/>
        </w:rPr>
        <w:footnoteRef/>
      </w:r>
      <w:r>
        <w:tab/>
        <w:t>PB L 307 van 3.12.2018, blz. 1.</w:t>
      </w:r>
    </w:p>
  </w:footnote>
  <w:footnote w:id="4">
    <w:p>
      <w:pPr>
        <w:pStyle w:val="FootnoteText"/>
      </w:pPr>
      <w:r>
        <w:rPr>
          <w:rStyle w:val="FootnoteReference"/>
        </w:rPr>
        <w:footnoteRef/>
      </w:r>
      <w:r>
        <w:tab/>
        <w:t>PB L 210 van 6.8.2013, blz. 1.</w:t>
      </w:r>
    </w:p>
  </w:footnote>
  <w:footnote w:id="5">
    <w:p>
      <w:pPr>
        <w:pStyle w:val="FootnoteText"/>
      </w:pPr>
      <w:r>
        <w:rPr>
          <w:rStyle w:val="FootnoteReference"/>
        </w:rPr>
        <w:footnoteRef/>
      </w:r>
      <w:r>
        <w:tab/>
        <w:t>PB L 307 van 3.12.2018, blz. 7.</w:t>
      </w:r>
    </w:p>
  </w:footnote>
  <w:footnote w:id="6">
    <w:p>
      <w:pPr>
        <w:pStyle w:val="FootnoteText"/>
      </w:pPr>
      <w:r>
        <w:rPr>
          <w:rStyle w:val="FootnoteReference"/>
        </w:rPr>
        <w:footnoteRef/>
      </w:r>
      <w:r>
        <w:tab/>
        <w:t>PB L 173 van 27.6.2019, blz.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CA9F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B2CB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AB692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6679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12D3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B24112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B928A0C"/>
    <w:lvl w:ilvl="0">
      <w:start w:val="1"/>
      <w:numFmt w:val="decimal"/>
      <w:pStyle w:val="ListNumber"/>
      <w:lvlText w:val="%1."/>
      <w:lvlJc w:val="left"/>
      <w:pPr>
        <w:tabs>
          <w:tab w:val="num" w:pos="360"/>
        </w:tabs>
        <w:ind w:left="360" w:hanging="360"/>
      </w:pPr>
    </w:lvl>
  </w:abstractNum>
  <w:abstractNum w:abstractNumId="7">
    <w:nsid w:val="FFFFFF89"/>
    <w:multiLevelType w:val="singleLevel"/>
    <w:tmpl w:val="FA7631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08 12:46: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4073E83-5241-4D96-9783-F27EE1719F82"/>
    <w:docVar w:name="LW_COVERPAGE_TYPE" w:val="1"/>
    <w:docVar w:name="LW_CROSSREFERENCE" w:val="&lt;UNUSED&gt;"/>
    <w:docVar w:name="LW_DocType" w:val="COM"/>
    <w:docVar w:name="LW_EMISSION" w:val="10.10.2019"/>
    <w:docVar w:name="LW_EMISSION_ISODATE" w:val="2019-10-10"/>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230"/>
    <w:docVar w:name="LW_REF.II.NEW.CP_YEAR" w:val="2019"/>
    <w:docVar w:name="LW_REF.INST.NEW" w:val="COM"/>
    <w:docVar w:name="LW_REF.INST.NEW_ADOPTED" w:val="final"/>
    <w:docVar w:name="LW_REF.INST.NEW_TEXT" w:val="(2019)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de financiële bijdragen van de lidstaten aan het Europees Ontwikkelingsfonds, inclusief het maximum voor 2021, het jaarlijkse bedrag voor 2020, de eerste tranche voor 2020 en een indicatieve en niet-bindende prognose voor de verwachte jaarlijkse bedragen van de bijdragen voor de jaren 2022 en 2023"/>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1204</Words>
  <Characters>6407</Characters>
  <Application>Microsoft Office Word</Application>
  <DocSecurity>0</DocSecurity>
  <Lines>125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2019-09-19T10:36:00Z</cp:lastPrinted>
  <dcterms:created xsi:type="dcterms:W3CDTF">2019-09-23T15:12:00Z</dcterms:created>
  <dcterms:modified xsi:type="dcterms:W3CDTF">2019-10-08T10:46:00Z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