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943D25D-A13A-4B41-8E89-5C03A98AB42C" style="width:450.8pt;height:5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rStyle w:val="Marker"/>
          <w:noProof/>
        </w:rPr>
      </w:pPr>
      <w:bookmarkStart w:id="0" w:name="_GoBack"/>
      <w:bookmarkEnd w:id="0"/>
      <w:r>
        <w:rPr>
          <w:noProof/>
        </w:rPr>
        <w:lastRenderedPageBreak/>
        <w:t>MELLÉKLET</w:t>
      </w:r>
    </w:p>
    <w:p>
      <w:pPr>
        <w:rPr>
          <w:noProof/>
        </w:rPr>
      </w:pPr>
    </w:p>
    <w:tbl>
      <w:tblPr>
        <w:tblW w:w="9087" w:type="dxa"/>
        <w:tblInd w:w="93" w:type="dxa"/>
        <w:tblLook w:val="04A0" w:firstRow="1" w:lastRow="0" w:firstColumn="1" w:lastColumn="0" w:noHBand="0" w:noVBand="1"/>
      </w:tblPr>
      <w:tblGrid>
        <w:gridCol w:w="1337"/>
        <w:gridCol w:w="4500"/>
        <w:gridCol w:w="3250"/>
      </w:tblGrid>
      <w:tr>
        <w:trPr>
          <w:trHeight w:val="630"/>
        </w:trPr>
        <w:tc>
          <w:tcPr>
            <w:tcW w:w="133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Az előírás száma</w:t>
            </w:r>
          </w:p>
        </w:tc>
        <w:tc>
          <w:tcPr>
            <w:tcW w:w="450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A napirendi pont címe</w:t>
            </w:r>
          </w:p>
        </w:tc>
        <w:tc>
          <w:tcPr>
            <w:tcW w:w="32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A dokumentum hivatkozási száma</w:t>
            </w:r>
            <w:r>
              <w:rPr>
                <w:rStyle w:val="FootnoteReference"/>
                <w:b/>
                <w:bCs/>
                <w:noProof/>
                <w:sz w:val="20"/>
                <w:szCs w:val="20"/>
              </w:rPr>
              <w:footnoteReference w:id="1"/>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 0. számú ENSZ-előírás eredeti sorozatának 1. kiegészítésére (nemzetközileg elismert egészjármű-típusjóváhagyás)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rPr>
            </w:pPr>
            <w:r>
              <w:rPr>
                <w:noProof/>
                <w:sz w:val="20"/>
                <w:szCs w:val="20"/>
              </w:rPr>
              <w:t xml:space="preserve">ECE/TRANS/WP.29/2019/74 </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Javaslat a 0. számú ENSZ-előírás 01. sorozatának 1. kiegészítésére (nemzetközileg elismert egészjármű-típusjóváhagyás)</w:t>
            </w:r>
          </w:p>
        </w:tc>
        <w:tc>
          <w:tcPr>
            <w:tcW w:w="3250" w:type="dxa"/>
            <w:tcBorders>
              <w:top w:val="nil"/>
              <w:left w:val="nil"/>
              <w:bottom w:val="single" w:sz="4" w:space="0" w:color="auto"/>
              <w:right w:val="single" w:sz="4" w:space="0" w:color="auto"/>
            </w:tcBorders>
            <w:shd w:val="clear" w:color="auto" w:fill="auto"/>
          </w:tcPr>
          <w:p>
            <w:pPr>
              <w:pStyle w:val="Default"/>
              <w:rPr>
                <w:noProof/>
                <w:sz w:val="20"/>
              </w:rPr>
            </w:pPr>
            <w:r>
              <w:rPr>
                <w:noProof/>
                <w:sz w:val="20"/>
                <w:szCs w:val="20"/>
              </w:rPr>
              <w:t>ECE/TRANS/WP.29/2019/75</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Javaslat a 0. számú ENSZ-előírás új, 02. módosítássorozatára (nemzetközileg elismert egészjármű-típusjóváhagyás)</w:t>
            </w:r>
          </w:p>
        </w:tc>
        <w:tc>
          <w:tcPr>
            <w:tcW w:w="325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ECE/TRANS/WP.29/2019/76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16</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 16. számú ENSZ-előírás 06. módosítássorozatának 12. kiegészítésére (biztonsági övek)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ECE/TRANS/WP.29/2019/104</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16</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 16. számú ENSZ-előírás 07. módosítássorozatának 5. kiegészítésére (biztonsági övek)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ECE/TRANS/WP.29/2019/105</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 17. számú ENSZ-előírás 08. módosítássorozatának 1. helyesbítésére (ülések szilárdsága)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ECE/TRANS/WP.29/2019/115</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17. számú ENSZ-előírás 09. módosítássorozatának 1. helyesbítésére (ülések szilárdsága)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ECE/TRANS/WP.29/2019/116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21</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 21. számú ENSZ-előírás 01. módosítássorozatának 4. kiegészítésére (belső berendezések)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29. számú ENSZ-előírás 03. módosítássorozatának 5. kiegészítésére (haszonjárművek vezetőfülkéje)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Javaslat a 43. számú ENSZ-előírás 01. módosítássorozatának 9. kiegészítésére (biztonsági üveg)</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ECE/TRANS/WP.29/2019/95</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44</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44. számú ENSZ-előírás 04. módosítássorozatának 17. kiegészítésére (gyermekbiztonsági rendszerek)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ECE/TRANS/WP.29/2019/108</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48. számú ENSZ-előírás 06. módosítássorozatának 13. kiegészítésére (világító- és fényjelző berendezések beépítése)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ECE/TRANS/WP.29/2019/84</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az 53. számú ENSZ-előírás új, 03. módosítássorozatára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ECE/TRANS/WP.29/2019/80</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az 53. számú ENSZ-előírás 02. módosítássorozatának 3. kiegészítésére (világító- és fényjelző berendezések beépítése L3 kategóriájú járművekbe)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ECE/TRANS/WP.29/2019/85</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az 53. számú ENSZ-előírás 01. módosítássorozatának 21. kiegészítésére (világító- és fényjelző berendezések beépítése L3 kategóriájú járművekbe)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ECE/TRANS/WP.29/2019/86</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Javaslat az 55. számú ENSZ-előírás 01. módosítássorozatának 8. kiegészítésére (mechanikus kapcsolószerkezetek)</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ECE/TRANS/WP.29/2019/96</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58</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Javaslat az 58. számú ENSZ-előírás 03. módosítássorozatának 1. kiegészítésére (hátsó aláfutásgátló)</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67</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Javaslat a 67. számú ENSZ-előírás 03. módosítássorozatára (LPG-üzemű járművek)</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ECE/TRANS/WP.29/2019/94</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67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Javaslat a 67. számú ENSZ-előírás 02. módosítássorozatának 2. kiegészítésére (LPG-üzemű járművek)</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ECE/TRANS/WP.29/2019/98</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74</w:t>
            </w:r>
          </w:p>
        </w:tc>
        <w:tc>
          <w:tcPr>
            <w:tcW w:w="4500" w:type="dxa"/>
            <w:tcBorders>
              <w:top w:val="nil"/>
              <w:left w:val="nil"/>
              <w:bottom w:val="single" w:sz="4" w:space="0" w:color="auto"/>
              <w:right w:val="single" w:sz="4" w:space="0" w:color="auto"/>
            </w:tcBorders>
            <w:shd w:val="clear" w:color="auto" w:fill="auto"/>
          </w:tcPr>
          <w:p>
            <w:pPr>
              <w:autoSpaceDE w:val="0"/>
              <w:autoSpaceDN w:val="0"/>
              <w:adjustRightInd w:val="0"/>
              <w:spacing w:before="0" w:after="0"/>
              <w:rPr>
                <w:rFonts w:eastAsia="Times New Roman"/>
                <w:noProof/>
                <w:color w:val="000000"/>
                <w:sz w:val="20"/>
                <w:szCs w:val="20"/>
              </w:rPr>
            </w:pPr>
            <w:r>
              <w:rPr>
                <w:noProof/>
                <w:sz w:val="20"/>
                <w:szCs w:val="20"/>
              </w:rPr>
              <w:t xml:space="preserve">Javaslat a 74. számú ENSZ-előírás új, 02. módosítássorozatára (világító- és fényjelző berendezések beépítése segédmotoros kerékpárokba)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ECE/TRANS/WP.29/2019/79</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74</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74. számú ENSZ-előírás 01. módosítássorozatának 11. kiegészítésére (világító- és fényjelző berendezések beépítése mopedekbe)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80</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Javaslat a 80. számú ENSZ-előírás 04. módosítássorozatára (ülések teherbírása és rögzítése [autóbuszok])</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ECE/TRANS/WP.29/2019/103</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rPr>
              <w:t>Javaslat a 83. számú ENSZ-előírás 07. módosítássorozatának 10. kiegészítésére (M1 és N1 kategóriájú járművek kibocsátása)</w:t>
            </w:r>
            <w:r>
              <w:rPr>
                <w:noProof/>
                <w:sz w:val="20"/>
                <w:szCs w:val="20"/>
              </w:rPr>
              <w:t xml:space="preserv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ECE/TRANS/WP.29/2019/127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 85. számú ENSZ-előírás 10. kiegészítésére (a hasznos teljesítmény és a 30 perces teljesítmény mérése)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86</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86. számú ENSZ-előírás 01. módosítássorozatának 2. kiegészítésére (világító- és fényjelző berendezések beépítése mezőgazdasági járművekbe)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ECE/TRANS/WP.29/2019/88</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98. számú ENSZ-előírás 02. módosítássorozatának 1. kiegészítésére </w:t>
            </w:r>
          </w:p>
          <w:p>
            <w:pPr>
              <w:pStyle w:val="Default"/>
              <w:rPr>
                <w:noProof/>
                <w:sz w:val="20"/>
                <w:szCs w:val="20"/>
              </w:rPr>
            </w:pPr>
            <w:r>
              <w:rPr>
                <w:noProof/>
                <w:sz w:val="20"/>
                <w:szCs w:val="20"/>
              </w:rPr>
              <w:t>(fényszórók gázkisülésű fényforrással)</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ECE/TRANS/WP.29/2019/89</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Javaslat a 107. számú ENSZ-előírás 06. módosítássorozatának 8. kiegészítésére (M2 és M3 kategóriájú járművek)</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ECE/TRANS/WP.29/2019/99</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Javaslat a 107. számú ENSZ-előírás 07. módosítássorozatának 7. kiegészítésére (M2 és M3 kategóriájú járművek)</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ECE/TRANS/WP.29/2019/100</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Javaslat a 107. számú ENSZ-előírás 08. módosítássorozatának 2. kiegészítésére (M2 és M3 kategóriájú járművek)</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112</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112. számú ENSZ-előírás 02. módosítássorozatának 1. kiegészítésére (aszimmetrikus tompított fényt kibocsátó fényszórók)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ECE/TRANS/WP.29/2019/90</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113. számú ENSZ-előírás 03. módosítássorozatának 1. kiegészítésére (szimmetrikus tompított fényt kibocsátó fényszórók)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 115. számú ENSZ-előírás 9. kiegészítésére (utólag beépíthető LPG- és CNG-rendszerek)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ECE/TRANS/WP.29/2019/113</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116</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Javaslat a 116. számú ENSZ-előírás 7. kiegészítésére (lopásvédelem és riasztórendszerek)</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123. számú ENSZ-előírás 02. módosítássorozatának 1. kiegészítésére (adaptív fényszórórendszerek)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129. számú ENSZ-előírás 03. módosítássorozatának 3. kiegészítésére (megerősített gyermekbiztonsági rendszerek)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ECE/TRANS/WP.29/2019/109</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135</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135. számú ENSZ-előírás eredeti sorozatának 2. kiegészítésére (oszloppal való oldalirányú ütközés)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ECE/TRANS/WP.29/2019/110</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135</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135. számú ENSZ-előírás 01. módosítássorozatának 2. kiegészítésére (oszloppal való oldalirányú ütközés)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[148.] számú ENSZ-előírás eredeti sorozatának 1. kiegészítésére (világító- és fényjelző berendezések)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[149.] számú ENSZ-előírás eredeti sorozatának 1. kiegészítésére (útmegvilágítási eszközök)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149</w:t>
            </w:r>
          </w:p>
        </w:tc>
        <w:tc>
          <w:tcPr>
            <w:tcW w:w="4500" w:type="dxa"/>
            <w:tcBorders>
              <w:top w:val="single" w:sz="4" w:space="0" w:color="auto"/>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Javaslat a [149.] számú ENSZ-előírás eredeti sorozatának 2. kiegészítésére (útmegvilágítási eszközök) </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ECE/TRANS/WP.29/2019/125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150</w:t>
            </w:r>
          </w:p>
        </w:tc>
        <w:tc>
          <w:tcPr>
            <w:tcW w:w="450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Javaslat a [150.] számú ENSZ-előírás eredeti sorozatának 1. kiegészítésére (fényvisszaverő eszközök) </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ECE/TRANS/WP.29/2019/83</w:t>
            </w:r>
          </w:p>
        </w:tc>
      </w:tr>
    </w:tbl>
    <w:p>
      <w:pPr>
        <w:pStyle w:val="Default"/>
        <w:rPr>
          <w:rFonts w:eastAsia="MS Mincho"/>
          <w:noProof/>
          <w:color w:val="auto"/>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Globális műszaki előírás (GTR) száma</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A napirendi pont címe</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A dokumentum hivatkozási száma</w:t>
            </w:r>
          </w:p>
        </w:tc>
      </w:tr>
      <w:tr>
        <w:trPr>
          <w:trHeight w:val="600"/>
        </w:trPr>
        <w:tc>
          <w:tcPr>
            <w:tcW w:w="1291" w:type="dxa"/>
            <w:shd w:val="clear" w:color="auto" w:fill="auto"/>
          </w:tcPr>
          <w:p>
            <w:pPr>
              <w:rPr>
                <w:noProof/>
                <w:sz w:val="20"/>
                <w:szCs w:val="20"/>
              </w:rPr>
            </w:pPr>
            <w:r>
              <w:rPr>
                <w:noProof/>
                <w:sz w:val="20"/>
                <w:szCs w:val="20"/>
              </w:rPr>
              <w:t>2</w:t>
            </w:r>
          </w:p>
        </w:tc>
        <w:tc>
          <w:tcPr>
            <w:tcW w:w="4678" w:type="dxa"/>
            <w:shd w:val="clear" w:color="auto" w:fill="auto"/>
          </w:tcPr>
          <w:p>
            <w:pPr>
              <w:pStyle w:val="Default"/>
              <w:jc w:val="both"/>
              <w:rPr>
                <w:noProof/>
                <w:sz w:val="20"/>
                <w:szCs w:val="20"/>
              </w:rPr>
            </w:pPr>
            <w:r>
              <w:rPr>
                <w:noProof/>
                <w:sz w:val="20"/>
                <w:szCs w:val="20"/>
              </w:rPr>
              <w:t xml:space="preserve">Javaslat az ENSZ 2. számú globális műszaki előírásának („Mérési eljárás a külső vagy sűrítéses gyújtású motorkerékpárokra, tekintettel a gáz-halmazállapotú szennyezőanyag-kibocsátásra, a szén-dioxid-kibocsátásra és üzemanyag-fogyasztásra”) 4. módosítására. </w:t>
            </w:r>
          </w:p>
          <w:p>
            <w:pPr>
              <w:pStyle w:val="SingleTxtG"/>
              <w:ind w:left="147" w:right="141"/>
              <w:rPr>
                <w:rFonts w:ascii="Times New Roman" w:hAnsi="Times New Roman" w:cs="Times New Roman"/>
                <w:noProof/>
                <w:sz w:val="20"/>
                <w:szCs w:val="20"/>
              </w:rPr>
            </w:pPr>
          </w:p>
          <w:p>
            <w:pPr>
              <w:pStyle w:val="Default"/>
              <w:jc w:val="both"/>
              <w:rPr>
                <w:noProof/>
                <w:sz w:val="20"/>
                <w:szCs w:val="20"/>
              </w:rPr>
            </w:pPr>
            <w:r>
              <w:rPr>
                <w:noProof/>
                <w:sz w:val="20"/>
                <w:szCs w:val="20"/>
              </w:rPr>
              <w:t xml:space="preserve">Műszaki jelentés az ENSZ 2. számú globális műszaki előírása („Mérési eljárás a külső vagy sűrítéses gyújtású motorkerékpárokra, tekintettel a gáz-halmazállapotú szennyezőanyag-kibocsátásra, a szén-dioxid-kibocsátásra és üzemanyag-fogyasztásra”) 4. módosításának kidolgozásáról </w:t>
            </w:r>
          </w:p>
          <w:p>
            <w:pPr>
              <w:pStyle w:val="SingleTxtG"/>
              <w:ind w:left="147" w:right="141"/>
              <w:rPr>
                <w:rFonts w:ascii="Times New Roman" w:hAnsi="Times New Roman" w:cs="Times New Roman"/>
                <w:noProof/>
                <w:sz w:val="20"/>
                <w:szCs w:val="20"/>
              </w:rPr>
            </w:pPr>
          </w:p>
          <w:p>
            <w:pPr>
              <w:pStyle w:val="Default"/>
              <w:rPr>
                <w:noProof/>
                <w:sz w:val="20"/>
              </w:rPr>
            </w:pPr>
            <w:r>
              <w:rPr>
                <w:noProof/>
                <w:sz w:val="20"/>
                <w:szCs w:val="20"/>
              </w:rPr>
              <w:t xml:space="preserve">Engedély a globális műszaki előírás 4. módosításának kidolgozására </w:t>
            </w:r>
          </w:p>
        </w:tc>
        <w:tc>
          <w:tcPr>
            <w:tcW w:w="2977" w:type="dxa"/>
            <w:shd w:val="clear" w:color="auto" w:fill="auto"/>
          </w:tcPr>
          <w:p>
            <w:pPr>
              <w:rPr>
                <w:noProof/>
                <w:sz w:val="20"/>
                <w:szCs w:val="20"/>
              </w:rPr>
            </w:pPr>
            <w:r>
              <w:rPr>
                <w:noProof/>
                <w:sz w:val="20"/>
                <w:szCs w:val="20"/>
              </w:rPr>
              <w:t>ECE/TRANS/WP.29/2019/121</w:t>
            </w:r>
          </w:p>
          <w:p>
            <w:pPr>
              <w:rPr>
                <w:noProof/>
                <w:sz w:val="20"/>
                <w:szCs w:val="20"/>
              </w:rPr>
            </w:pPr>
          </w:p>
          <w:p>
            <w:pPr>
              <w:rPr>
                <w:noProof/>
                <w:sz w:val="20"/>
                <w:szCs w:val="20"/>
              </w:rPr>
            </w:pPr>
          </w:p>
          <w:p>
            <w:pPr>
              <w:rPr>
                <w:noProof/>
                <w:sz w:val="20"/>
                <w:szCs w:val="20"/>
              </w:rPr>
            </w:pPr>
          </w:p>
          <w:p>
            <w:pPr>
              <w:rPr>
                <w:noProof/>
                <w:sz w:val="20"/>
                <w:szCs w:val="20"/>
              </w:rPr>
            </w:pPr>
            <w:r>
              <w:rPr>
                <w:noProof/>
                <w:sz w:val="20"/>
                <w:szCs w:val="20"/>
              </w:rPr>
              <w:t>ECE/TRANS/WP.29/2019/122</w:t>
            </w:r>
          </w:p>
          <w:p>
            <w:pPr>
              <w:rPr>
                <w:noProof/>
                <w:sz w:val="20"/>
                <w:szCs w:val="20"/>
              </w:rPr>
            </w:pPr>
          </w:p>
          <w:p>
            <w:pPr>
              <w:rPr>
                <w:noProof/>
                <w:sz w:val="20"/>
                <w:szCs w:val="20"/>
              </w:rPr>
            </w:pPr>
          </w:p>
          <w:p>
            <w:pPr>
              <w:rPr>
                <w:noProof/>
                <w:sz w:val="20"/>
                <w:szCs w:val="20"/>
              </w:rPr>
            </w:pPr>
          </w:p>
          <w:p>
            <w:pPr>
              <w:rPr>
                <w:noProof/>
                <w:sz w:val="20"/>
                <w:szCs w:val="20"/>
              </w:rPr>
            </w:pPr>
          </w:p>
          <w:p>
            <w:pPr>
              <w:rPr>
                <w:noProof/>
                <w:sz w:val="20"/>
                <w:szCs w:val="20"/>
              </w:rPr>
            </w:pPr>
            <w:r>
              <w:rPr>
                <w:noProof/>
                <w:sz w:val="20"/>
                <w:szCs w:val="20"/>
              </w:rPr>
              <w:t>ECE/TRANS/WP.29/AC.3/36/Rev.1</w:t>
            </w:r>
          </w:p>
        </w:tc>
      </w:tr>
    </w:tbl>
    <w:p>
      <w:pPr>
        <w:pStyle w:val="Default"/>
        <w:rPr>
          <w:rFonts w:eastAsia="MS Mincho"/>
          <w:noProof/>
          <w:color w:val="auto"/>
          <w:sz w:val="20"/>
          <w:szCs w:val="20"/>
        </w:rPr>
      </w:pPr>
      <w:r>
        <w:rPr>
          <w:noProof/>
          <w:sz w:val="20"/>
          <w:szCs w:val="20"/>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Határozat száma</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A napirendi pont címe</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A dokumentum hivatkozási száma</w:t>
            </w:r>
          </w:p>
        </w:tc>
      </w:tr>
      <w:tr>
        <w:trPr>
          <w:trHeight w:val="600"/>
        </w:trPr>
        <w:tc>
          <w:tcPr>
            <w:tcW w:w="1291" w:type="dxa"/>
            <w:shd w:val="clear" w:color="auto" w:fill="auto"/>
          </w:tcPr>
          <w:p>
            <w:pPr>
              <w:rPr>
                <w:noProof/>
                <w:sz w:val="20"/>
                <w:szCs w:val="20"/>
              </w:rPr>
            </w:pPr>
            <w:r>
              <w:rPr>
                <w:noProof/>
                <w:sz w:val="20"/>
                <w:szCs w:val="20"/>
              </w:rPr>
              <w:t>R.E.3</w:t>
            </w:r>
          </w:p>
        </w:tc>
        <w:tc>
          <w:tcPr>
            <w:tcW w:w="4678" w:type="dxa"/>
            <w:shd w:val="clear" w:color="auto" w:fill="auto"/>
          </w:tcPr>
          <w:p>
            <w:pPr>
              <w:pStyle w:val="Default"/>
              <w:jc w:val="both"/>
              <w:rPr>
                <w:noProof/>
                <w:sz w:val="20"/>
                <w:szCs w:val="20"/>
              </w:rPr>
            </w:pPr>
            <w:r>
              <w:rPr>
                <w:noProof/>
                <w:sz w:val="20"/>
                <w:szCs w:val="20"/>
              </w:rPr>
              <w:t>Javaslat a motoros járművekre vonatkozó összevont határozat (R.E.3) módosítására</w:t>
            </w:r>
          </w:p>
        </w:tc>
        <w:tc>
          <w:tcPr>
            <w:tcW w:w="2977" w:type="dxa"/>
            <w:shd w:val="clear" w:color="auto" w:fill="auto"/>
          </w:tcPr>
          <w:p>
            <w:pPr>
              <w:rPr>
                <w:noProof/>
                <w:sz w:val="20"/>
                <w:szCs w:val="20"/>
              </w:rPr>
            </w:pPr>
            <w:r>
              <w:rPr>
                <w:noProof/>
                <w:sz w:val="20"/>
                <w:szCs w:val="20"/>
              </w:rPr>
              <w:t>ECE/TRANS/WP.29/2019/117</w:t>
            </w:r>
          </w:p>
        </w:tc>
      </w:tr>
      <w:tr>
        <w:trPr>
          <w:trHeight w:val="600"/>
        </w:trPr>
        <w:tc>
          <w:tcPr>
            <w:tcW w:w="1291" w:type="dxa"/>
            <w:shd w:val="clear" w:color="auto" w:fill="auto"/>
          </w:tcPr>
          <w:p>
            <w:pPr>
              <w:rPr>
                <w:noProof/>
                <w:sz w:val="20"/>
                <w:szCs w:val="20"/>
              </w:rPr>
            </w:pPr>
            <w:r>
              <w:rPr>
                <w:noProof/>
                <w:sz w:val="20"/>
                <w:szCs w:val="20"/>
              </w:rPr>
              <w:t>R.E.3</w:t>
            </w:r>
          </w:p>
        </w:tc>
        <w:tc>
          <w:tcPr>
            <w:tcW w:w="4678" w:type="dxa"/>
            <w:shd w:val="clear" w:color="auto" w:fill="auto"/>
          </w:tcPr>
          <w:p>
            <w:pPr>
              <w:pStyle w:val="Default"/>
              <w:rPr>
                <w:rFonts w:eastAsiaTheme="minorHAnsi"/>
                <w:noProof/>
                <w:color w:val="auto"/>
                <w:sz w:val="20"/>
                <w:szCs w:val="20"/>
              </w:rPr>
            </w:pPr>
            <w:r>
              <w:rPr>
                <w:noProof/>
                <w:sz w:val="20"/>
                <w:szCs w:val="20"/>
              </w:rPr>
              <w:t xml:space="preserve">Javaslat a motoros járművekre vonatkozó összevont határozat (R.E.3) IV. mellékletének módosítására </w:t>
            </w:r>
          </w:p>
        </w:tc>
        <w:tc>
          <w:tcPr>
            <w:tcW w:w="2977" w:type="dxa"/>
            <w:shd w:val="clear" w:color="auto" w:fill="auto"/>
          </w:tcPr>
          <w:p>
            <w:pPr>
              <w:rPr>
                <w:noProof/>
                <w:sz w:val="20"/>
                <w:szCs w:val="20"/>
              </w:rPr>
            </w:pPr>
            <w:r>
              <w:rPr>
                <w:noProof/>
                <w:sz w:val="20"/>
                <w:szCs w:val="20"/>
              </w:rPr>
              <w:t>ECE/TRANS/WP.29/2019/118,</w:t>
            </w:r>
          </w:p>
          <w:p>
            <w:pPr>
              <w:rPr>
                <w:noProof/>
                <w:sz w:val="20"/>
                <w:szCs w:val="20"/>
              </w:rPr>
            </w:pPr>
            <w:r>
              <w:rPr>
                <w:noProof/>
                <w:sz w:val="20"/>
                <w:szCs w:val="20"/>
              </w:rPr>
              <w:t>WP.29-179-06</w:t>
            </w:r>
          </w:p>
        </w:tc>
      </w:tr>
      <w:tr>
        <w:trPr>
          <w:trHeight w:val="600"/>
        </w:trPr>
        <w:tc>
          <w:tcPr>
            <w:tcW w:w="1291" w:type="dxa"/>
            <w:shd w:val="clear" w:color="auto" w:fill="auto"/>
          </w:tcPr>
          <w:p>
            <w:pPr>
              <w:rPr>
                <w:noProof/>
                <w:sz w:val="20"/>
                <w:szCs w:val="20"/>
              </w:rPr>
            </w:pPr>
            <w:r>
              <w:rPr>
                <w:noProof/>
                <w:sz w:val="20"/>
                <w:szCs w:val="20"/>
              </w:rPr>
              <w:t>R.E.5</w:t>
            </w:r>
          </w:p>
        </w:tc>
        <w:tc>
          <w:tcPr>
            <w:tcW w:w="4678" w:type="dxa"/>
            <w:shd w:val="clear" w:color="auto" w:fill="auto"/>
          </w:tcPr>
          <w:p>
            <w:pPr>
              <w:pStyle w:val="Default"/>
              <w:jc w:val="both"/>
              <w:rPr>
                <w:noProof/>
                <w:sz w:val="20"/>
                <w:szCs w:val="20"/>
              </w:rPr>
            </w:pPr>
            <w:r>
              <w:rPr>
                <w:noProof/>
                <w:sz w:val="20"/>
                <w:szCs w:val="20"/>
              </w:rPr>
              <w:t xml:space="preserve">Javaslat a fényforrás-kategóriákra vonatkozó egységes előírásokra vonatkozó összevont határozat (R.E.5) 4. módosítására </w:t>
            </w:r>
          </w:p>
        </w:tc>
        <w:tc>
          <w:tcPr>
            <w:tcW w:w="2977" w:type="dxa"/>
            <w:shd w:val="clear" w:color="auto" w:fill="auto"/>
          </w:tcPr>
          <w:p>
            <w:pPr>
              <w:rPr>
                <w:noProof/>
                <w:sz w:val="20"/>
                <w:szCs w:val="20"/>
              </w:rPr>
            </w:pPr>
            <w:r>
              <w:rPr>
                <w:noProof/>
                <w:sz w:val="20"/>
                <w:szCs w:val="20"/>
              </w:rPr>
              <w:t>ECE/TRANS/WP.29/2019/126</w:t>
            </w:r>
          </w:p>
        </w:tc>
      </w:tr>
      <w:tr>
        <w:trPr>
          <w:trHeight w:val="600"/>
        </w:trPr>
        <w:tc>
          <w:tcPr>
            <w:tcW w:w="1291" w:type="dxa"/>
            <w:shd w:val="clear" w:color="auto" w:fill="auto"/>
          </w:tcPr>
          <w:p>
            <w:pPr>
              <w:rPr>
                <w:noProof/>
                <w:sz w:val="20"/>
                <w:szCs w:val="20"/>
              </w:rPr>
            </w:pPr>
            <w:r>
              <w:rPr>
                <w:noProof/>
                <w:sz w:val="20"/>
                <w:szCs w:val="20"/>
              </w:rPr>
              <w:t>MR.1</w:t>
            </w:r>
          </w:p>
        </w:tc>
        <w:tc>
          <w:tcPr>
            <w:tcW w:w="4678" w:type="dxa"/>
            <w:shd w:val="clear" w:color="auto" w:fill="auto"/>
          </w:tcPr>
          <w:p>
            <w:pPr>
              <w:pStyle w:val="Default"/>
              <w:jc w:val="both"/>
              <w:rPr>
                <w:noProof/>
                <w:sz w:val="20"/>
                <w:szCs w:val="20"/>
              </w:rPr>
            </w:pPr>
            <w:r>
              <w:rPr>
                <w:noProof/>
                <w:sz w:val="20"/>
                <w:szCs w:val="20"/>
              </w:rPr>
              <w:t xml:space="preserve">Javaslat az 1. számú kölcsönösen elfogadott határozat (MR.1) 2. módosítására – 3. kiegészítéstervezet </w:t>
            </w:r>
          </w:p>
        </w:tc>
        <w:tc>
          <w:tcPr>
            <w:tcW w:w="2977" w:type="dxa"/>
            <w:shd w:val="clear" w:color="auto" w:fill="auto"/>
          </w:tcPr>
          <w:p>
            <w:pPr>
              <w:rPr>
                <w:noProof/>
                <w:sz w:val="20"/>
                <w:szCs w:val="20"/>
              </w:rPr>
            </w:pPr>
            <w:r>
              <w:rPr>
                <w:noProof/>
                <w:sz w:val="20"/>
                <w:szCs w:val="20"/>
              </w:rPr>
              <w:t>ECE/TRANS/WP.29/2019/119</w:t>
            </w:r>
          </w:p>
        </w:tc>
      </w:tr>
    </w:tbl>
    <w:p>
      <w:pPr>
        <w:rPr>
          <w:noProof/>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Egyéb</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A napirendi pont címe</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A dokumentum hivatkozási száma</w:t>
            </w:r>
          </w:p>
        </w:tc>
      </w:tr>
      <w:tr>
        <w:trPr>
          <w:trHeight w:val="600"/>
        </w:trPr>
        <w:tc>
          <w:tcPr>
            <w:tcW w:w="1291" w:type="dxa"/>
            <w:shd w:val="clear" w:color="auto" w:fill="auto"/>
          </w:tcPr>
          <w:p>
            <w:pPr>
              <w:rPr>
                <w:noProof/>
                <w:sz w:val="20"/>
                <w:szCs w:val="20"/>
              </w:rPr>
            </w:pPr>
          </w:p>
        </w:tc>
        <w:tc>
          <w:tcPr>
            <w:tcW w:w="4678" w:type="dxa"/>
            <w:shd w:val="clear" w:color="auto" w:fill="auto"/>
          </w:tcPr>
          <w:p>
            <w:pPr>
              <w:pStyle w:val="Default"/>
              <w:jc w:val="both"/>
              <w:rPr>
                <w:noProof/>
                <w:sz w:val="20"/>
              </w:rPr>
            </w:pPr>
            <w:r>
              <w:rPr>
                <w:noProof/>
                <w:sz w:val="20"/>
                <w:szCs w:val="20"/>
              </w:rPr>
              <w:t xml:space="preserve">Javaslat a 6. számú ENSZ globális műszaki előírás módosítása kidolgozásának engedélyezésére </w:t>
            </w:r>
          </w:p>
        </w:tc>
        <w:tc>
          <w:tcPr>
            <w:tcW w:w="2977" w:type="dxa"/>
            <w:shd w:val="clear" w:color="auto" w:fill="auto"/>
          </w:tcPr>
          <w:p>
            <w:pPr>
              <w:rPr>
                <w:noProof/>
                <w:sz w:val="20"/>
                <w:szCs w:val="20"/>
              </w:rPr>
            </w:pPr>
            <w:r>
              <w:rPr>
                <w:noProof/>
                <w:sz w:val="20"/>
                <w:szCs w:val="20"/>
              </w:rPr>
              <w:t>ECE/TRANS/WP.29/2019/123</w:t>
            </w:r>
          </w:p>
        </w:tc>
      </w:tr>
      <w:tr>
        <w:trPr>
          <w:trHeight w:val="600"/>
        </w:trPr>
        <w:tc>
          <w:tcPr>
            <w:tcW w:w="1291" w:type="dxa"/>
            <w:shd w:val="clear" w:color="auto" w:fill="auto"/>
          </w:tcPr>
          <w:p>
            <w:pPr>
              <w:rPr>
                <w:noProof/>
                <w:sz w:val="20"/>
                <w:szCs w:val="20"/>
              </w:rPr>
            </w:pPr>
          </w:p>
        </w:tc>
        <w:tc>
          <w:tcPr>
            <w:tcW w:w="4678" w:type="dxa"/>
            <w:shd w:val="clear" w:color="auto" w:fill="auto"/>
          </w:tcPr>
          <w:p>
            <w:pPr>
              <w:pStyle w:val="Default"/>
              <w:jc w:val="both"/>
              <w:rPr>
                <w:noProof/>
                <w:sz w:val="20"/>
                <w:szCs w:val="22"/>
              </w:rPr>
            </w:pPr>
            <w:r>
              <w:rPr>
                <w:noProof/>
                <w:sz w:val="20"/>
                <w:szCs w:val="20"/>
              </w:rPr>
              <w:t>Javaslat az elektromos járművek teljesítményének meghatározására vonatkozó új ENSZ globális műszaki előírás kidolgozására vonatkozó engedély 1. felülvizsgálatára</w:t>
            </w:r>
          </w:p>
        </w:tc>
        <w:tc>
          <w:tcPr>
            <w:tcW w:w="2977" w:type="dxa"/>
            <w:shd w:val="clear" w:color="auto" w:fill="auto"/>
          </w:tcPr>
          <w:p>
            <w:pPr>
              <w:rPr>
                <w:noProof/>
                <w:sz w:val="20"/>
                <w:szCs w:val="20"/>
              </w:rPr>
            </w:pPr>
            <w:r>
              <w:rPr>
                <w:noProof/>
                <w:sz w:val="20"/>
                <w:szCs w:val="20"/>
              </w:rPr>
              <w:t>ECE/TRANS/WP.29/2019/124</w:t>
            </w:r>
          </w:p>
        </w:tc>
      </w:tr>
    </w:tbl>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t>Az alábbi táblázatban említett dokumentumok az alábbi weboldalon érhetők el:</w:t>
      </w:r>
      <w:r>
        <w:rPr>
          <w:sz w:val="18"/>
        </w:rPr>
        <w:t xml:space="preserve"> </w:t>
      </w:r>
    </w:p>
    <w:p>
      <w:pPr>
        <w:pStyle w:val="FootnoteText"/>
        <w:rPr>
          <w:sz w:val="18"/>
        </w:rPr>
      </w:pPr>
      <w:hyperlink r:id="rId1" w:history="1">
        <w:r>
          <w:rPr>
            <w:rStyle w:val="Hyperlink"/>
            <w:sz w:val="18"/>
          </w:rPr>
          <w:t>http://www.unece.org/trans/main/wp29/wp29wgs/wp29gen/gen2019.html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20"/>
  </w:num>
  <w:num w:numId="12">
    <w:abstractNumId w:val="14"/>
  </w:num>
  <w:num w:numId="13">
    <w:abstractNumId w:val="22"/>
  </w:num>
  <w:num w:numId="14">
    <w:abstractNumId w:val="13"/>
  </w:num>
  <w:num w:numId="15">
    <w:abstractNumId w:val="15"/>
  </w:num>
  <w:num w:numId="16">
    <w:abstractNumId w:val="11"/>
  </w:num>
  <w:num w:numId="17">
    <w:abstractNumId w:val="21"/>
  </w:num>
  <w:num w:numId="18">
    <w:abstractNumId w:val="10"/>
  </w:num>
  <w:num w:numId="19">
    <w:abstractNumId w:val="16"/>
  </w:num>
  <w:num w:numId="20">
    <w:abstractNumId w:val="18"/>
  </w:num>
  <w:num w:numId="21">
    <w:abstractNumId w:val="19"/>
  </w:num>
  <w:num w:numId="22">
    <w:abstractNumId w:val="12"/>
  </w:num>
  <w:num w:numId="23">
    <w:abstractNumId w:val="17"/>
  </w:num>
  <w:num w:numId="24">
    <w:abstractNumId w:val="23"/>
  </w:num>
  <w:num w:numId="25">
    <w:abstractNumId w:val="20"/>
  </w:num>
  <w:num w:numId="26">
    <w:abstractNumId w:val="14"/>
  </w:num>
  <w:num w:numId="27">
    <w:abstractNumId w:val="22"/>
  </w:num>
  <w:num w:numId="28">
    <w:abstractNumId w:val="13"/>
  </w:num>
  <w:num w:numId="29">
    <w:abstractNumId w:val="15"/>
  </w:num>
  <w:num w:numId="30">
    <w:abstractNumId w:val="11"/>
  </w:num>
  <w:num w:numId="31">
    <w:abstractNumId w:val="21"/>
  </w:num>
  <w:num w:numId="32">
    <w:abstractNumId w:val="10"/>
  </w:num>
  <w:num w:numId="33">
    <w:abstractNumId w:val="16"/>
  </w:num>
  <w:num w:numId="34">
    <w:abstractNumId w:val="18"/>
  </w:num>
  <w:num w:numId="35">
    <w:abstractNumId w:val="19"/>
  </w:num>
  <w:num w:numId="36">
    <w:abstractNumId w:val="12"/>
  </w:num>
  <w:num w:numId="37">
    <w:abstractNumId w:val="17"/>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04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14:10: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2"/>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F943D25D-A13A-4B41-8E89-5C03A98AB42C"/>
    <w:docVar w:name="LW_COVERPAGE_TYPE" w:val="1"/>
    <w:docVar w:name="LW_CROSSREFERENCE" w:val="&lt;UNUSED&gt;"/>
    <w:docVar w:name="LW_DocType" w:val="ANNEX"/>
    <w:docVar w:name="LW_EMISSION" w:val="2019.10.11."/>
    <w:docVar w:name="LW_EMISSION_ISODATE" w:val="2019-10-11"/>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lt;FMT:Bold&gt;az Európai Unió által az ENSZ Európai Gazdasági Bizottságának megfelel\u337? bizottságaiban az ENSZ 0., 16., 17., 21., 35., 29., 43., 44., 48., 53., 55., 58., 67., 74., 80., 83., 85., 86., 98., 107., 112., 113., 115., 116., 123., 129., 135., 148., 149. és 150. számú el\u337?írásainak módosítására irányuló javaslatok, a 2. számú globális m\u369?szaki el\u337?írás (GTR) módosítására irányuló javaslat, az 1. számú kölcsönösen elfogadott határozat (MR.1) módosítására irányuló javaslat, az R.E.3 és az R.E.5 számú összevont határozat módosítására irányuló javaslatok, valamint a 6. számú GTR módosításának engedélyezésére és egy, az elektromos járm\u369?vek teljesítményének meghatározására vonatkozó új GTR kidolgozásának engedélyezésére irányuló javaslat tekintetében képviselend\u337? álláspontról&lt;/FMT&gt;"/>
    <w:docVar w:name="LW_OBJETACTEPRINCIPAL.CP" w:val="&lt;FMT:Bold&gt;az Európai Unió által az ENSZ Európai Gazdasági Bizottságának megfelel\u337? bizottságaiban az ENSZ 0., 16., 17., 21., 35., 29., 43., 44., 48., 53., 55., 58., 67., 74., 80., 83., 85., 86., 98., 107., 112., 113., 115., 116., 123., 129., 135., 148., 149. és 150. számú el\u337?írásainak módosítására irányuló javaslatok, a 2. számú globális m\u369?szaki el\u337?írás (GTR) módosítására irányuló javaslat, az 1. számú kölcsönösen elfogadott határozat (MR.1) módosítására irányuló javaslat, az R.E.3 és az R.E.5 számú összevont határozat módosítására irányuló javaslatok, valamint a 6. számú GTR módosításának engedélyezésére és egy, az elektromos járm\u369?vek teljesítményének meghatározására vonatkozó új GTR kidolgozásának engedélyezésére irányuló javaslat tekintetében képviselend\u337? álláspontról&lt;/FMT&gt;"/>
    <w:docVar w:name="LW_PART_NBR" w:val="1"/>
    <w:docVar w:name="LW_PART_NBR_TOTAL" w:val="1"/>
    <w:docVar w:name="LW_REF.INST.NEW" w:val="COM"/>
    <w:docVar w:name="LW_REF.INST.NEW_ADOPTED" w:val="final"/>
    <w:docVar w:name="LW_REF.INST.NEW_TEXT" w:val="(2019) 4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hu-HU"/>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hu-HU"/>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111828688">
      <w:bodyDiv w:val="1"/>
      <w:marLeft w:val="0"/>
      <w:marRight w:val="0"/>
      <w:marTop w:val="0"/>
      <w:marBottom w:val="0"/>
      <w:divBdr>
        <w:top w:val="none" w:sz="0" w:space="0" w:color="auto"/>
        <w:left w:val="none" w:sz="0" w:space="0" w:color="auto"/>
        <w:bottom w:val="none" w:sz="0" w:space="0" w:color="auto"/>
        <w:right w:val="none" w:sz="0" w:space="0" w:color="auto"/>
      </w:divBdr>
    </w:div>
    <w:div w:id="138503308">
      <w:bodyDiv w:val="1"/>
      <w:marLeft w:val="0"/>
      <w:marRight w:val="0"/>
      <w:marTop w:val="0"/>
      <w:marBottom w:val="0"/>
      <w:divBdr>
        <w:top w:val="none" w:sz="0" w:space="0" w:color="auto"/>
        <w:left w:val="none" w:sz="0" w:space="0" w:color="auto"/>
        <w:bottom w:val="none" w:sz="0" w:space="0" w:color="auto"/>
        <w:right w:val="none" w:sz="0" w:space="0" w:color="auto"/>
      </w:divBdr>
    </w:div>
    <w:div w:id="142505270">
      <w:bodyDiv w:val="1"/>
      <w:marLeft w:val="0"/>
      <w:marRight w:val="0"/>
      <w:marTop w:val="0"/>
      <w:marBottom w:val="0"/>
      <w:divBdr>
        <w:top w:val="none" w:sz="0" w:space="0" w:color="auto"/>
        <w:left w:val="none" w:sz="0" w:space="0" w:color="auto"/>
        <w:bottom w:val="none" w:sz="0" w:space="0" w:color="auto"/>
        <w:right w:val="none" w:sz="0" w:space="0" w:color="auto"/>
      </w:divBdr>
    </w:div>
    <w:div w:id="170341956">
      <w:bodyDiv w:val="1"/>
      <w:marLeft w:val="0"/>
      <w:marRight w:val="0"/>
      <w:marTop w:val="0"/>
      <w:marBottom w:val="0"/>
      <w:divBdr>
        <w:top w:val="none" w:sz="0" w:space="0" w:color="auto"/>
        <w:left w:val="none" w:sz="0" w:space="0" w:color="auto"/>
        <w:bottom w:val="none" w:sz="0" w:space="0" w:color="auto"/>
        <w:right w:val="none" w:sz="0" w:space="0" w:color="auto"/>
      </w:divBdr>
    </w:div>
    <w:div w:id="184170899">
      <w:bodyDiv w:val="1"/>
      <w:marLeft w:val="0"/>
      <w:marRight w:val="0"/>
      <w:marTop w:val="0"/>
      <w:marBottom w:val="0"/>
      <w:divBdr>
        <w:top w:val="none" w:sz="0" w:space="0" w:color="auto"/>
        <w:left w:val="none" w:sz="0" w:space="0" w:color="auto"/>
        <w:bottom w:val="none" w:sz="0" w:space="0" w:color="auto"/>
        <w:right w:val="none" w:sz="0" w:space="0" w:color="auto"/>
      </w:divBdr>
    </w:div>
    <w:div w:id="201290352">
      <w:bodyDiv w:val="1"/>
      <w:marLeft w:val="0"/>
      <w:marRight w:val="0"/>
      <w:marTop w:val="0"/>
      <w:marBottom w:val="0"/>
      <w:divBdr>
        <w:top w:val="none" w:sz="0" w:space="0" w:color="auto"/>
        <w:left w:val="none" w:sz="0" w:space="0" w:color="auto"/>
        <w:bottom w:val="none" w:sz="0" w:space="0" w:color="auto"/>
        <w:right w:val="none" w:sz="0" w:space="0" w:color="auto"/>
      </w:divBdr>
    </w:div>
    <w:div w:id="238174989">
      <w:bodyDiv w:val="1"/>
      <w:marLeft w:val="0"/>
      <w:marRight w:val="0"/>
      <w:marTop w:val="0"/>
      <w:marBottom w:val="0"/>
      <w:divBdr>
        <w:top w:val="none" w:sz="0" w:space="0" w:color="auto"/>
        <w:left w:val="none" w:sz="0" w:space="0" w:color="auto"/>
        <w:bottom w:val="none" w:sz="0" w:space="0" w:color="auto"/>
        <w:right w:val="none" w:sz="0" w:space="0" w:color="auto"/>
      </w:divBdr>
    </w:div>
    <w:div w:id="343676691">
      <w:bodyDiv w:val="1"/>
      <w:marLeft w:val="0"/>
      <w:marRight w:val="0"/>
      <w:marTop w:val="0"/>
      <w:marBottom w:val="0"/>
      <w:divBdr>
        <w:top w:val="none" w:sz="0" w:space="0" w:color="auto"/>
        <w:left w:val="none" w:sz="0" w:space="0" w:color="auto"/>
        <w:bottom w:val="none" w:sz="0" w:space="0" w:color="auto"/>
        <w:right w:val="none" w:sz="0" w:space="0" w:color="auto"/>
      </w:divBdr>
    </w:div>
    <w:div w:id="374044499">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504365913">
      <w:bodyDiv w:val="1"/>
      <w:marLeft w:val="0"/>
      <w:marRight w:val="0"/>
      <w:marTop w:val="0"/>
      <w:marBottom w:val="0"/>
      <w:divBdr>
        <w:top w:val="none" w:sz="0" w:space="0" w:color="auto"/>
        <w:left w:val="none" w:sz="0" w:space="0" w:color="auto"/>
        <w:bottom w:val="none" w:sz="0" w:space="0" w:color="auto"/>
        <w:right w:val="none" w:sz="0" w:space="0" w:color="auto"/>
      </w:divBdr>
    </w:div>
    <w:div w:id="516386169">
      <w:bodyDiv w:val="1"/>
      <w:marLeft w:val="0"/>
      <w:marRight w:val="0"/>
      <w:marTop w:val="0"/>
      <w:marBottom w:val="0"/>
      <w:divBdr>
        <w:top w:val="none" w:sz="0" w:space="0" w:color="auto"/>
        <w:left w:val="none" w:sz="0" w:space="0" w:color="auto"/>
        <w:bottom w:val="none" w:sz="0" w:space="0" w:color="auto"/>
        <w:right w:val="none" w:sz="0" w:space="0" w:color="auto"/>
      </w:divBdr>
    </w:div>
    <w:div w:id="573007855">
      <w:bodyDiv w:val="1"/>
      <w:marLeft w:val="0"/>
      <w:marRight w:val="0"/>
      <w:marTop w:val="0"/>
      <w:marBottom w:val="0"/>
      <w:divBdr>
        <w:top w:val="none" w:sz="0" w:space="0" w:color="auto"/>
        <w:left w:val="none" w:sz="0" w:space="0" w:color="auto"/>
        <w:bottom w:val="none" w:sz="0" w:space="0" w:color="auto"/>
        <w:right w:val="none" w:sz="0" w:space="0" w:color="auto"/>
      </w:divBdr>
    </w:div>
    <w:div w:id="640967684">
      <w:bodyDiv w:val="1"/>
      <w:marLeft w:val="0"/>
      <w:marRight w:val="0"/>
      <w:marTop w:val="0"/>
      <w:marBottom w:val="0"/>
      <w:divBdr>
        <w:top w:val="none" w:sz="0" w:space="0" w:color="auto"/>
        <w:left w:val="none" w:sz="0" w:space="0" w:color="auto"/>
        <w:bottom w:val="none" w:sz="0" w:space="0" w:color="auto"/>
        <w:right w:val="none" w:sz="0" w:space="0" w:color="auto"/>
      </w:divBdr>
    </w:div>
    <w:div w:id="681979674">
      <w:bodyDiv w:val="1"/>
      <w:marLeft w:val="0"/>
      <w:marRight w:val="0"/>
      <w:marTop w:val="0"/>
      <w:marBottom w:val="0"/>
      <w:divBdr>
        <w:top w:val="none" w:sz="0" w:space="0" w:color="auto"/>
        <w:left w:val="none" w:sz="0" w:space="0" w:color="auto"/>
        <w:bottom w:val="none" w:sz="0" w:space="0" w:color="auto"/>
        <w:right w:val="none" w:sz="0" w:space="0" w:color="auto"/>
      </w:divBdr>
    </w:div>
    <w:div w:id="684404924">
      <w:bodyDiv w:val="1"/>
      <w:marLeft w:val="0"/>
      <w:marRight w:val="0"/>
      <w:marTop w:val="0"/>
      <w:marBottom w:val="0"/>
      <w:divBdr>
        <w:top w:val="none" w:sz="0" w:space="0" w:color="auto"/>
        <w:left w:val="none" w:sz="0" w:space="0" w:color="auto"/>
        <w:bottom w:val="none" w:sz="0" w:space="0" w:color="auto"/>
        <w:right w:val="none" w:sz="0" w:space="0" w:color="auto"/>
      </w:divBdr>
    </w:div>
    <w:div w:id="855772137">
      <w:bodyDiv w:val="1"/>
      <w:marLeft w:val="0"/>
      <w:marRight w:val="0"/>
      <w:marTop w:val="0"/>
      <w:marBottom w:val="0"/>
      <w:divBdr>
        <w:top w:val="none" w:sz="0" w:space="0" w:color="auto"/>
        <w:left w:val="none" w:sz="0" w:space="0" w:color="auto"/>
        <w:bottom w:val="none" w:sz="0" w:space="0" w:color="auto"/>
        <w:right w:val="none" w:sz="0" w:space="0" w:color="auto"/>
      </w:divBdr>
    </w:div>
    <w:div w:id="901910588">
      <w:bodyDiv w:val="1"/>
      <w:marLeft w:val="0"/>
      <w:marRight w:val="0"/>
      <w:marTop w:val="0"/>
      <w:marBottom w:val="0"/>
      <w:divBdr>
        <w:top w:val="none" w:sz="0" w:space="0" w:color="auto"/>
        <w:left w:val="none" w:sz="0" w:space="0" w:color="auto"/>
        <w:bottom w:val="none" w:sz="0" w:space="0" w:color="auto"/>
        <w:right w:val="none" w:sz="0" w:space="0" w:color="auto"/>
      </w:divBdr>
    </w:div>
    <w:div w:id="969825675">
      <w:bodyDiv w:val="1"/>
      <w:marLeft w:val="0"/>
      <w:marRight w:val="0"/>
      <w:marTop w:val="0"/>
      <w:marBottom w:val="0"/>
      <w:divBdr>
        <w:top w:val="none" w:sz="0" w:space="0" w:color="auto"/>
        <w:left w:val="none" w:sz="0" w:space="0" w:color="auto"/>
        <w:bottom w:val="none" w:sz="0" w:space="0" w:color="auto"/>
        <w:right w:val="none" w:sz="0" w:space="0" w:color="auto"/>
      </w:divBdr>
    </w:div>
    <w:div w:id="990865892">
      <w:bodyDiv w:val="1"/>
      <w:marLeft w:val="0"/>
      <w:marRight w:val="0"/>
      <w:marTop w:val="0"/>
      <w:marBottom w:val="0"/>
      <w:divBdr>
        <w:top w:val="none" w:sz="0" w:space="0" w:color="auto"/>
        <w:left w:val="none" w:sz="0" w:space="0" w:color="auto"/>
        <w:bottom w:val="none" w:sz="0" w:space="0" w:color="auto"/>
        <w:right w:val="none" w:sz="0" w:space="0" w:color="auto"/>
      </w:divBdr>
    </w:div>
    <w:div w:id="991299113">
      <w:bodyDiv w:val="1"/>
      <w:marLeft w:val="0"/>
      <w:marRight w:val="0"/>
      <w:marTop w:val="0"/>
      <w:marBottom w:val="0"/>
      <w:divBdr>
        <w:top w:val="none" w:sz="0" w:space="0" w:color="auto"/>
        <w:left w:val="none" w:sz="0" w:space="0" w:color="auto"/>
        <w:bottom w:val="none" w:sz="0" w:space="0" w:color="auto"/>
        <w:right w:val="none" w:sz="0" w:space="0" w:color="auto"/>
      </w:divBdr>
    </w:div>
    <w:div w:id="1080249696">
      <w:bodyDiv w:val="1"/>
      <w:marLeft w:val="0"/>
      <w:marRight w:val="0"/>
      <w:marTop w:val="0"/>
      <w:marBottom w:val="0"/>
      <w:divBdr>
        <w:top w:val="none" w:sz="0" w:space="0" w:color="auto"/>
        <w:left w:val="none" w:sz="0" w:space="0" w:color="auto"/>
        <w:bottom w:val="none" w:sz="0" w:space="0" w:color="auto"/>
        <w:right w:val="none" w:sz="0" w:space="0" w:color="auto"/>
      </w:divBdr>
    </w:div>
    <w:div w:id="1092051145">
      <w:bodyDiv w:val="1"/>
      <w:marLeft w:val="0"/>
      <w:marRight w:val="0"/>
      <w:marTop w:val="0"/>
      <w:marBottom w:val="0"/>
      <w:divBdr>
        <w:top w:val="none" w:sz="0" w:space="0" w:color="auto"/>
        <w:left w:val="none" w:sz="0" w:space="0" w:color="auto"/>
        <w:bottom w:val="none" w:sz="0" w:space="0" w:color="auto"/>
        <w:right w:val="none" w:sz="0" w:space="0" w:color="auto"/>
      </w:divBdr>
    </w:div>
    <w:div w:id="1156922010">
      <w:bodyDiv w:val="1"/>
      <w:marLeft w:val="0"/>
      <w:marRight w:val="0"/>
      <w:marTop w:val="0"/>
      <w:marBottom w:val="0"/>
      <w:divBdr>
        <w:top w:val="none" w:sz="0" w:space="0" w:color="auto"/>
        <w:left w:val="none" w:sz="0" w:space="0" w:color="auto"/>
        <w:bottom w:val="none" w:sz="0" w:space="0" w:color="auto"/>
        <w:right w:val="none" w:sz="0" w:space="0" w:color="auto"/>
      </w:divBdr>
    </w:div>
    <w:div w:id="1269195738">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337735261">
      <w:bodyDiv w:val="1"/>
      <w:marLeft w:val="0"/>
      <w:marRight w:val="0"/>
      <w:marTop w:val="0"/>
      <w:marBottom w:val="0"/>
      <w:divBdr>
        <w:top w:val="none" w:sz="0" w:space="0" w:color="auto"/>
        <w:left w:val="none" w:sz="0" w:space="0" w:color="auto"/>
        <w:bottom w:val="none" w:sz="0" w:space="0" w:color="auto"/>
        <w:right w:val="none" w:sz="0" w:space="0" w:color="auto"/>
      </w:divBdr>
    </w:div>
    <w:div w:id="1350335239">
      <w:bodyDiv w:val="1"/>
      <w:marLeft w:val="0"/>
      <w:marRight w:val="0"/>
      <w:marTop w:val="0"/>
      <w:marBottom w:val="0"/>
      <w:divBdr>
        <w:top w:val="none" w:sz="0" w:space="0" w:color="auto"/>
        <w:left w:val="none" w:sz="0" w:space="0" w:color="auto"/>
        <w:bottom w:val="none" w:sz="0" w:space="0" w:color="auto"/>
        <w:right w:val="none" w:sz="0" w:space="0" w:color="auto"/>
      </w:divBdr>
    </w:div>
    <w:div w:id="1356351216">
      <w:bodyDiv w:val="1"/>
      <w:marLeft w:val="0"/>
      <w:marRight w:val="0"/>
      <w:marTop w:val="0"/>
      <w:marBottom w:val="0"/>
      <w:divBdr>
        <w:top w:val="none" w:sz="0" w:space="0" w:color="auto"/>
        <w:left w:val="none" w:sz="0" w:space="0" w:color="auto"/>
        <w:bottom w:val="none" w:sz="0" w:space="0" w:color="auto"/>
        <w:right w:val="none" w:sz="0" w:space="0" w:color="auto"/>
      </w:divBdr>
    </w:div>
    <w:div w:id="1367486472">
      <w:bodyDiv w:val="1"/>
      <w:marLeft w:val="0"/>
      <w:marRight w:val="0"/>
      <w:marTop w:val="0"/>
      <w:marBottom w:val="0"/>
      <w:divBdr>
        <w:top w:val="none" w:sz="0" w:space="0" w:color="auto"/>
        <w:left w:val="none" w:sz="0" w:space="0" w:color="auto"/>
        <w:bottom w:val="none" w:sz="0" w:space="0" w:color="auto"/>
        <w:right w:val="none" w:sz="0" w:space="0" w:color="auto"/>
      </w:divBdr>
    </w:div>
    <w:div w:id="1390415999">
      <w:bodyDiv w:val="1"/>
      <w:marLeft w:val="0"/>
      <w:marRight w:val="0"/>
      <w:marTop w:val="0"/>
      <w:marBottom w:val="0"/>
      <w:divBdr>
        <w:top w:val="none" w:sz="0" w:space="0" w:color="auto"/>
        <w:left w:val="none" w:sz="0" w:space="0" w:color="auto"/>
        <w:bottom w:val="none" w:sz="0" w:space="0" w:color="auto"/>
        <w:right w:val="none" w:sz="0" w:space="0" w:color="auto"/>
      </w:divBdr>
    </w:div>
    <w:div w:id="1407339107">
      <w:bodyDiv w:val="1"/>
      <w:marLeft w:val="0"/>
      <w:marRight w:val="0"/>
      <w:marTop w:val="0"/>
      <w:marBottom w:val="0"/>
      <w:divBdr>
        <w:top w:val="none" w:sz="0" w:space="0" w:color="auto"/>
        <w:left w:val="none" w:sz="0" w:space="0" w:color="auto"/>
        <w:bottom w:val="none" w:sz="0" w:space="0" w:color="auto"/>
        <w:right w:val="none" w:sz="0" w:space="0" w:color="auto"/>
      </w:divBdr>
    </w:div>
    <w:div w:id="1423061380">
      <w:bodyDiv w:val="1"/>
      <w:marLeft w:val="0"/>
      <w:marRight w:val="0"/>
      <w:marTop w:val="0"/>
      <w:marBottom w:val="0"/>
      <w:divBdr>
        <w:top w:val="none" w:sz="0" w:space="0" w:color="auto"/>
        <w:left w:val="none" w:sz="0" w:space="0" w:color="auto"/>
        <w:bottom w:val="none" w:sz="0" w:space="0" w:color="auto"/>
        <w:right w:val="none" w:sz="0" w:space="0" w:color="auto"/>
      </w:divBdr>
    </w:div>
    <w:div w:id="1425153666">
      <w:bodyDiv w:val="1"/>
      <w:marLeft w:val="0"/>
      <w:marRight w:val="0"/>
      <w:marTop w:val="0"/>
      <w:marBottom w:val="0"/>
      <w:divBdr>
        <w:top w:val="none" w:sz="0" w:space="0" w:color="auto"/>
        <w:left w:val="none" w:sz="0" w:space="0" w:color="auto"/>
        <w:bottom w:val="none" w:sz="0" w:space="0" w:color="auto"/>
        <w:right w:val="none" w:sz="0" w:space="0" w:color="auto"/>
      </w:divBdr>
    </w:div>
    <w:div w:id="1434470401">
      <w:bodyDiv w:val="1"/>
      <w:marLeft w:val="0"/>
      <w:marRight w:val="0"/>
      <w:marTop w:val="0"/>
      <w:marBottom w:val="0"/>
      <w:divBdr>
        <w:top w:val="none" w:sz="0" w:space="0" w:color="auto"/>
        <w:left w:val="none" w:sz="0" w:space="0" w:color="auto"/>
        <w:bottom w:val="none" w:sz="0" w:space="0" w:color="auto"/>
        <w:right w:val="none" w:sz="0" w:space="0" w:color="auto"/>
      </w:divBdr>
    </w:div>
    <w:div w:id="1503550542">
      <w:bodyDiv w:val="1"/>
      <w:marLeft w:val="0"/>
      <w:marRight w:val="0"/>
      <w:marTop w:val="0"/>
      <w:marBottom w:val="0"/>
      <w:divBdr>
        <w:top w:val="none" w:sz="0" w:space="0" w:color="auto"/>
        <w:left w:val="none" w:sz="0" w:space="0" w:color="auto"/>
        <w:bottom w:val="none" w:sz="0" w:space="0" w:color="auto"/>
        <w:right w:val="none" w:sz="0" w:space="0" w:color="auto"/>
      </w:divBdr>
    </w:div>
    <w:div w:id="1548376118">
      <w:bodyDiv w:val="1"/>
      <w:marLeft w:val="0"/>
      <w:marRight w:val="0"/>
      <w:marTop w:val="0"/>
      <w:marBottom w:val="0"/>
      <w:divBdr>
        <w:top w:val="none" w:sz="0" w:space="0" w:color="auto"/>
        <w:left w:val="none" w:sz="0" w:space="0" w:color="auto"/>
        <w:bottom w:val="none" w:sz="0" w:space="0" w:color="auto"/>
        <w:right w:val="none" w:sz="0" w:space="0" w:color="auto"/>
      </w:divBdr>
    </w:div>
    <w:div w:id="1553955549">
      <w:bodyDiv w:val="1"/>
      <w:marLeft w:val="0"/>
      <w:marRight w:val="0"/>
      <w:marTop w:val="0"/>
      <w:marBottom w:val="0"/>
      <w:divBdr>
        <w:top w:val="none" w:sz="0" w:space="0" w:color="auto"/>
        <w:left w:val="none" w:sz="0" w:space="0" w:color="auto"/>
        <w:bottom w:val="none" w:sz="0" w:space="0" w:color="auto"/>
        <w:right w:val="none" w:sz="0" w:space="0" w:color="auto"/>
      </w:divBdr>
    </w:div>
    <w:div w:id="1560674708">
      <w:bodyDiv w:val="1"/>
      <w:marLeft w:val="0"/>
      <w:marRight w:val="0"/>
      <w:marTop w:val="0"/>
      <w:marBottom w:val="0"/>
      <w:divBdr>
        <w:top w:val="none" w:sz="0" w:space="0" w:color="auto"/>
        <w:left w:val="none" w:sz="0" w:space="0" w:color="auto"/>
        <w:bottom w:val="none" w:sz="0" w:space="0" w:color="auto"/>
        <w:right w:val="none" w:sz="0" w:space="0" w:color="auto"/>
      </w:divBdr>
    </w:div>
    <w:div w:id="1593859332">
      <w:bodyDiv w:val="1"/>
      <w:marLeft w:val="0"/>
      <w:marRight w:val="0"/>
      <w:marTop w:val="0"/>
      <w:marBottom w:val="0"/>
      <w:divBdr>
        <w:top w:val="none" w:sz="0" w:space="0" w:color="auto"/>
        <w:left w:val="none" w:sz="0" w:space="0" w:color="auto"/>
        <w:bottom w:val="none" w:sz="0" w:space="0" w:color="auto"/>
        <w:right w:val="none" w:sz="0" w:space="0" w:color="auto"/>
      </w:divBdr>
    </w:div>
    <w:div w:id="1661033355">
      <w:bodyDiv w:val="1"/>
      <w:marLeft w:val="0"/>
      <w:marRight w:val="0"/>
      <w:marTop w:val="0"/>
      <w:marBottom w:val="0"/>
      <w:divBdr>
        <w:top w:val="none" w:sz="0" w:space="0" w:color="auto"/>
        <w:left w:val="none" w:sz="0" w:space="0" w:color="auto"/>
        <w:bottom w:val="none" w:sz="0" w:space="0" w:color="auto"/>
        <w:right w:val="none" w:sz="0" w:space="0" w:color="auto"/>
      </w:divBdr>
    </w:div>
    <w:div w:id="1677878466">
      <w:bodyDiv w:val="1"/>
      <w:marLeft w:val="0"/>
      <w:marRight w:val="0"/>
      <w:marTop w:val="0"/>
      <w:marBottom w:val="0"/>
      <w:divBdr>
        <w:top w:val="none" w:sz="0" w:space="0" w:color="auto"/>
        <w:left w:val="none" w:sz="0" w:space="0" w:color="auto"/>
        <w:bottom w:val="none" w:sz="0" w:space="0" w:color="auto"/>
        <w:right w:val="none" w:sz="0" w:space="0" w:color="auto"/>
      </w:divBdr>
    </w:div>
    <w:div w:id="1678540575">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 w:id="1891109127">
      <w:bodyDiv w:val="1"/>
      <w:marLeft w:val="0"/>
      <w:marRight w:val="0"/>
      <w:marTop w:val="0"/>
      <w:marBottom w:val="0"/>
      <w:divBdr>
        <w:top w:val="none" w:sz="0" w:space="0" w:color="auto"/>
        <w:left w:val="none" w:sz="0" w:space="0" w:color="auto"/>
        <w:bottom w:val="none" w:sz="0" w:space="0" w:color="auto"/>
        <w:right w:val="none" w:sz="0" w:space="0" w:color="auto"/>
      </w:divBdr>
    </w:div>
    <w:div w:id="1971090968">
      <w:bodyDiv w:val="1"/>
      <w:marLeft w:val="0"/>
      <w:marRight w:val="0"/>
      <w:marTop w:val="0"/>
      <w:marBottom w:val="0"/>
      <w:divBdr>
        <w:top w:val="none" w:sz="0" w:space="0" w:color="auto"/>
        <w:left w:val="none" w:sz="0" w:space="0" w:color="auto"/>
        <w:bottom w:val="none" w:sz="0" w:space="0" w:color="auto"/>
        <w:right w:val="none" w:sz="0" w:space="0" w:color="auto"/>
      </w:divBdr>
    </w:div>
    <w:div w:id="20583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8F9D-84EA-4517-90F9-B15D292B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Pages>
  <Words>795</Words>
  <Characters>6838</Characters>
  <Application>Microsoft Office Word</Application>
  <DocSecurity>0</DocSecurity>
  <Lines>297</Lines>
  <Paragraphs>181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BRASSART Odile (GROW)</dc:creator>
  <cp:lastModifiedBy>WES PDFC Administrator</cp:lastModifiedBy>
  <cp:revision>9</cp:revision>
  <cp:lastPrinted>2019-09-12T14:28:00Z</cp:lastPrinted>
  <dcterms:created xsi:type="dcterms:W3CDTF">2019-10-11T10:25:00Z</dcterms:created>
  <dcterms:modified xsi:type="dcterms:W3CDTF">2019-10-11T12:10:00Z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