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1D496A3-3D0F-4FD8-B1CD-EB5A556B2FA5" style="width:450.7pt;height:506.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rStyle w:val="Marker"/>
          <w:noProof/>
        </w:rPr>
      </w:pPr>
      <w:bookmarkStart w:id="0" w:name="_GoBack"/>
      <w:bookmarkEnd w:id="0"/>
      <w:r>
        <w:rPr>
          <w:noProof/>
        </w:rPr>
        <w:lastRenderedPageBreak/>
        <w:t>ZAŁĄCZNIK</w:t>
      </w:r>
    </w:p>
    <w:p>
      <w:pPr>
        <w:rPr>
          <w:noProof/>
        </w:rPr>
      </w:pPr>
    </w:p>
    <w:tbl>
      <w:tblPr>
        <w:tblW w:w="9087" w:type="dxa"/>
        <w:tblInd w:w="93" w:type="dxa"/>
        <w:tblLook w:val="04A0" w:firstRow="1" w:lastRow="0" w:firstColumn="1" w:lastColumn="0" w:noHBand="0" w:noVBand="1"/>
      </w:tblPr>
      <w:tblGrid>
        <w:gridCol w:w="1337"/>
        <w:gridCol w:w="4500"/>
        <w:gridCol w:w="3250"/>
      </w:tblGrid>
      <w:tr>
        <w:trPr>
          <w:cantSplit/>
          <w:trHeight w:val="630"/>
        </w:trPr>
        <w:tc>
          <w:tcPr>
            <w:tcW w:w="1337"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Regulamin nr</w:t>
            </w:r>
          </w:p>
        </w:tc>
        <w:tc>
          <w:tcPr>
            <w:tcW w:w="450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Tytuł punktu porządku obrad</w:t>
            </w:r>
          </w:p>
        </w:tc>
        <w:tc>
          <w:tcPr>
            <w:tcW w:w="325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Numer referencyjny dokumentu</w:t>
            </w:r>
            <w:r>
              <w:rPr>
                <w:rStyle w:val="FootnoteReference"/>
                <w:b/>
                <w:bCs/>
                <w:noProof/>
                <w:sz w:val="20"/>
                <w:szCs w:val="20"/>
              </w:rPr>
              <w:footnoteReference w:id="1"/>
            </w:r>
          </w:p>
        </w:tc>
      </w:tr>
      <w:tr>
        <w:trPr>
          <w:cantSplit/>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0</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Wniosek dotyczący suplementu 1 do pierwotnej wersji regulaminu ONZ nr 0 (IWVTA)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rPr>
            </w:pPr>
            <w:r>
              <w:rPr>
                <w:noProof/>
                <w:sz w:val="20"/>
                <w:szCs w:val="20"/>
              </w:rPr>
              <w:t xml:space="preserve">ECE/TRANS/WP.29/2019/74 </w:t>
            </w:r>
          </w:p>
        </w:tc>
      </w:tr>
      <w:tr>
        <w:trPr>
          <w:cantSplit/>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0</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Wniosek dotyczący suplementu 1 do serii poprawek 01 do regulaminu ONZ nr 0 (IWVTA)</w:t>
            </w:r>
          </w:p>
        </w:tc>
        <w:tc>
          <w:tcPr>
            <w:tcW w:w="3250" w:type="dxa"/>
            <w:tcBorders>
              <w:top w:val="nil"/>
              <w:left w:val="nil"/>
              <w:bottom w:val="single" w:sz="4" w:space="0" w:color="auto"/>
              <w:right w:val="single" w:sz="4" w:space="0" w:color="auto"/>
            </w:tcBorders>
            <w:shd w:val="clear" w:color="auto" w:fill="auto"/>
          </w:tcPr>
          <w:p>
            <w:pPr>
              <w:pStyle w:val="Default"/>
              <w:rPr>
                <w:noProof/>
                <w:sz w:val="20"/>
              </w:rPr>
            </w:pPr>
            <w:r>
              <w:rPr>
                <w:noProof/>
                <w:sz w:val="20"/>
                <w:szCs w:val="20"/>
              </w:rPr>
              <w:t>ECE/TRANS/WP.29/2019/75</w:t>
            </w:r>
          </w:p>
        </w:tc>
      </w:tr>
      <w:tr>
        <w:trPr>
          <w:cantSplit/>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0</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Wniosek dotyczący nowej serii poprawek 02 do regulaminu ONZ nr 0 (IWVTA)</w:t>
            </w:r>
          </w:p>
        </w:tc>
        <w:tc>
          <w:tcPr>
            <w:tcW w:w="325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ECE/TRANS/WP.29/2019/76</w:t>
            </w:r>
          </w:p>
        </w:tc>
      </w:tr>
      <w:tr>
        <w:trPr>
          <w:cantSplit/>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16</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Wniosek dotyczący suplementu 12 do serii poprawek 06 do regulaminu ONZ nr 16 (pasy bezpieczeństwa)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ECE/TRANS/WP.29/2019/104</w:t>
            </w:r>
          </w:p>
        </w:tc>
      </w:tr>
      <w:tr>
        <w:trPr>
          <w:cantSplit/>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16</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Wniosek dotyczący suplementu 5 do serii poprawek 07 do regulaminu ONZ nr 16 (pasy bezpieczeństwa)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ECE/TRANS/WP.29/2019/105</w:t>
            </w:r>
          </w:p>
        </w:tc>
      </w:tr>
      <w:tr>
        <w:trPr>
          <w:cantSplit/>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17</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Wniosek dotyczący sprostowania 1 do serii poprawek 08 do regulaminu ONZ nr 17 (wytrzymałość siedzeń)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ECE/TRANS/WP.29/2019/115</w:t>
            </w:r>
          </w:p>
        </w:tc>
      </w:tr>
      <w:tr>
        <w:trPr>
          <w:cantSplit/>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sprostowania 1 do serii poprawek 09 do regulaminu ONZ nr 17 (wytrzymałość siedzeń)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ECE/TRANS/WP.29/2019/116</w:t>
            </w:r>
          </w:p>
        </w:tc>
      </w:tr>
      <w:tr>
        <w:trPr>
          <w:cantSplit/>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21</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Wniosek dotyczący suplementu 4 do serii poprawek 01 do regulaminu ONZ nr 21 (wyposażenie wnętrza)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ECE/TRANS/WP.29/2019/106</w:t>
            </w:r>
          </w:p>
        </w:tc>
      </w:tr>
      <w:tr>
        <w:trPr>
          <w:cantSplit/>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29</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5 do serii poprawek 03 do regulaminu ONZ nr 29 (kabiny pojazdów użytkowych)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ECE/TRANS/WP.29/2019/107</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43</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Wniosek dotyczący suplementu 9 do serii poprawek 01 do regulaminu ONZ nr 43 (materiały oszklenia bezpiecznego)</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ECE/TRANS/WP.29/2019/95</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44</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17 do serii poprawek 04 do regulaminu ONZ nr 44 (urządzenia przytrzymujące dla dzieci)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ECE/TRANS/WP.29/2019/108</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48</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13 do serii poprawek 06 do regulaminu ONZ nr 48 (instalacja urządzeń oświetleniowych i sygnalizacji świetlnej)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ECE/TRANS/WP.29/2019/84</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53</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Wniosek dotyczący nowej serii poprawek 03 do regulaminu ONZ nr 53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ECE/TRANS/WP.29/2019/80</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3 do serii poprawek 02 do regulaminu ONZ nr 53 (instalacja urządzeń oświetleniowych i sygnalizacji świetlnej w pojazdach kategorii L3)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ECE/TRANS/WP.29/2019/85</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21 do serii poprawek 01 do regulaminu ONZ nr 53 (instalacja urządzeń oświetleniowych i sygnalizacji świetlnej w pojazdach kategorii L3)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ECE/TRANS/WP.29/2019/86</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55</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Wniosek dotyczący suplementu 8 do serii poprawek 01 do regulaminu ONZ nr 55 (sprzęgi mechaniczne)</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ECE/TRANS/WP.29/2019/96</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58</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Wniosek dotyczący suplementu 1 do serii poprawek 03 do regulaminu nr 58 (urządzenia zabezpieczające przed wjechaniem pod tył pojazdu)</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ECE/TRANS/WP.29/2019/97</w:t>
            </w:r>
          </w:p>
        </w:tc>
      </w:tr>
      <w:tr>
        <w:trPr>
          <w:cantSplit/>
          <w:trHeight w:val="705"/>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lastRenderedPageBreak/>
              <w:t>67</w:t>
            </w:r>
          </w:p>
        </w:tc>
        <w:tc>
          <w:tcPr>
            <w:tcW w:w="450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Wniosek dotyczący serii poprawek 03 do regulaminu ONZ nr 67 (pojazdy zasilane LPG)</w:t>
            </w:r>
          </w:p>
        </w:tc>
        <w:tc>
          <w:tcPr>
            <w:tcW w:w="325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ECE/TRANS/WP.29/2019/94</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67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Wniosek dotyczący suplementu 2 do serii poprawek 02 do regulaminu ONZ nr 67 (pojazdy zasilane LPG)</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ECE/TRANS/WP.29/2019/98</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74</w:t>
            </w:r>
          </w:p>
        </w:tc>
        <w:tc>
          <w:tcPr>
            <w:tcW w:w="4500" w:type="dxa"/>
            <w:tcBorders>
              <w:top w:val="nil"/>
              <w:left w:val="nil"/>
              <w:bottom w:val="single" w:sz="4" w:space="0" w:color="auto"/>
              <w:right w:val="single" w:sz="4" w:space="0" w:color="auto"/>
            </w:tcBorders>
            <w:shd w:val="clear" w:color="auto" w:fill="auto"/>
          </w:tcPr>
          <w:p>
            <w:pPr>
              <w:autoSpaceDE w:val="0"/>
              <w:autoSpaceDN w:val="0"/>
              <w:adjustRightInd w:val="0"/>
              <w:spacing w:before="0" w:after="0"/>
              <w:jc w:val="left"/>
              <w:rPr>
                <w:rFonts w:eastAsia="Times New Roman"/>
                <w:noProof/>
                <w:color w:val="000000"/>
                <w:sz w:val="20"/>
                <w:szCs w:val="20"/>
              </w:rPr>
            </w:pPr>
            <w:r>
              <w:rPr>
                <w:noProof/>
                <w:sz w:val="20"/>
                <w:szCs w:val="20"/>
              </w:rPr>
              <w:t xml:space="preserve">Wniosek dotyczący nowej serii poprawek 02 do regulaminu nr 74 (instalacja urządzeń oświetleniowych i sygnalizacji świetlnej w motorowerach)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ECE/TRANS/WP.29/2019/79</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74</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11 do serii poprawek 01 do regulaminu ONZ nr 74 (instalacja urządzeń oświetleniowych i sygnalizacji świetlnej w motorowerach)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ECE/TRANS/WP.29/2019/87</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80</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Wniosek dotyczący serii poprawek 04 do regulaminu nr 80 (wytrzymałość siedzeń oraz ich mocowań (autobusy))</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ECE/TRANS/WP.29/2019/103</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Wniosek dotyczący suplementu 10 do serii poprawek 07 do regulaminu ONZ nr 83 (emisje z pojazdów kategorii M</w:t>
            </w:r>
            <w:r>
              <w:rPr>
                <w:noProof/>
                <w:sz w:val="13"/>
                <w:szCs w:val="13"/>
              </w:rPr>
              <w:t>1</w:t>
            </w:r>
            <w:r>
              <w:rPr>
                <w:noProof/>
              </w:rPr>
              <w:t xml:space="preserve"> </w:t>
            </w:r>
            <w:r>
              <w:rPr>
                <w:noProof/>
                <w:sz w:val="20"/>
                <w:szCs w:val="20"/>
              </w:rPr>
              <w:t>i N</w:t>
            </w:r>
            <w:r>
              <w:rPr>
                <w:noProof/>
                <w:sz w:val="13"/>
                <w:szCs w:val="13"/>
              </w:rPr>
              <w:t>1</w:t>
            </w:r>
            <w:r>
              <w:rPr>
                <w:noProof/>
                <w:sz w:val="20"/>
                <w:szCs w:val="20"/>
              </w:rPr>
              <w:t xml:space="preserv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ECE/TRANS/WP.29/2019/127</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85</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Wniosek dotyczący suplementu 10 do regulaminu ONZ nr 85 (pomiar mocy netto i mocy 30-minutowej)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ECE/TRANS/WP.29/2019/112</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86</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2 do serii poprawek 01 do regulaminu ONZ nr 86 (instalacja urządzeń oświetleniowych i sygnalizacji świetlnej w pojazdach rolniczych)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ECE/TRANS/WP.29/2019/88</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98</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1 do serii poprawek 02 do regulaminu ONZ nr 98 </w:t>
            </w:r>
          </w:p>
          <w:p>
            <w:pPr>
              <w:pStyle w:val="Default"/>
              <w:rPr>
                <w:noProof/>
                <w:sz w:val="20"/>
                <w:szCs w:val="20"/>
              </w:rPr>
            </w:pPr>
            <w:r>
              <w:rPr>
                <w:noProof/>
                <w:sz w:val="20"/>
                <w:szCs w:val="20"/>
              </w:rPr>
              <w:t>(reflektory wyposażone w gazowo-wyładowcze źródła światła)</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ECE/TRANS/WP.29/2019/89</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Wniosek dotyczący suplementu 8 do serii poprawek 06 do regulaminu ONZ nr 107 (pojazdy kategorii M2 i M3)</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ECE/TRANS/WP.29/2019/99</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Wniosek dotyczący suplementu 7 do serii poprawek 07 do regulaminu ONZ nr 107 (pojazdy kategorii M2 i M3)</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ECE/TRANS/WP.29/2019/100</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Wniosek dotyczący suplementu 2 do serii poprawek 08 do regulaminu ONZ nr 107 (pojazdy kategorii M2 i M3)</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ECE/TRANS/WP.29/2019/101</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112</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1 do serii poprawek 02 do regulaminu ONZ nr 112 (reflektory emitujące asymetryczne światło mijania)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ECE/TRANS/WP.29/2019/90</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1 do serii poprawek 03 do regulaminu ONZ nr 113 (reflektory emitujące symetryczne światło mijania)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ECE/TRANS/WP.29/2019/91</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115</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Wniosek dotyczący suplementu 9 do regulaminu ONZ nr 115 (dodatkowe układy zasilania LPG i CNG)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ECE/TRANS/WP.29/2019/113</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116</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Wniosek dotyczący suplementu 7 do regulaminu ONZ nr 116 (systemy zabezpieczające przed kradzieżą i systemy alarmowe)</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ECE/TRANS/WP.29/2019/102</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1 do serii poprawek 02 do regulaminu nr 123 (systemy adaptacyjnego oświetlenia głównego (AFS))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ECE/TRANS/WP.29/2019/92</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3 do serii poprawek 03 do regulaminu ONZ nr 129 (ulepszone urządzenia przytrzymujące dla dzieci)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ECE/TRANS/WP.29/2019/109</w:t>
            </w:r>
          </w:p>
        </w:tc>
      </w:tr>
      <w:tr>
        <w:trPr>
          <w:cantSplit/>
          <w:trHeight w:val="705"/>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135</w:t>
            </w:r>
          </w:p>
        </w:tc>
        <w:tc>
          <w:tcPr>
            <w:tcW w:w="4500" w:type="dxa"/>
            <w:tcBorders>
              <w:top w:val="single" w:sz="4" w:space="0" w:color="auto"/>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2 do pierwotnej wersji regulaminu ONZ nr 135 (uderzenie boczne w słup (PSI)) </w:t>
            </w:r>
          </w:p>
        </w:tc>
        <w:tc>
          <w:tcPr>
            <w:tcW w:w="325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ECE/TRANS/WP.29/2019/110</w:t>
            </w:r>
          </w:p>
        </w:tc>
      </w:tr>
      <w:tr>
        <w:trPr>
          <w:cantSplit/>
          <w:trHeight w:val="705"/>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135</w:t>
            </w:r>
          </w:p>
        </w:tc>
        <w:tc>
          <w:tcPr>
            <w:tcW w:w="4500" w:type="dxa"/>
            <w:tcBorders>
              <w:top w:val="single" w:sz="4" w:space="0" w:color="auto"/>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2 do serii poprawek 01 do regulaminu ONZ nr 135 (uderzenie boczne w słup (PSI)) </w:t>
            </w:r>
          </w:p>
        </w:tc>
        <w:tc>
          <w:tcPr>
            <w:tcW w:w="325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ECE/TRANS/WP.29/2019/111</w:t>
            </w:r>
          </w:p>
        </w:tc>
      </w:tr>
      <w:tr>
        <w:trPr>
          <w:cantSplit/>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148</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1 do pierwotnej wersji regulaminu ONZ nr [148] (urządzenia sygnalizacji świetlnej (LSD))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ECE/TRANS/WP.29/2019/81</w:t>
            </w:r>
          </w:p>
        </w:tc>
      </w:tr>
      <w:tr>
        <w:trPr>
          <w:cantSplit/>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149</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1 do pierwotnej wersji regulaminu ONZ nr [149] (urządzenia oświetlenia dróg (RID))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ECE/TRANS/WP.29/2019/82</w:t>
            </w:r>
          </w:p>
        </w:tc>
      </w:tr>
      <w:tr>
        <w:trPr>
          <w:cantSplit/>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149</w:t>
            </w:r>
          </w:p>
        </w:tc>
        <w:tc>
          <w:tcPr>
            <w:tcW w:w="4500" w:type="dxa"/>
            <w:tcBorders>
              <w:top w:val="single" w:sz="4" w:space="0" w:color="auto"/>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Wniosek dotyczący suplementu 2 do pierwotnej wersji regulaminu ONZ nr [149] (urządzenia oświetlenia dróg (RID)) </w:t>
            </w:r>
          </w:p>
        </w:tc>
        <w:tc>
          <w:tcPr>
            <w:tcW w:w="325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ECE/TRANS/WP.29/2019/125</w:t>
            </w:r>
          </w:p>
        </w:tc>
      </w:tr>
      <w:tr>
        <w:trPr>
          <w:cantSplit/>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150</w:t>
            </w:r>
          </w:p>
        </w:tc>
        <w:tc>
          <w:tcPr>
            <w:tcW w:w="450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Wniosek dotyczący suplementu 1 do pierwotnej wersji regulaminu ONZ nr [150] (urządzenia odblaskowe (RRD)) </w:t>
            </w:r>
          </w:p>
        </w:tc>
        <w:tc>
          <w:tcPr>
            <w:tcW w:w="325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ECE/TRANS/WP.29/2019/83</w:t>
            </w:r>
          </w:p>
        </w:tc>
      </w:tr>
    </w:tbl>
    <w:p>
      <w:pPr>
        <w:pStyle w:val="Default"/>
        <w:rPr>
          <w:rFonts w:eastAsia="MS Mincho"/>
          <w:noProof/>
          <w:color w:val="auto"/>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Ogólne przepisy techniczne nr</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Tytuł punktu porządku obrad</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Numer referencyjny dokumentu</w:t>
            </w:r>
          </w:p>
        </w:tc>
      </w:tr>
      <w:tr>
        <w:trPr>
          <w:trHeight w:val="600"/>
        </w:trPr>
        <w:tc>
          <w:tcPr>
            <w:tcW w:w="1291" w:type="dxa"/>
            <w:shd w:val="clear" w:color="auto" w:fill="auto"/>
          </w:tcPr>
          <w:p>
            <w:pPr>
              <w:rPr>
                <w:noProof/>
                <w:sz w:val="20"/>
                <w:szCs w:val="20"/>
              </w:rPr>
            </w:pPr>
            <w:r>
              <w:rPr>
                <w:noProof/>
                <w:sz w:val="20"/>
                <w:szCs w:val="20"/>
              </w:rPr>
              <w:t>2</w:t>
            </w:r>
          </w:p>
        </w:tc>
        <w:tc>
          <w:tcPr>
            <w:tcW w:w="4678" w:type="dxa"/>
            <w:shd w:val="clear" w:color="auto" w:fill="auto"/>
          </w:tcPr>
          <w:p>
            <w:pPr>
              <w:pStyle w:val="Default"/>
              <w:jc w:val="both"/>
              <w:rPr>
                <w:noProof/>
                <w:sz w:val="20"/>
                <w:szCs w:val="20"/>
              </w:rPr>
            </w:pPr>
            <w:r>
              <w:rPr>
                <w:noProof/>
                <w:sz w:val="20"/>
                <w:szCs w:val="20"/>
              </w:rPr>
              <w:t>Wniosek dotyczący poprawki 4 do ogólnych przepisów technicznych ONZ nr 2 (w sprawie procedury pomiaru dla motocykli dwukołowych wyposażonych w silnik z zapłonem iskrowym lub silnik z zapłonem samoczynnym w odniesieniu do emisji zanieczyszczeń gazowych, emisji CO</w:t>
            </w:r>
            <w:r>
              <w:rPr>
                <w:noProof/>
                <w:sz w:val="20"/>
                <w:szCs w:val="20"/>
                <w:vertAlign w:val="subscript"/>
              </w:rPr>
              <w:t>2</w:t>
            </w:r>
            <w:r>
              <w:rPr>
                <w:noProof/>
                <w:sz w:val="20"/>
                <w:szCs w:val="20"/>
              </w:rPr>
              <w:t xml:space="preserve"> i zużycia paliwa) </w:t>
            </w:r>
          </w:p>
          <w:p>
            <w:pPr>
              <w:pStyle w:val="SingleTxtG"/>
              <w:ind w:left="147" w:right="141"/>
              <w:rPr>
                <w:rFonts w:ascii="Times New Roman" w:hAnsi="Times New Roman" w:cs="Times New Roman"/>
                <w:noProof/>
                <w:sz w:val="20"/>
                <w:szCs w:val="20"/>
              </w:rPr>
            </w:pPr>
          </w:p>
          <w:p>
            <w:pPr>
              <w:pStyle w:val="Default"/>
              <w:jc w:val="both"/>
              <w:rPr>
                <w:noProof/>
                <w:sz w:val="20"/>
                <w:szCs w:val="20"/>
              </w:rPr>
            </w:pPr>
            <w:r>
              <w:rPr>
                <w:noProof/>
                <w:sz w:val="20"/>
                <w:szCs w:val="20"/>
              </w:rPr>
              <w:t>Sprawozdanie techniczne w sprawie opracowania poprawki 4 do ogólnych przepisów technicznych ONZ nr 2 (w sprawie procedury pomiaru dla motocykli dwukołowych wyposażonych w silnik z zapłonem iskrowym lub silnik z zapłonem samoczynnym w odniesieniu do emisji zanieczyszczeń gazowych, emisji CO</w:t>
            </w:r>
            <w:r>
              <w:rPr>
                <w:noProof/>
                <w:sz w:val="20"/>
                <w:szCs w:val="20"/>
                <w:vertAlign w:val="subscript"/>
              </w:rPr>
              <w:t>2</w:t>
            </w:r>
            <w:r>
              <w:rPr>
                <w:noProof/>
                <w:sz w:val="20"/>
                <w:szCs w:val="20"/>
              </w:rPr>
              <w:t xml:space="preserve"> i zużycia paliwa) </w:t>
            </w:r>
          </w:p>
          <w:p>
            <w:pPr>
              <w:pStyle w:val="SingleTxtG"/>
              <w:ind w:left="147" w:right="141"/>
              <w:rPr>
                <w:rFonts w:ascii="Times New Roman" w:hAnsi="Times New Roman" w:cs="Times New Roman"/>
                <w:noProof/>
                <w:sz w:val="20"/>
                <w:szCs w:val="20"/>
              </w:rPr>
            </w:pPr>
          </w:p>
          <w:p>
            <w:pPr>
              <w:pStyle w:val="Default"/>
              <w:rPr>
                <w:noProof/>
                <w:sz w:val="20"/>
              </w:rPr>
            </w:pPr>
            <w:r>
              <w:rPr>
                <w:noProof/>
                <w:sz w:val="20"/>
                <w:szCs w:val="20"/>
              </w:rPr>
              <w:t xml:space="preserve">Upoważnienie do opracowania poprawki 4 do ogólnych przepisów technicznych </w:t>
            </w:r>
          </w:p>
        </w:tc>
        <w:tc>
          <w:tcPr>
            <w:tcW w:w="2977" w:type="dxa"/>
            <w:shd w:val="clear" w:color="auto" w:fill="auto"/>
          </w:tcPr>
          <w:p>
            <w:pPr>
              <w:rPr>
                <w:noProof/>
                <w:sz w:val="20"/>
                <w:szCs w:val="20"/>
              </w:rPr>
            </w:pPr>
            <w:r>
              <w:rPr>
                <w:noProof/>
                <w:sz w:val="20"/>
                <w:szCs w:val="20"/>
              </w:rPr>
              <w:t>ECE/TRANS/WP.29/2019/121</w:t>
            </w:r>
          </w:p>
          <w:p>
            <w:pPr>
              <w:rPr>
                <w:noProof/>
                <w:sz w:val="20"/>
                <w:szCs w:val="20"/>
              </w:rPr>
            </w:pPr>
          </w:p>
          <w:p>
            <w:pPr>
              <w:rPr>
                <w:noProof/>
                <w:sz w:val="20"/>
                <w:szCs w:val="20"/>
              </w:rPr>
            </w:pPr>
          </w:p>
          <w:p>
            <w:pPr>
              <w:rPr>
                <w:noProof/>
                <w:sz w:val="20"/>
                <w:szCs w:val="20"/>
              </w:rPr>
            </w:pPr>
          </w:p>
          <w:p>
            <w:pPr>
              <w:rPr>
                <w:noProof/>
                <w:sz w:val="20"/>
                <w:szCs w:val="20"/>
              </w:rPr>
            </w:pPr>
            <w:r>
              <w:rPr>
                <w:noProof/>
                <w:sz w:val="20"/>
                <w:szCs w:val="20"/>
              </w:rPr>
              <w:t>ECE/TRANS/WP.29/2019/122</w:t>
            </w:r>
          </w:p>
          <w:p>
            <w:pPr>
              <w:rPr>
                <w:noProof/>
                <w:sz w:val="20"/>
                <w:szCs w:val="20"/>
              </w:rPr>
            </w:pPr>
          </w:p>
          <w:p>
            <w:pPr>
              <w:rPr>
                <w:noProof/>
                <w:sz w:val="20"/>
                <w:szCs w:val="20"/>
              </w:rPr>
            </w:pPr>
          </w:p>
          <w:p>
            <w:pPr>
              <w:rPr>
                <w:noProof/>
                <w:sz w:val="20"/>
                <w:szCs w:val="20"/>
              </w:rPr>
            </w:pPr>
          </w:p>
          <w:p>
            <w:pPr>
              <w:rPr>
                <w:noProof/>
                <w:sz w:val="20"/>
                <w:szCs w:val="20"/>
              </w:rPr>
            </w:pPr>
          </w:p>
          <w:p>
            <w:pPr>
              <w:rPr>
                <w:noProof/>
                <w:sz w:val="20"/>
                <w:szCs w:val="20"/>
              </w:rPr>
            </w:pPr>
            <w:r>
              <w:rPr>
                <w:noProof/>
                <w:sz w:val="20"/>
                <w:szCs w:val="20"/>
              </w:rPr>
              <w:t>ECE/TRANS/WP.29/AC.3/36/Rev.1</w:t>
            </w:r>
          </w:p>
        </w:tc>
      </w:tr>
    </w:tbl>
    <w:p>
      <w:pPr>
        <w:pStyle w:val="Default"/>
        <w:rPr>
          <w:rFonts w:eastAsia="MS Mincho"/>
          <w:noProof/>
          <w:color w:val="auto"/>
          <w:sz w:val="20"/>
          <w:szCs w:val="20"/>
        </w:rPr>
      </w:pPr>
      <w:r>
        <w:rPr>
          <w:noProof/>
          <w:sz w:val="20"/>
          <w:szCs w:val="20"/>
        </w:rPr>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Rezolucja nr</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Tytuł punktu porządku obrad</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Numer referencyjny dokumentu</w:t>
            </w:r>
          </w:p>
        </w:tc>
      </w:tr>
      <w:tr>
        <w:trPr>
          <w:trHeight w:val="600"/>
        </w:trPr>
        <w:tc>
          <w:tcPr>
            <w:tcW w:w="1291" w:type="dxa"/>
            <w:shd w:val="clear" w:color="auto" w:fill="auto"/>
          </w:tcPr>
          <w:p>
            <w:pPr>
              <w:rPr>
                <w:noProof/>
                <w:sz w:val="20"/>
                <w:szCs w:val="20"/>
              </w:rPr>
            </w:pPr>
            <w:r>
              <w:rPr>
                <w:noProof/>
                <w:sz w:val="20"/>
                <w:szCs w:val="20"/>
              </w:rPr>
              <w:t>R.E.3</w:t>
            </w:r>
          </w:p>
        </w:tc>
        <w:tc>
          <w:tcPr>
            <w:tcW w:w="4678" w:type="dxa"/>
            <w:shd w:val="clear" w:color="auto" w:fill="auto"/>
          </w:tcPr>
          <w:p>
            <w:pPr>
              <w:pStyle w:val="Default"/>
              <w:jc w:val="both"/>
              <w:rPr>
                <w:noProof/>
                <w:sz w:val="20"/>
                <w:szCs w:val="20"/>
              </w:rPr>
            </w:pPr>
            <w:r>
              <w:rPr>
                <w:noProof/>
                <w:sz w:val="20"/>
                <w:szCs w:val="20"/>
              </w:rPr>
              <w:t>Wniosek dotyczący poprawki do ujednoliconej rezolucji w sprawie budowy pojazdów (R.E.3)</w:t>
            </w:r>
          </w:p>
        </w:tc>
        <w:tc>
          <w:tcPr>
            <w:tcW w:w="2977" w:type="dxa"/>
            <w:shd w:val="clear" w:color="auto" w:fill="auto"/>
          </w:tcPr>
          <w:p>
            <w:pPr>
              <w:rPr>
                <w:noProof/>
                <w:sz w:val="20"/>
                <w:szCs w:val="20"/>
              </w:rPr>
            </w:pPr>
            <w:r>
              <w:rPr>
                <w:noProof/>
                <w:sz w:val="20"/>
                <w:szCs w:val="20"/>
              </w:rPr>
              <w:t>ECE/TRANS/WP.29/2019/117</w:t>
            </w:r>
          </w:p>
        </w:tc>
      </w:tr>
      <w:tr>
        <w:trPr>
          <w:trHeight w:val="600"/>
        </w:trPr>
        <w:tc>
          <w:tcPr>
            <w:tcW w:w="1291" w:type="dxa"/>
            <w:shd w:val="clear" w:color="auto" w:fill="auto"/>
          </w:tcPr>
          <w:p>
            <w:pPr>
              <w:rPr>
                <w:noProof/>
                <w:sz w:val="20"/>
                <w:szCs w:val="20"/>
              </w:rPr>
            </w:pPr>
            <w:r>
              <w:rPr>
                <w:noProof/>
                <w:sz w:val="20"/>
                <w:szCs w:val="20"/>
              </w:rPr>
              <w:t>R.E.3</w:t>
            </w:r>
          </w:p>
        </w:tc>
        <w:tc>
          <w:tcPr>
            <w:tcW w:w="4678" w:type="dxa"/>
            <w:shd w:val="clear" w:color="auto" w:fill="auto"/>
          </w:tcPr>
          <w:p>
            <w:pPr>
              <w:pStyle w:val="Default"/>
              <w:rPr>
                <w:rFonts w:eastAsiaTheme="minorHAnsi"/>
                <w:noProof/>
                <w:color w:val="auto"/>
                <w:sz w:val="20"/>
                <w:szCs w:val="20"/>
              </w:rPr>
            </w:pPr>
            <w:r>
              <w:rPr>
                <w:noProof/>
                <w:sz w:val="20"/>
                <w:szCs w:val="20"/>
              </w:rPr>
              <w:t xml:space="preserve">Wniosek dotyczący poprawki do załącznika IV do ujednoliconej rezolucji w sprawie budowy pojazdów (R.E.3) </w:t>
            </w:r>
          </w:p>
        </w:tc>
        <w:tc>
          <w:tcPr>
            <w:tcW w:w="2977" w:type="dxa"/>
            <w:shd w:val="clear" w:color="auto" w:fill="auto"/>
          </w:tcPr>
          <w:p>
            <w:pPr>
              <w:rPr>
                <w:noProof/>
                <w:sz w:val="20"/>
                <w:szCs w:val="20"/>
              </w:rPr>
            </w:pPr>
            <w:r>
              <w:rPr>
                <w:noProof/>
                <w:sz w:val="20"/>
                <w:szCs w:val="20"/>
              </w:rPr>
              <w:t>ECE/TRANS/WP.29/2019/118,</w:t>
            </w:r>
          </w:p>
          <w:p>
            <w:pPr>
              <w:rPr>
                <w:noProof/>
                <w:sz w:val="20"/>
                <w:szCs w:val="20"/>
              </w:rPr>
            </w:pPr>
            <w:r>
              <w:rPr>
                <w:noProof/>
                <w:sz w:val="20"/>
                <w:szCs w:val="20"/>
              </w:rPr>
              <w:t>WP.29-179-06</w:t>
            </w:r>
          </w:p>
        </w:tc>
      </w:tr>
      <w:tr>
        <w:trPr>
          <w:trHeight w:val="600"/>
        </w:trPr>
        <w:tc>
          <w:tcPr>
            <w:tcW w:w="1291" w:type="dxa"/>
            <w:shd w:val="clear" w:color="auto" w:fill="auto"/>
          </w:tcPr>
          <w:p>
            <w:pPr>
              <w:rPr>
                <w:noProof/>
                <w:sz w:val="20"/>
                <w:szCs w:val="20"/>
              </w:rPr>
            </w:pPr>
            <w:r>
              <w:rPr>
                <w:noProof/>
                <w:sz w:val="20"/>
                <w:szCs w:val="20"/>
              </w:rPr>
              <w:t>R.E.5</w:t>
            </w:r>
          </w:p>
        </w:tc>
        <w:tc>
          <w:tcPr>
            <w:tcW w:w="4678" w:type="dxa"/>
            <w:shd w:val="clear" w:color="auto" w:fill="auto"/>
          </w:tcPr>
          <w:p>
            <w:pPr>
              <w:pStyle w:val="Default"/>
              <w:jc w:val="both"/>
              <w:rPr>
                <w:noProof/>
                <w:sz w:val="20"/>
                <w:szCs w:val="20"/>
              </w:rPr>
            </w:pPr>
            <w:r>
              <w:rPr>
                <w:noProof/>
                <w:sz w:val="20"/>
                <w:szCs w:val="20"/>
              </w:rPr>
              <w:t xml:space="preserve">Wniosek dotyczący poprawki 4 do ujednoliconej rezolucji w sprawie wspólnej specyfikacji kategorii źródeł światła (R.E.5) </w:t>
            </w:r>
          </w:p>
        </w:tc>
        <w:tc>
          <w:tcPr>
            <w:tcW w:w="2977" w:type="dxa"/>
            <w:shd w:val="clear" w:color="auto" w:fill="auto"/>
          </w:tcPr>
          <w:p>
            <w:pPr>
              <w:rPr>
                <w:noProof/>
                <w:sz w:val="20"/>
                <w:szCs w:val="20"/>
              </w:rPr>
            </w:pPr>
            <w:r>
              <w:rPr>
                <w:noProof/>
                <w:sz w:val="20"/>
                <w:szCs w:val="20"/>
              </w:rPr>
              <w:t>ECE/TRANS/WP.29/2019/126</w:t>
            </w:r>
          </w:p>
        </w:tc>
      </w:tr>
      <w:tr>
        <w:trPr>
          <w:trHeight w:val="600"/>
        </w:trPr>
        <w:tc>
          <w:tcPr>
            <w:tcW w:w="1291" w:type="dxa"/>
            <w:shd w:val="clear" w:color="auto" w:fill="auto"/>
          </w:tcPr>
          <w:p>
            <w:pPr>
              <w:rPr>
                <w:noProof/>
                <w:sz w:val="20"/>
                <w:szCs w:val="20"/>
              </w:rPr>
            </w:pPr>
            <w:r>
              <w:rPr>
                <w:noProof/>
                <w:sz w:val="20"/>
                <w:szCs w:val="20"/>
              </w:rPr>
              <w:t>MR.1</w:t>
            </w:r>
          </w:p>
        </w:tc>
        <w:tc>
          <w:tcPr>
            <w:tcW w:w="4678" w:type="dxa"/>
            <w:shd w:val="clear" w:color="auto" w:fill="auto"/>
          </w:tcPr>
          <w:p>
            <w:pPr>
              <w:pStyle w:val="Default"/>
              <w:jc w:val="both"/>
              <w:rPr>
                <w:noProof/>
                <w:sz w:val="20"/>
                <w:szCs w:val="20"/>
              </w:rPr>
            </w:pPr>
            <w:r>
              <w:rPr>
                <w:noProof/>
                <w:sz w:val="20"/>
                <w:szCs w:val="20"/>
              </w:rPr>
              <w:t xml:space="preserve">Wniosek dotyczący poprawki 2 do wzajemnej rezolucji nr 1 (MR.1) – projekt addendum 3 </w:t>
            </w:r>
          </w:p>
        </w:tc>
        <w:tc>
          <w:tcPr>
            <w:tcW w:w="2977" w:type="dxa"/>
            <w:shd w:val="clear" w:color="auto" w:fill="auto"/>
          </w:tcPr>
          <w:p>
            <w:pPr>
              <w:rPr>
                <w:noProof/>
                <w:sz w:val="20"/>
                <w:szCs w:val="20"/>
              </w:rPr>
            </w:pPr>
            <w:r>
              <w:rPr>
                <w:noProof/>
                <w:sz w:val="20"/>
                <w:szCs w:val="20"/>
              </w:rPr>
              <w:t>ECE/TRANS/WP.29/2019/119</w:t>
            </w:r>
          </w:p>
        </w:tc>
      </w:tr>
    </w:tbl>
    <w:p>
      <w:pPr>
        <w:rPr>
          <w:noProof/>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cantSplit/>
          <w:trHeight w:val="465"/>
        </w:trPr>
        <w:tc>
          <w:tcPr>
            <w:tcW w:w="1291" w:type="dxa"/>
            <w:shd w:val="clear" w:color="auto" w:fill="auto"/>
            <w:hideMark/>
          </w:tcPr>
          <w:p>
            <w:pPr>
              <w:keepNext/>
              <w:spacing w:before="0" w:after="0"/>
              <w:jc w:val="left"/>
              <w:rPr>
                <w:rFonts w:eastAsia="Times New Roman"/>
                <w:b/>
                <w:bCs/>
                <w:noProof/>
                <w:sz w:val="20"/>
                <w:szCs w:val="20"/>
              </w:rPr>
            </w:pPr>
            <w:r>
              <w:rPr>
                <w:b/>
                <w:bCs/>
                <w:noProof/>
                <w:sz w:val="20"/>
                <w:szCs w:val="20"/>
              </w:rPr>
              <w:t>Różne</w:t>
            </w:r>
          </w:p>
        </w:tc>
        <w:tc>
          <w:tcPr>
            <w:tcW w:w="4678" w:type="dxa"/>
            <w:shd w:val="clear" w:color="auto" w:fill="auto"/>
            <w:hideMark/>
          </w:tcPr>
          <w:p>
            <w:pPr>
              <w:keepNext/>
              <w:spacing w:before="0" w:after="0"/>
              <w:jc w:val="left"/>
              <w:rPr>
                <w:rFonts w:eastAsia="Times New Roman"/>
                <w:b/>
                <w:bCs/>
                <w:noProof/>
                <w:sz w:val="20"/>
                <w:szCs w:val="20"/>
              </w:rPr>
            </w:pPr>
            <w:r>
              <w:rPr>
                <w:b/>
                <w:bCs/>
                <w:noProof/>
                <w:sz w:val="20"/>
                <w:szCs w:val="20"/>
              </w:rPr>
              <w:t>Tytuł punktu porządku obrad</w:t>
            </w:r>
          </w:p>
        </w:tc>
        <w:tc>
          <w:tcPr>
            <w:tcW w:w="2977" w:type="dxa"/>
            <w:shd w:val="clear" w:color="auto" w:fill="auto"/>
            <w:hideMark/>
          </w:tcPr>
          <w:p>
            <w:pPr>
              <w:keepNext/>
              <w:spacing w:before="0" w:after="0"/>
              <w:jc w:val="left"/>
              <w:rPr>
                <w:rFonts w:eastAsia="Times New Roman"/>
                <w:b/>
                <w:bCs/>
                <w:noProof/>
                <w:sz w:val="20"/>
                <w:szCs w:val="20"/>
              </w:rPr>
            </w:pPr>
            <w:r>
              <w:rPr>
                <w:b/>
                <w:bCs/>
                <w:noProof/>
                <w:sz w:val="20"/>
                <w:szCs w:val="20"/>
              </w:rPr>
              <w:t>Numer referencyjny dokumentu</w:t>
            </w:r>
          </w:p>
        </w:tc>
      </w:tr>
      <w:tr>
        <w:trPr>
          <w:cantSplit/>
          <w:trHeight w:val="600"/>
        </w:trPr>
        <w:tc>
          <w:tcPr>
            <w:tcW w:w="1291" w:type="dxa"/>
            <w:shd w:val="clear" w:color="auto" w:fill="auto"/>
          </w:tcPr>
          <w:p>
            <w:pPr>
              <w:keepNext/>
              <w:rPr>
                <w:noProof/>
                <w:sz w:val="20"/>
                <w:szCs w:val="20"/>
              </w:rPr>
            </w:pPr>
          </w:p>
        </w:tc>
        <w:tc>
          <w:tcPr>
            <w:tcW w:w="4678" w:type="dxa"/>
            <w:shd w:val="clear" w:color="auto" w:fill="auto"/>
          </w:tcPr>
          <w:p>
            <w:pPr>
              <w:pStyle w:val="Default"/>
              <w:keepNext/>
              <w:jc w:val="both"/>
              <w:rPr>
                <w:noProof/>
                <w:sz w:val="20"/>
              </w:rPr>
            </w:pPr>
            <w:r>
              <w:rPr>
                <w:noProof/>
                <w:sz w:val="20"/>
                <w:szCs w:val="20"/>
              </w:rPr>
              <w:t xml:space="preserve">Wniosek o zezwolenie na opracowanie poprawki do ogólnych przepisów technicznych ONZ nr 6 </w:t>
            </w:r>
          </w:p>
        </w:tc>
        <w:tc>
          <w:tcPr>
            <w:tcW w:w="2977" w:type="dxa"/>
            <w:shd w:val="clear" w:color="auto" w:fill="auto"/>
          </w:tcPr>
          <w:p>
            <w:pPr>
              <w:keepNext/>
              <w:rPr>
                <w:noProof/>
                <w:sz w:val="20"/>
                <w:szCs w:val="20"/>
              </w:rPr>
            </w:pPr>
            <w:r>
              <w:rPr>
                <w:noProof/>
                <w:sz w:val="20"/>
                <w:szCs w:val="20"/>
              </w:rPr>
              <w:t>ECE/TRANS/WP.29/2019/123</w:t>
            </w:r>
          </w:p>
        </w:tc>
      </w:tr>
      <w:tr>
        <w:trPr>
          <w:cantSplit/>
          <w:trHeight w:val="600"/>
        </w:trPr>
        <w:tc>
          <w:tcPr>
            <w:tcW w:w="1291" w:type="dxa"/>
            <w:shd w:val="clear" w:color="auto" w:fill="auto"/>
          </w:tcPr>
          <w:p>
            <w:pPr>
              <w:keepNext/>
              <w:rPr>
                <w:noProof/>
                <w:sz w:val="20"/>
                <w:szCs w:val="20"/>
              </w:rPr>
            </w:pPr>
          </w:p>
        </w:tc>
        <w:tc>
          <w:tcPr>
            <w:tcW w:w="4678" w:type="dxa"/>
            <w:shd w:val="clear" w:color="auto" w:fill="auto"/>
          </w:tcPr>
          <w:p>
            <w:pPr>
              <w:pStyle w:val="Default"/>
              <w:keepNext/>
              <w:jc w:val="both"/>
              <w:rPr>
                <w:noProof/>
                <w:sz w:val="20"/>
                <w:szCs w:val="22"/>
              </w:rPr>
            </w:pPr>
            <w:r>
              <w:rPr>
                <w:noProof/>
                <w:sz w:val="20"/>
                <w:szCs w:val="20"/>
              </w:rPr>
              <w:t>Wniosek dotyczący rewizji 1 upoważnienia do opracowania nowych ogólnych przepisów technicznych ONZ w sprawie określania mocy pojazdu z napędem elektrycznym (DEVP)</w:t>
            </w:r>
          </w:p>
        </w:tc>
        <w:tc>
          <w:tcPr>
            <w:tcW w:w="2977" w:type="dxa"/>
            <w:shd w:val="clear" w:color="auto" w:fill="auto"/>
          </w:tcPr>
          <w:p>
            <w:pPr>
              <w:keepNext/>
              <w:rPr>
                <w:noProof/>
                <w:sz w:val="20"/>
                <w:szCs w:val="20"/>
              </w:rPr>
            </w:pPr>
            <w:r>
              <w:rPr>
                <w:noProof/>
                <w:sz w:val="20"/>
                <w:szCs w:val="20"/>
              </w:rPr>
              <w:t>ECE/TRANS/WP.29/2019/124</w:t>
            </w: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r>
      <w:r>
        <w:rPr>
          <w:sz w:val="18"/>
        </w:rPr>
        <w:t xml:space="preserve">Wszystkie dokumenty, o których mowa w tabeli, są dostępne pod adresem: </w:t>
      </w:r>
    </w:p>
    <w:p>
      <w:pPr>
        <w:pStyle w:val="FootnoteText"/>
        <w:rPr>
          <w:sz w:val="18"/>
        </w:rPr>
      </w:pPr>
      <w:hyperlink r:id="rId1" w:history="1">
        <w:r>
          <w:rPr>
            <w:rStyle w:val="Hyperlink"/>
            <w:sz w:val="18"/>
          </w:rPr>
          <w:t>http://www.unece.org/trans/main/wp29/wp29wgs/wp29gen/gen2019.html</w:t>
        </w:r>
      </w:hyperlink>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20"/>
  </w:num>
  <w:num w:numId="12">
    <w:abstractNumId w:val="14"/>
  </w:num>
  <w:num w:numId="13">
    <w:abstractNumId w:val="22"/>
  </w:num>
  <w:num w:numId="14">
    <w:abstractNumId w:val="13"/>
  </w:num>
  <w:num w:numId="15">
    <w:abstractNumId w:val="15"/>
  </w:num>
  <w:num w:numId="16">
    <w:abstractNumId w:val="11"/>
  </w:num>
  <w:num w:numId="17">
    <w:abstractNumId w:val="21"/>
  </w:num>
  <w:num w:numId="18">
    <w:abstractNumId w:val="10"/>
  </w:num>
  <w:num w:numId="19">
    <w:abstractNumId w:val="16"/>
  </w:num>
  <w:num w:numId="20">
    <w:abstractNumId w:val="18"/>
  </w:num>
  <w:num w:numId="21">
    <w:abstractNumId w:val="19"/>
  </w:num>
  <w:num w:numId="22">
    <w:abstractNumId w:val="12"/>
  </w:num>
  <w:num w:numId="23">
    <w:abstractNumId w:val="17"/>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2150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14:11:0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2"/>
    <w:docVar w:name="DQCStatus" w:val="Green"/>
    <w:docVar w:name="DQCVersion" w:val="3"/>
    <w:docVar w:name="DQCWithWarnings" w:val="0"/>
    <w:docVar w:name="LW_ACCOMPAGNANT" w:val="do"/>
    <w:docVar w:name="LW_ACCOMPAGNANT.CP" w:val="do"/>
    <w:docVar w:name="LW_ANNEX_NBR_FIRST" w:val="1"/>
    <w:docVar w:name="LW_ANNEX_NBR_LAST" w:val="1"/>
    <w:docVar w:name="LW_ANNEX_UNIQUE" w:val="1"/>
    <w:docVar w:name="LW_CORRIGENDUM" w:val="&lt;UNUSED&gt;"/>
    <w:docVar w:name="LW_COVERPAGE_EXISTS" w:val="True"/>
    <w:docVar w:name="LW_COVERPAGE_GUID" w:val="21D496A3-3D0F-4FD8-B1CD-EB5A556B2FA5"/>
    <w:docVar w:name="LW_COVERPAGE_TYPE" w:val="1"/>
    <w:docVar w:name="LW_CROSSREFERENCE" w:val="&lt;UNUSED&gt;"/>
    <w:docVar w:name="LW_DocType" w:val="ANNEX"/>
    <w:docVar w:name="LW_EMISSION" w:val="11.10.2019"/>
    <w:docVar w:name="LW_EMISSION_ISODATE" w:val="2019-10-11"/>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w sprawie stanowiska, jakie ma zosta\u263? zaj\u281?te w imieniu Unii Europejskiej w odpowiednich komitetach Europejskiej Komisji Gospodarczej Organizacji Narodów Zjednoczonych w odniesieniu do wniosków dotycz\u261?cych modyfikacji regulaminów ONZ nr  0, 16, 17, 21, 29, 43, 44, 48, 53, 55, 58, 67, 74, 80, 83, 85, 86, 98, 107, 112, 113, 115, 116, 123, 129, 135, 148, 149 i 150, w odniesieniu do wniosków dotycz\u261?cych poprawek do ogólnych przepisów technicznych nr 2, w odniesieniu do wniosku dotycz\u261?cego poprawek do wzajemnej rezolucji MR.1, w odniesieniu do wniosków dotycz\u261?cych poprawek do ujednoliconych rezolucji R.E.3 i R.E.5, a tak\u380?e w odniesieniu do wniosków dotycz\u261?cych upowa\u380?nie\u324? do opracowania poprawek do ogólnych przepisów technicznych nr 6 oraz do opracowania nowych ogólnych przepisów technicznych w sprawie okre\u347?lania mocy pojazdu z nap\u281?dem elektrycznym (DEVP)"/>
    <w:docVar w:name="LW_OBJETACTEPRINCIPAL.CP" w:val="w sprawie stanowiska, jakie ma zosta\u263? zaj\u281?te w imieniu Unii Europejskiej w odpowiednich komitetach Europejskiej Komisji Gospodarczej Organizacji Narodów Zjednoczonych w odniesieniu do wniosków dotycz\u261?cych modyfikacji regulaminów ONZ nr  0, 16, 17, 21, 29, 43, 44, 48, 53, 55, 58, 67, 74, 80, 83, 85, 86, 98, 107, 112, 113, 115, 116, 123, 129, 135, 148, 149 i 150, w odniesieniu do wniosków dotycz\u261?cych poprawek do ogólnych przepisów technicznych nr 2, w odniesieniu do wniosku dotycz\u261?cego poprawek do wzajemnej rezolucji MR.1, w odniesieniu do wniosków dotycz\u261?cych poprawek do ujednoliconych rezolucji R.E.3 i R.E.5, a tak\u380?e w odniesieniu do wniosków dotycz\u261?cych upowa\u380?nie\u324? do opracowania poprawek do ogólnych przepisów technicznych nr 6 oraz do opracowania nowych ogólnych przepisów technicznych w sprawie okre\u347?lania mocy pojazdu z nap\u281?dem elektrycznym (DEVP)"/>
    <w:docVar w:name="LW_PART_NBR" w:val="1"/>
    <w:docVar w:name="LW_PART_NBR_TOTAL" w:val="1"/>
    <w:docVar w:name="LW_REF.INST.NEW" w:val="COM"/>
    <w:docVar w:name="LW_REF.INST.NEW_ADOPTED" w:val="final"/>
    <w:docVar w:name="LW_REF.INST.NEW_TEXT" w:val="(2019) 4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ZA\u321?\u260?CZNIK"/>
    <w:docVar w:name="LW_TYPE.DOC.CP" w:val="ZA\u321?\u260?CZNIK"/>
    <w:docVar w:name="LW_TYPEACTEPRINCIPAL" w:val="wniosku dotycz\u261?cego decyzji Rady"/>
    <w:docVar w:name="LW_TYPEACTEPRINCIPAL.CP" w:val="wniosku dotycz\u261?cego decyzj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pl-PL"/>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pl-PL"/>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111828688">
      <w:bodyDiv w:val="1"/>
      <w:marLeft w:val="0"/>
      <w:marRight w:val="0"/>
      <w:marTop w:val="0"/>
      <w:marBottom w:val="0"/>
      <w:divBdr>
        <w:top w:val="none" w:sz="0" w:space="0" w:color="auto"/>
        <w:left w:val="none" w:sz="0" w:space="0" w:color="auto"/>
        <w:bottom w:val="none" w:sz="0" w:space="0" w:color="auto"/>
        <w:right w:val="none" w:sz="0" w:space="0" w:color="auto"/>
      </w:divBdr>
    </w:div>
    <w:div w:id="138503308">
      <w:bodyDiv w:val="1"/>
      <w:marLeft w:val="0"/>
      <w:marRight w:val="0"/>
      <w:marTop w:val="0"/>
      <w:marBottom w:val="0"/>
      <w:divBdr>
        <w:top w:val="none" w:sz="0" w:space="0" w:color="auto"/>
        <w:left w:val="none" w:sz="0" w:space="0" w:color="auto"/>
        <w:bottom w:val="none" w:sz="0" w:space="0" w:color="auto"/>
        <w:right w:val="none" w:sz="0" w:space="0" w:color="auto"/>
      </w:divBdr>
    </w:div>
    <w:div w:id="142505270">
      <w:bodyDiv w:val="1"/>
      <w:marLeft w:val="0"/>
      <w:marRight w:val="0"/>
      <w:marTop w:val="0"/>
      <w:marBottom w:val="0"/>
      <w:divBdr>
        <w:top w:val="none" w:sz="0" w:space="0" w:color="auto"/>
        <w:left w:val="none" w:sz="0" w:space="0" w:color="auto"/>
        <w:bottom w:val="none" w:sz="0" w:space="0" w:color="auto"/>
        <w:right w:val="none" w:sz="0" w:space="0" w:color="auto"/>
      </w:divBdr>
    </w:div>
    <w:div w:id="170341956">
      <w:bodyDiv w:val="1"/>
      <w:marLeft w:val="0"/>
      <w:marRight w:val="0"/>
      <w:marTop w:val="0"/>
      <w:marBottom w:val="0"/>
      <w:divBdr>
        <w:top w:val="none" w:sz="0" w:space="0" w:color="auto"/>
        <w:left w:val="none" w:sz="0" w:space="0" w:color="auto"/>
        <w:bottom w:val="none" w:sz="0" w:space="0" w:color="auto"/>
        <w:right w:val="none" w:sz="0" w:space="0" w:color="auto"/>
      </w:divBdr>
    </w:div>
    <w:div w:id="184170899">
      <w:bodyDiv w:val="1"/>
      <w:marLeft w:val="0"/>
      <w:marRight w:val="0"/>
      <w:marTop w:val="0"/>
      <w:marBottom w:val="0"/>
      <w:divBdr>
        <w:top w:val="none" w:sz="0" w:space="0" w:color="auto"/>
        <w:left w:val="none" w:sz="0" w:space="0" w:color="auto"/>
        <w:bottom w:val="none" w:sz="0" w:space="0" w:color="auto"/>
        <w:right w:val="none" w:sz="0" w:space="0" w:color="auto"/>
      </w:divBdr>
    </w:div>
    <w:div w:id="201290352">
      <w:bodyDiv w:val="1"/>
      <w:marLeft w:val="0"/>
      <w:marRight w:val="0"/>
      <w:marTop w:val="0"/>
      <w:marBottom w:val="0"/>
      <w:divBdr>
        <w:top w:val="none" w:sz="0" w:space="0" w:color="auto"/>
        <w:left w:val="none" w:sz="0" w:space="0" w:color="auto"/>
        <w:bottom w:val="none" w:sz="0" w:space="0" w:color="auto"/>
        <w:right w:val="none" w:sz="0" w:space="0" w:color="auto"/>
      </w:divBdr>
    </w:div>
    <w:div w:id="238174989">
      <w:bodyDiv w:val="1"/>
      <w:marLeft w:val="0"/>
      <w:marRight w:val="0"/>
      <w:marTop w:val="0"/>
      <w:marBottom w:val="0"/>
      <w:divBdr>
        <w:top w:val="none" w:sz="0" w:space="0" w:color="auto"/>
        <w:left w:val="none" w:sz="0" w:space="0" w:color="auto"/>
        <w:bottom w:val="none" w:sz="0" w:space="0" w:color="auto"/>
        <w:right w:val="none" w:sz="0" w:space="0" w:color="auto"/>
      </w:divBdr>
    </w:div>
    <w:div w:id="343676691">
      <w:bodyDiv w:val="1"/>
      <w:marLeft w:val="0"/>
      <w:marRight w:val="0"/>
      <w:marTop w:val="0"/>
      <w:marBottom w:val="0"/>
      <w:divBdr>
        <w:top w:val="none" w:sz="0" w:space="0" w:color="auto"/>
        <w:left w:val="none" w:sz="0" w:space="0" w:color="auto"/>
        <w:bottom w:val="none" w:sz="0" w:space="0" w:color="auto"/>
        <w:right w:val="none" w:sz="0" w:space="0" w:color="auto"/>
      </w:divBdr>
    </w:div>
    <w:div w:id="374044499">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504365913">
      <w:bodyDiv w:val="1"/>
      <w:marLeft w:val="0"/>
      <w:marRight w:val="0"/>
      <w:marTop w:val="0"/>
      <w:marBottom w:val="0"/>
      <w:divBdr>
        <w:top w:val="none" w:sz="0" w:space="0" w:color="auto"/>
        <w:left w:val="none" w:sz="0" w:space="0" w:color="auto"/>
        <w:bottom w:val="none" w:sz="0" w:space="0" w:color="auto"/>
        <w:right w:val="none" w:sz="0" w:space="0" w:color="auto"/>
      </w:divBdr>
    </w:div>
    <w:div w:id="516386169">
      <w:bodyDiv w:val="1"/>
      <w:marLeft w:val="0"/>
      <w:marRight w:val="0"/>
      <w:marTop w:val="0"/>
      <w:marBottom w:val="0"/>
      <w:divBdr>
        <w:top w:val="none" w:sz="0" w:space="0" w:color="auto"/>
        <w:left w:val="none" w:sz="0" w:space="0" w:color="auto"/>
        <w:bottom w:val="none" w:sz="0" w:space="0" w:color="auto"/>
        <w:right w:val="none" w:sz="0" w:space="0" w:color="auto"/>
      </w:divBdr>
    </w:div>
    <w:div w:id="573007855">
      <w:bodyDiv w:val="1"/>
      <w:marLeft w:val="0"/>
      <w:marRight w:val="0"/>
      <w:marTop w:val="0"/>
      <w:marBottom w:val="0"/>
      <w:divBdr>
        <w:top w:val="none" w:sz="0" w:space="0" w:color="auto"/>
        <w:left w:val="none" w:sz="0" w:space="0" w:color="auto"/>
        <w:bottom w:val="none" w:sz="0" w:space="0" w:color="auto"/>
        <w:right w:val="none" w:sz="0" w:space="0" w:color="auto"/>
      </w:divBdr>
    </w:div>
    <w:div w:id="640967684">
      <w:bodyDiv w:val="1"/>
      <w:marLeft w:val="0"/>
      <w:marRight w:val="0"/>
      <w:marTop w:val="0"/>
      <w:marBottom w:val="0"/>
      <w:divBdr>
        <w:top w:val="none" w:sz="0" w:space="0" w:color="auto"/>
        <w:left w:val="none" w:sz="0" w:space="0" w:color="auto"/>
        <w:bottom w:val="none" w:sz="0" w:space="0" w:color="auto"/>
        <w:right w:val="none" w:sz="0" w:space="0" w:color="auto"/>
      </w:divBdr>
    </w:div>
    <w:div w:id="681979674">
      <w:bodyDiv w:val="1"/>
      <w:marLeft w:val="0"/>
      <w:marRight w:val="0"/>
      <w:marTop w:val="0"/>
      <w:marBottom w:val="0"/>
      <w:divBdr>
        <w:top w:val="none" w:sz="0" w:space="0" w:color="auto"/>
        <w:left w:val="none" w:sz="0" w:space="0" w:color="auto"/>
        <w:bottom w:val="none" w:sz="0" w:space="0" w:color="auto"/>
        <w:right w:val="none" w:sz="0" w:space="0" w:color="auto"/>
      </w:divBdr>
    </w:div>
    <w:div w:id="684404924">
      <w:bodyDiv w:val="1"/>
      <w:marLeft w:val="0"/>
      <w:marRight w:val="0"/>
      <w:marTop w:val="0"/>
      <w:marBottom w:val="0"/>
      <w:divBdr>
        <w:top w:val="none" w:sz="0" w:space="0" w:color="auto"/>
        <w:left w:val="none" w:sz="0" w:space="0" w:color="auto"/>
        <w:bottom w:val="none" w:sz="0" w:space="0" w:color="auto"/>
        <w:right w:val="none" w:sz="0" w:space="0" w:color="auto"/>
      </w:divBdr>
    </w:div>
    <w:div w:id="855772137">
      <w:bodyDiv w:val="1"/>
      <w:marLeft w:val="0"/>
      <w:marRight w:val="0"/>
      <w:marTop w:val="0"/>
      <w:marBottom w:val="0"/>
      <w:divBdr>
        <w:top w:val="none" w:sz="0" w:space="0" w:color="auto"/>
        <w:left w:val="none" w:sz="0" w:space="0" w:color="auto"/>
        <w:bottom w:val="none" w:sz="0" w:space="0" w:color="auto"/>
        <w:right w:val="none" w:sz="0" w:space="0" w:color="auto"/>
      </w:divBdr>
    </w:div>
    <w:div w:id="901910588">
      <w:bodyDiv w:val="1"/>
      <w:marLeft w:val="0"/>
      <w:marRight w:val="0"/>
      <w:marTop w:val="0"/>
      <w:marBottom w:val="0"/>
      <w:divBdr>
        <w:top w:val="none" w:sz="0" w:space="0" w:color="auto"/>
        <w:left w:val="none" w:sz="0" w:space="0" w:color="auto"/>
        <w:bottom w:val="none" w:sz="0" w:space="0" w:color="auto"/>
        <w:right w:val="none" w:sz="0" w:space="0" w:color="auto"/>
      </w:divBdr>
    </w:div>
    <w:div w:id="969825675">
      <w:bodyDiv w:val="1"/>
      <w:marLeft w:val="0"/>
      <w:marRight w:val="0"/>
      <w:marTop w:val="0"/>
      <w:marBottom w:val="0"/>
      <w:divBdr>
        <w:top w:val="none" w:sz="0" w:space="0" w:color="auto"/>
        <w:left w:val="none" w:sz="0" w:space="0" w:color="auto"/>
        <w:bottom w:val="none" w:sz="0" w:space="0" w:color="auto"/>
        <w:right w:val="none" w:sz="0" w:space="0" w:color="auto"/>
      </w:divBdr>
    </w:div>
    <w:div w:id="990865892">
      <w:bodyDiv w:val="1"/>
      <w:marLeft w:val="0"/>
      <w:marRight w:val="0"/>
      <w:marTop w:val="0"/>
      <w:marBottom w:val="0"/>
      <w:divBdr>
        <w:top w:val="none" w:sz="0" w:space="0" w:color="auto"/>
        <w:left w:val="none" w:sz="0" w:space="0" w:color="auto"/>
        <w:bottom w:val="none" w:sz="0" w:space="0" w:color="auto"/>
        <w:right w:val="none" w:sz="0" w:space="0" w:color="auto"/>
      </w:divBdr>
    </w:div>
    <w:div w:id="991299113">
      <w:bodyDiv w:val="1"/>
      <w:marLeft w:val="0"/>
      <w:marRight w:val="0"/>
      <w:marTop w:val="0"/>
      <w:marBottom w:val="0"/>
      <w:divBdr>
        <w:top w:val="none" w:sz="0" w:space="0" w:color="auto"/>
        <w:left w:val="none" w:sz="0" w:space="0" w:color="auto"/>
        <w:bottom w:val="none" w:sz="0" w:space="0" w:color="auto"/>
        <w:right w:val="none" w:sz="0" w:space="0" w:color="auto"/>
      </w:divBdr>
    </w:div>
    <w:div w:id="1080249696">
      <w:bodyDiv w:val="1"/>
      <w:marLeft w:val="0"/>
      <w:marRight w:val="0"/>
      <w:marTop w:val="0"/>
      <w:marBottom w:val="0"/>
      <w:divBdr>
        <w:top w:val="none" w:sz="0" w:space="0" w:color="auto"/>
        <w:left w:val="none" w:sz="0" w:space="0" w:color="auto"/>
        <w:bottom w:val="none" w:sz="0" w:space="0" w:color="auto"/>
        <w:right w:val="none" w:sz="0" w:space="0" w:color="auto"/>
      </w:divBdr>
    </w:div>
    <w:div w:id="1092051145">
      <w:bodyDiv w:val="1"/>
      <w:marLeft w:val="0"/>
      <w:marRight w:val="0"/>
      <w:marTop w:val="0"/>
      <w:marBottom w:val="0"/>
      <w:divBdr>
        <w:top w:val="none" w:sz="0" w:space="0" w:color="auto"/>
        <w:left w:val="none" w:sz="0" w:space="0" w:color="auto"/>
        <w:bottom w:val="none" w:sz="0" w:space="0" w:color="auto"/>
        <w:right w:val="none" w:sz="0" w:space="0" w:color="auto"/>
      </w:divBdr>
    </w:div>
    <w:div w:id="1156922010">
      <w:bodyDiv w:val="1"/>
      <w:marLeft w:val="0"/>
      <w:marRight w:val="0"/>
      <w:marTop w:val="0"/>
      <w:marBottom w:val="0"/>
      <w:divBdr>
        <w:top w:val="none" w:sz="0" w:space="0" w:color="auto"/>
        <w:left w:val="none" w:sz="0" w:space="0" w:color="auto"/>
        <w:bottom w:val="none" w:sz="0" w:space="0" w:color="auto"/>
        <w:right w:val="none" w:sz="0" w:space="0" w:color="auto"/>
      </w:divBdr>
    </w:div>
    <w:div w:id="1269195738">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337735261">
      <w:bodyDiv w:val="1"/>
      <w:marLeft w:val="0"/>
      <w:marRight w:val="0"/>
      <w:marTop w:val="0"/>
      <w:marBottom w:val="0"/>
      <w:divBdr>
        <w:top w:val="none" w:sz="0" w:space="0" w:color="auto"/>
        <w:left w:val="none" w:sz="0" w:space="0" w:color="auto"/>
        <w:bottom w:val="none" w:sz="0" w:space="0" w:color="auto"/>
        <w:right w:val="none" w:sz="0" w:space="0" w:color="auto"/>
      </w:divBdr>
    </w:div>
    <w:div w:id="1350335239">
      <w:bodyDiv w:val="1"/>
      <w:marLeft w:val="0"/>
      <w:marRight w:val="0"/>
      <w:marTop w:val="0"/>
      <w:marBottom w:val="0"/>
      <w:divBdr>
        <w:top w:val="none" w:sz="0" w:space="0" w:color="auto"/>
        <w:left w:val="none" w:sz="0" w:space="0" w:color="auto"/>
        <w:bottom w:val="none" w:sz="0" w:space="0" w:color="auto"/>
        <w:right w:val="none" w:sz="0" w:space="0" w:color="auto"/>
      </w:divBdr>
    </w:div>
    <w:div w:id="1356351216">
      <w:bodyDiv w:val="1"/>
      <w:marLeft w:val="0"/>
      <w:marRight w:val="0"/>
      <w:marTop w:val="0"/>
      <w:marBottom w:val="0"/>
      <w:divBdr>
        <w:top w:val="none" w:sz="0" w:space="0" w:color="auto"/>
        <w:left w:val="none" w:sz="0" w:space="0" w:color="auto"/>
        <w:bottom w:val="none" w:sz="0" w:space="0" w:color="auto"/>
        <w:right w:val="none" w:sz="0" w:space="0" w:color="auto"/>
      </w:divBdr>
    </w:div>
    <w:div w:id="1367486472">
      <w:bodyDiv w:val="1"/>
      <w:marLeft w:val="0"/>
      <w:marRight w:val="0"/>
      <w:marTop w:val="0"/>
      <w:marBottom w:val="0"/>
      <w:divBdr>
        <w:top w:val="none" w:sz="0" w:space="0" w:color="auto"/>
        <w:left w:val="none" w:sz="0" w:space="0" w:color="auto"/>
        <w:bottom w:val="none" w:sz="0" w:space="0" w:color="auto"/>
        <w:right w:val="none" w:sz="0" w:space="0" w:color="auto"/>
      </w:divBdr>
    </w:div>
    <w:div w:id="1390415999">
      <w:bodyDiv w:val="1"/>
      <w:marLeft w:val="0"/>
      <w:marRight w:val="0"/>
      <w:marTop w:val="0"/>
      <w:marBottom w:val="0"/>
      <w:divBdr>
        <w:top w:val="none" w:sz="0" w:space="0" w:color="auto"/>
        <w:left w:val="none" w:sz="0" w:space="0" w:color="auto"/>
        <w:bottom w:val="none" w:sz="0" w:space="0" w:color="auto"/>
        <w:right w:val="none" w:sz="0" w:space="0" w:color="auto"/>
      </w:divBdr>
    </w:div>
    <w:div w:id="1407339107">
      <w:bodyDiv w:val="1"/>
      <w:marLeft w:val="0"/>
      <w:marRight w:val="0"/>
      <w:marTop w:val="0"/>
      <w:marBottom w:val="0"/>
      <w:divBdr>
        <w:top w:val="none" w:sz="0" w:space="0" w:color="auto"/>
        <w:left w:val="none" w:sz="0" w:space="0" w:color="auto"/>
        <w:bottom w:val="none" w:sz="0" w:space="0" w:color="auto"/>
        <w:right w:val="none" w:sz="0" w:space="0" w:color="auto"/>
      </w:divBdr>
    </w:div>
    <w:div w:id="1423061380">
      <w:bodyDiv w:val="1"/>
      <w:marLeft w:val="0"/>
      <w:marRight w:val="0"/>
      <w:marTop w:val="0"/>
      <w:marBottom w:val="0"/>
      <w:divBdr>
        <w:top w:val="none" w:sz="0" w:space="0" w:color="auto"/>
        <w:left w:val="none" w:sz="0" w:space="0" w:color="auto"/>
        <w:bottom w:val="none" w:sz="0" w:space="0" w:color="auto"/>
        <w:right w:val="none" w:sz="0" w:space="0" w:color="auto"/>
      </w:divBdr>
    </w:div>
    <w:div w:id="1425153666">
      <w:bodyDiv w:val="1"/>
      <w:marLeft w:val="0"/>
      <w:marRight w:val="0"/>
      <w:marTop w:val="0"/>
      <w:marBottom w:val="0"/>
      <w:divBdr>
        <w:top w:val="none" w:sz="0" w:space="0" w:color="auto"/>
        <w:left w:val="none" w:sz="0" w:space="0" w:color="auto"/>
        <w:bottom w:val="none" w:sz="0" w:space="0" w:color="auto"/>
        <w:right w:val="none" w:sz="0" w:space="0" w:color="auto"/>
      </w:divBdr>
    </w:div>
    <w:div w:id="1434470401">
      <w:bodyDiv w:val="1"/>
      <w:marLeft w:val="0"/>
      <w:marRight w:val="0"/>
      <w:marTop w:val="0"/>
      <w:marBottom w:val="0"/>
      <w:divBdr>
        <w:top w:val="none" w:sz="0" w:space="0" w:color="auto"/>
        <w:left w:val="none" w:sz="0" w:space="0" w:color="auto"/>
        <w:bottom w:val="none" w:sz="0" w:space="0" w:color="auto"/>
        <w:right w:val="none" w:sz="0" w:space="0" w:color="auto"/>
      </w:divBdr>
    </w:div>
    <w:div w:id="1503550542">
      <w:bodyDiv w:val="1"/>
      <w:marLeft w:val="0"/>
      <w:marRight w:val="0"/>
      <w:marTop w:val="0"/>
      <w:marBottom w:val="0"/>
      <w:divBdr>
        <w:top w:val="none" w:sz="0" w:space="0" w:color="auto"/>
        <w:left w:val="none" w:sz="0" w:space="0" w:color="auto"/>
        <w:bottom w:val="none" w:sz="0" w:space="0" w:color="auto"/>
        <w:right w:val="none" w:sz="0" w:space="0" w:color="auto"/>
      </w:divBdr>
    </w:div>
    <w:div w:id="1548376118">
      <w:bodyDiv w:val="1"/>
      <w:marLeft w:val="0"/>
      <w:marRight w:val="0"/>
      <w:marTop w:val="0"/>
      <w:marBottom w:val="0"/>
      <w:divBdr>
        <w:top w:val="none" w:sz="0" w:space="0" w:color="auto"/>
        <w:left w:val="none" w:sz="0" w:space="0" w:color="auto"/>
        <w:bottom w:val="none" w:sz="0" w:space="0" w:color="auto"/>
        <w:right w:val="none" w:sz="0" w:space="0" w:color="auto"/>
      </w:divBdr>
    </w:div>
    <w:div w:id="1553955549">
      <w:bodyDiv w:val="1"/>
      <w:marLeft w:val="0"/>
      <w:marRight w:val="0"/>
      <w:marTop w:val="0"/>
      <w:marBottom w:val="0"/>
      <w:divBdr>
        <w:top w:val="none" w:sz="0" w:space="0" w:color="auto"/>
        <w:left w:val="none" w:sz="0" w:space="0" w:color="auto"/>
        <w:bottom w:val="none" w:sz="0" w:space="0" w:color="auto"/>
        <w:right w:val="none" w:sz="0" w:space="0" w:color="auto"/>
      </w:divBdr>
    </w:div>
    <w:div w:id="1560674708">
      <w:bodyDiv w:val="1"/>
      <w:marLeft w:val="0"/>
      <w:marRight w:val="0"/>
      <w:marTop w:val="0"/>
      <w:marBottom w:val="0"/>
      <w:divBdr>
        <w:top w:val="none" w:sz="0" w:space="0" w:color="auto"/>
        <w:left w:val="none" w:sz="0" w:space="0" w:color="auto"/>
        <w:bottom w:val="none" w:sz="0" w:space="0" w:color="auto"/>
        <w:right w:val="none" w:sz="0" w:space="0" w:color="auto"/>
      </w:divBdr>
    </w:div>
    <w:div w:id="1593859332">
      <w:bodyDiv w:val="1"/>
      <w:marLeft w:val="0"/>
      <w:marRight w:val="0"/>
      <w:marTop w:val="0"/>
      <w:marBottom w:val="0"/>
      <w:divBdr>
        <w:top w:val="none" w:sz="0" w:space="0" w:color="auto"/>
        <w:left w:val="none" w:sz="0" w:space="0" w:color="auto"/>
        <w:bottom w:val="none" w:sz="0" w:space="0" w:color="auto"/>
        <w:right w:val="none" w:sz="0" w:space="0" w:color="auto"/>
      </w:divBdr>
    </w:div>
    <w:div w:id="1661033355">
      <w:bodyDiv w:val="1"/>
      <w:marLeft w:val="0"/>
      <w:marRight w:val="0"/>
      <w:marTop w:val="0"/>
      <w:marBottom w:val="0"/>
      <w:divBdr>
        <w:top w:val="none" w:sz="0" w:space="0" w:color="auto"/>
        <w:left w:val="none" w:sz="0" w:space="0" w:color="auto"/>
        <w:bottom w:val="none" w:sz="0" w:space="0" w:color="auto"/>
        <w:right w:val="none" w:sz="0" w:space="0" w:color="auto"/>
      </w:divBdr>
    </w:div>
    <w:div w:id="1677878466">
      <w:bodyDiv w:val="1"/>
      <w:marLeft w:val="0"/>
      <w:marRight w:val="0"/>
      <w:marTop w:val="0"/>
      <w:marBottom w:val="0"/>
      <w:divBdr>
        <w:top w:val="none" w:sz="0" w:space="0" w:color="auto"/>
        <w:left w:val="none" w:sz="0" w:space="0" w:color="auto"/>
        <w:bottom w:val="none" w:sz="0" w:space="0" w:color="auto"/>
        <w:right w:val="none" w:sz="0" w:space="0" w:color="auto"/>
      </w:divBdr>
    </w:div>
    <w:div w:id="1678540575">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 w:id="1891109127">
      <w:bodyDiv w:val="1"/>
      <w:marLeft w:val="0"/>
      <w:marRight w:val="0"/>
      <w:marTop w:val="0"/>
      <w:marBottom w:val="0"/>
      <w:divBdr>
        <w:top w:val="none" w:sz="0" w:space="0" w:color="auto"/>
        <w:left w:val="none" w:sz="0" w:space="0" w:color="auto"/>
        <w:bottom w:val="none" w:sz="0" w:space="0" w:color="auto"/>
        <w:right w:val="none" w:sz="0" w:space="0" w:color="auto"/>
      </w:divBdr>
    </w:div>
    <w:div w:id="1971090968">
      <w:bodyDiv w:val="1"/>
      <w:marLeft w:val="0"/>
      <w:marRight w:val="0"/>
      <w:marTop w:val="0"/>
      <w:marBottom w:val="0"/>
      <w:divBdr>
        <w:top w:val="none" w:sz="0" w:space="0" w:color="auto"/>
        <w:left w:val="none" w:sz="0" w:space="0" w:color="auto"/>
        <w:bottom w:val="none" w:sz="0" w:space="0" w:color="auto"/>
        <w:right w:val="none" w:sz="0" w:space="0" w:color="auto"/>
      </w:divBdr>
    </w:div>
    <w:div w:id="20583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144B-0F6E-4A6F-B299-4B7D3F9B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5</Pages>
  <Words>1008</Words>
  <Characters>6746</Characters>
  <Application>Microsoft Office Word</Application>
  <DocSecurity>0</DocSecurity>
  <Lines>293</Lines>
  <Paragraphs>184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BRASSART Odile (GROW)</dc:creator>
  <cp:lastModifiedBy>WES PDFC Administrator</cp:lastModifiedBy>
  <cp:revision>9</cp:revision>
  <cp:lastPrinted>2019-09-12T14:28:00Z</cp:lastPrinted>
  <dcterms:created xsi:type="dcterms:W3CDTF">2019-10-10T09:29:00Z</dcterms:created>
  <dcterms:modified xsi:type="dcterms:W3CDTF">2019-10-11T12:11:00Z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