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F6641E94-90AD-4D7A-9A92-D86AD3F74BC3" style="width:450pt;height:492.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Annexetitre"/>
        <w:rPr>
          <w:rStyle w:val="Marker"/>
          <w:noProof/>
        </w:rPr>
      </w:pPr>
      <w:bookmarkStart w:id="0" w:name="_GoBack"/>
      <w:bookmarkEnd w:id="0"/>
      <w:r>
        <w:rPr>
          <w:noProof/>
        </w:rPr>
        <w:lastRenderedPageBreak/>
        <w:t>ANNEXE</w:t>
      </w:r>
    </w:p>
    <w:p>
      <w:pPr>
        <w:rPr>
          <w:noProof/>
        </w:rPr>
      </w:pPr>
    </w:p>
    <w:tbl>
      <w:tblPr>
        <w:tblW w:w="9087" w:type="dxa"/>
        <w:tblInd w:w="93" w:type="dxa"/>
        <w:tblLook w:val="04A0" w:firstRow="1" w:lastRow="0" w:firstColumn="1" w:lastColumn="0" w:noHBand="0" w:noVBand="1"/>
      </w:tblPr>
      <w:tblGrid>
        <w:gridCol w:w="1337"/>
        <w:gridCol w:w="4500"/>
        <w:gridCol w:w="3250"/>
      </w:tblGrid>
      <w:tr>
        <w:trPr>
          <w:trHeight w:val="630"/>
        </w:trPr>
        <w:tc>
          <w:tcPr>
            <w:tcW w:w="1337" w:type="dxa"/>
            <w:tcBorders>
              <w:top w:val="single" w:sz="8" w:space="0" w:color="auto"/>
              <w:left w:val="single" w:sz="8" w:space="0" w:color="auto"/>
              <w:bottom w:val="single" w:sz="4" w:space="0" w:color="auto"/>
              <w:right w:val="single" w:sz="4" w:space="0" w:color="auto"/>
            </w:tcBorders>
            <w:shd w:val="clear" w:color="auto" w:fill="auto"/>
            <w:hideMark/>
          </w:tcPr>
          <w:p>
            <w:pPr>
              <w:spacing w:before="0" w:after="0"/>
              <w:jc w:val="left"/>
              <w:rPr>
                <w:rFonts w:eastAsia="Times New Roman"/>
                <w:b/>
                <w:bCs/>
                <w:noProof/>
                <w:sz w:val="20"/>
                <w:szCs w:val="20"/>
              </w:rPr>
            </w:pPr>
            <w:r>
              <w:rPr>
                <w:b/>
                <w:bCs/>
                <w:noProof/>
                <w:sz w:val="20"/>
                <w:szCs w:val="20"/>
              </w:rPr>
              <w:t>Règlement n°</w:t>
            </w:r>
          </w:p>
        </w:tc>
        <w:tc>
          <w:tcPr>
            <w:tcW w:w="4500" w:type="dxa"/>
            <w:tcBorders>
              <w:top w:val="single" w:sz="8" w:space="0" w:color="auto"/>
              <w:left w:val="nil"/>
              <w:bottom w:val="single" w:sz="4" w:space="0" w:color="auto"/>
              <w:right w:val="single" w:sz="4" w:space="0" w:color="auto"/>
            </w:tcBorders>
            <w:shd w:val="clear" w:color="auto" w:fill="auto"/>
            <w:hideMark/>
          </w:tcPr>
          <w:p>
            <w:pPr>
              <w:spacing w:before="0" w:after="0"/>
              <w:jc w:val="left"/>
              <w:rPr>
                <w:rFonts w:eastAsia="Times New Roman"/>
                <w:b/>
                <w:bCs/>
                <w:noProof/>
                <w:sz w:val="20"/>
                <w:szCs w:val="20"/>
              </w:rPr>
            </w:pPr>
            <w:r>
              <w:rPr>
                <w:b/>
                <w:bCs/>
                <w:noProof/>
                <w:sz w:val="20"/>
                <w:szCs w:val="20"/>
              </w:rPr>
              <w:t>Intitulé du point de l'ordre du jour</w:t>
            </w:r>
          </w:p>
        </w:tc>
        <w:tc>
          <w:tcPr>
            <w:tcW w:w="3250" w:type="dxa"/>
            <w:tcBorders>
              <w:top w:val="single" w:sz="8" w:space="0" w:color="auto"/>
              <w:left w:val="nil"/>
              <w:bottom w:val="single" w:sz="4" w:space="0" w:color="auto"/>
              <w:right w:val="single" w:sz="4" w:space="0" w:color="auto"/>
            </w:tcBorders>
            <w:shd w:val="clear" w:color="auto" w:fill="auto"/>
            <w:hideMark/>
          </w:tcPr>
          <w:p>
            <w:pPr>
              <w:spacing w:before="0" w:after="0"/>
              <w:jc w:val="left"/>
              <w:rPr>
                <w:rFonts w:eastAsia="Times New Roman"/>
                <w:b/>
                <w:bCs/>
                <w:noProof/>
                <w:sz w:val="20"/>
                <w:szCs w:val="20"/>
              </w:rPr>
            </w:pPr>
            <w:r>
              <w:rPr>
                <w:b/>
                <w:bCs/>
                <w:noProof/>
                <w:sz w:val="20"/>
                <w:szCs w:val="20"/>
              </w:rPr>
              <w:t>Référence du document</w:t>
            </w:r>
            <w:r>
              <w:rPr>
                <w:rStyle w:val="FootnoteReference"/>
                <w:b/>
                <w:bCs/>
                <w:noProof/>
                <w:sz w:val="20"/>
                <w:szCs w:val="20"/>
              </w:rPr>
              <w:footnoteReference w:id="1"/>
            </w:r>
          </w:p>
        </w:tc>
      </w:tr>
      <w:tr>
        <w:trPr>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0</w:t>
            </w:r>
          </w:p>
        </w:tc>
        <w:tc>
          <w:tcPr>
            <w:tcW w:w="450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 xml:space="preserve">Proposition de complément 1 à la version initiale du règlement n° 0 de l’ONU (IWVTA) </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rPr>
            </w:pPr>
            <w:r>
              <w:rPr>
                <w:noProof/>
                <w:sz w:val="20"/>
                <w:szCs w:val="20"/>
              </w:rPr>
              <w:t xml:space="preserve">ECE/TRANS/WP.29/2019/74 </w:t>
            </w:r>
          </w:p>
        </w:tc>
      </w:tr>
      <w:tr>
        <w:trPr>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0</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Proposition de complément 1 à la série 01 d’amendements au règlement n° 0 de l’ONU (IWVTA)</w:t>
            </w:r>
          </w:p>
        </w:tc>
        <w:tc>
          <w:tcPr>
            <w:tcW w:w="3250" w:type="dxa"/>
            <w:tcBorders>
              <w:top w:val="nil"/>
              <w:left w:val="nil"/>
              <w:bottom w:val="single" w:sz="4" w:space="0" w:color="auto"/>
              <w:right w:val="single" w:sz="4" w:space="0" w:color="auto"/>
            </w:tcBorders>
            <w:shd w:val="clear" w:color="auto" w:fill="auto"/>
          </w:tcPr>
          <w:p>
            <w:pPr>
              <w:pStyle w:val="Default"/>
              <w:rPr>
                <w:noProof/>
                <w:sz w:val="20"/>
              </w:rPr>
            </w:pPr>
            <w:r>
              <w:rPr>
                <w:noProof/>
                <w:sz w:val="20"/>
                <w:szCs w:val="20"/>
              </w:rPr>
              <w:t>ECE/TRANS/WP.29/2019/75</w:t>
            </w:r>
          </w:p>
        </w:tc>
      </w:tr>
      <w:tr>
        <w:trPr>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0</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Proposition de série 02 d'amendements au règlement n° 0 de l'ONU (IWVTA)</w:t>
            </w:r>
          </w:p>
        </w:tc>
        <w:tc>
          <w:tcPr>
            <w:tcW w:w="325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ECE/TRANS/WP.29/2019/76</w:t>
            </w:r>
          </w:p>
        </w:tc>
      </w:tr>
      <w:tr>
        <w:trPr>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16</w:t>
            </w:r>
          </w:p>
        </w:tc>
        <w:tc>
          <w:tcPr>
            <w:tcW w:w="450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 xml:space="preserve">Proposition de complément 12 à la série 06 d’amendements au règlement nº 16 de l’ONU (ceintures de sécurité) </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ECE/TRANS/WP.29/2019/104</w:t>
            </w:r>
          </w:p>
        </w:tc>
      </w:tr>
      <w:tr>
        <w:trPr>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16</w:t>
            </w:r>
          </w:p>
        </w:tc>
        <w:tc>
          <w:tcPr>
            <w:tcW w:w="450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 xml:space="preserve">Proposition de complément 5 à la série 07 d’amendements au règlement nº 16 de l’ONU (ceintures de sécurité) </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ECE/TRANS/WP.29/2019/105</w:t>
            </w:r>
          </w:p>
        </w:tc>
      </w:tr>
      <w:tr>
        <w:trPr>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17</w:t>
            </w:r>
          </w:p>
        </w:tc>
        <w:tc>
          <w:tcPr>
            <w:tcW w:w="450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 xml:space="preserve">Proposition de rectificatif 1 à la série 08 d’amendements au règlement de l’ONU nº 17 (résistance mécanique des sièges) </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ECE/TRANS/WP.29/2019/115</w:t>
            </w:r>
          </w:p>
        </w:tc>
      </w:tr>
      <w:tr>
        <w:trPr>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17</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 xml:space="preserve">Proposition de rectificatif 1 à la série 09 d’amendements au règlement de l’ONU nº 17 (résistance mécanique des sièges) </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ECE/TRANS/WP.29/2019/116</w:t>
            </w:r>
          </w:p>
        </w:tc>
      </w:tr>
      <w:tr>
        <w:trPr>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21</w:t>
            </w:r>
          </w:p>
        </w:tc>
        <w:tc>
          <w:tcPr>
            <w:tcW w:w="450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 xml:space="preserve">Proposition de complément 4 à la série 01 d’amendements au règlement nº 21 de l’ONU (aménagement intérieur) </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ECE/TRANS/WP.29/2019/106</w:t>
            </w:r>
          </w:p>
        </w:tc>
      </w:tr>
      <w:tr>
        <w:trPr>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29</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 xml:space="preserve">Proposition de complément 5 à la série 03 d’amendements au règlement n° 29 de l’ONU (cabines des véhicules utilitaires) </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ECE/TRANS/WP.29/2019/107</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43</w:t>
            </w:r>
          </w:p>
        </w:tc>
        <w:tc>
          <w:tcPr>
            <w:tcW w:w="450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Proposition de complément 9 à la série 01 d’amendements au règlement nº 43 de l’ONU (vitrage de sécurité)</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ECE/TRANS/WP.29/2019/95</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44</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 xml:space="preserve">Proposition de complément 17 à la série 04 d’amendements au règlement nº 44 de l’ONU (dispositifs de retenue pour enfants) </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ECE/TRANS/WP.29/2019/108</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48</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 xml:space="preserve">Proposition de complément 13 à la série 06 d’amendements au règlement nº 48 de l’ONU (installation des dispositifs d’éclairage et de signalisation lumineuse) </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ECE/TRANS/WP.29/2019/84</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53</w:t>
            </w:r>
          </w:p>
        </w:tc>
        <w:tc>
          <w:tcPr>
            <w:tcW w:w="450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 xml:space="preserve">Proposition de nouvelle série 03 d'amendements au règlement n° 53 de l'ONU (installation des dispositifs d’éclairage et de signalisation lumineuse sur les véhicules de la catégorie L3) </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ECE/TRANS/WP.29/2019/80</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53</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 xml:space="preserve">Proposition de complément 3 à la série 02 d'amendements au règlement n° 53 de l'ONU (installation des dispositifs d'éclairage et de signalisation lumineuse sur les véhicules de la catégorie L3) </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ECE/TRANS/WP.29/2019/85</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53</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 xml:space="preserve">Proposition de complément 21 à la série 01 d'amendements au règlement n° 53 de l'ONU (installation des dispositifs d'éclairage et de signalisation lumineuse sur les véhicules de la catégorie L3) </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ECE/TRANS/WP.29/2019/86</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55</w:t>
            </w:r>
          </w:p>
        </w:tc>
        <w:tc>
          <w:tcPr>
            <w:tcW w:w="450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Proposition de complément 8 à la série 01 d’amendements au règlement nº 55 de l’ONU (liaisons mécaniques)</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ECE/TRANS/WP.29/2019/96</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58</w:t>
            </w:r>
          </w:p>
        </w:tc>
        <w:tc>
          <w:tcPr>
            <w:tcW w:w="450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Proposition de complément 1 à la série 03 d’amendements au règlement n° 58 de l’ONU (dispositifs arrière de protection anti-encastrement)</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ECE/TRANS/WP.29/2019/97</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67</w:t>
            </w:r>
          </w:p>
        </w:tc>
        <w:tc>
          <w:tcPr>
            <w:tcW w:w="450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Proposition de série 03 d'amendements au règlement nº 67 de l'ONU (véhicules alimentés au GPL)</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ECE/TRANS/WP.29/2019/94</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67</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Proposition de complément 2 à la série 02 d'amendements au règlement n° 67 de l'ONU (véhicules alimentés au GPL)</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ECE/TRANS/WP.29/2019/98</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74</w:t>
            </w:r>
          </w:p>
        </w:tc>
        <w:tc>
          <w:tcPr>
            <w:tcW w:w="4500" w:type="dxa"/>
            <w:tcBorders>
              <w:top w:val="nil"/>
              <w:left w:val="nil"/>
              <w:bottom w:val="single" w:sz="4" w:space="0" w:color="auto"/>
              <w:right w:val="single" w:sz="4" w:space="0" w:color="auto"/>
            </w:tcBorders>
            <w:shd w:val="clear" w:color="auto" w:fill="auto"/>
          </w:tcPr>
          <w:p>
            <w:pPr>
              <w:autoSpaceDE w:val="0"/>
              <w:autoSpaceDN w:val="0"/>
              <w:adjustRightInd w:val="0"/>
              <w:spacing w:before="0" w:after="0"/>
              <w:rPr>
                <w:rFonts w:eastAsia="Times New Roman"/>
                <w:noProof/>
                <w:color w:val="000000"/>
                <w:sz w:val="20"/>
                <w:szCs w:val="20"/>
              </w:rPr>
            </w:pPr>
            <w:r>
              <w:rPr>
                <w:noProof/>
                <w:sz w:val="20"/>
                <w:szCs w:val="20"/>
              </w:rPr>
              <w:t xml:space="preserve">Proposition de nouvelle série 02 d’amendements au règlement nº 74 de l’ONU (installation des dispositifs d’éclairage et de signalisation lumineuse sur les cyclomoteurs) </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ECE/TRANS/WP.29/2019/79</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74</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 xml:space="preserve">Proposition de complément 11 à la série 01 d’amendements au règlement n° 74 de l’ONU (installation des dispositifs d’éclairage et de signalisation lumineuse sur les cyclomoteurs) </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ECE/TRANS/WP.29/2019/87</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80</w:t>
            </w:r>
          </w:p>
        </w:tc>
        <w:tc>
          <w:tcPr>
            <w:tcW w:w="450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Proposition de série 04 d'amendements au règlement n° 80 de l’ONU (résistance des sièges et de leurs ancrages (autobus))</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ECE/TRANS/WP.29/2019/103</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83</w:t>
            </w:r>
          </w:p>
        </w:tc>
        <w:tc>
          <w:tcPr>
            <w:tcW w:w="450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Proposition de complément 10 à la série 07 d’amendements au règlement nº 83 de l’ONU (émissions polluantes des véhicules des catégories M</w:t>
            </w:r>
            <w:r>
              <w:rPr>
                <w:noProof/>
                <w:sz w:val="13"/>
                <w:szCs w:val="13"/>
              </w:rPr>
              <w:t xml:space="preserve">1 </w:t>
            </w:r>
            <w:r>
              <w:rPr>
                <w:noProof/>
                <w:sz w:val="20"/>
                <w:szCs w:val="20"/>
              </w:rPr>
              <w:t>et N</w:t>
            </w:r>
            <w:r>
              <w:rPr>
                <w:noProof/>
                <w:sz w:val="13"/>
                <w:szCs w:val="13"/>
              </w:rPr>
              <w:t xml:space="preserve">1 </w:t>
            </w:r>
            <w:r>
              <w:rPr>
                <w:noProof/>
                <w:sz w:val="20"/>
                <w:szCs w:val="20"/>
              </w:rPr>
              <w:t xml:space="preserve">) </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ECE/TRANS/WP.29/2019/127</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85</w:t>
            </w:r>
          </w:p>
        </w:tc>
        <w:tc>
          <w:tcPr>
            <w:tcW w:w="450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 xml:space="preserve">Proposition de complément 10 au règlement de l'ONU n° 85 (mesure de la puissance nette et de la puissance maximale sur 30 minutes) </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ECE/TRANS/WP.29/2019/112</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86</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 xml:space="preserve">Proposition de complément 2 à la série 01 d'amendements au règlement nº  86 de l'ONU (installation des dispositifs d'éclairage et de signalisation lumineuse sur les véhicules agricoles) </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ECE/TRANS/WP.29/2019/88</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98</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 xml:space="preserve">Proposition de complément 1 à la série 02 d’amendements au règlement nº 98 de l’ONU </w:t>
            </w:r>
          </w:p>
          <w:p>
            <w:pPr>
              <w:pStyle w:val="Default"/>
              <w:rPr>
                <w:noProof/>
                <w:sz w:val="20"/>
                <w:szCs w:val="20"/>
              </w:rPr>
            </w:pPr>
            <w:r>
              <w:rPr>
                <w:noProof/>
                <w:sz w:val="20"/>
                <w:szCs w:val="20"/>
              </w:rPr>
              <w:t>(projecteurs de véhicules à moteur munis de source lumineuse à décharge)</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ECE/TRANS/WP.29/2019/89</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107</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Proposition de complément 8 à la série 06 d’amendements au règlement n° 107 de l’ONU (véhicules des catégories M2 et M3)</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ECE/TRANS/WP.29/2019/99</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107</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Proposition de complément 7 à la série 07 d’amendements au règlement n° 107 de l’ONU (véhicules des catégories M2 et M3)</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ECE/TRANS/WP.29/2019/100</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107</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Proposition de complément 2 à la série 08 d’amendements au règlement n° 107 de l’ONU (véhicules des catégories M2 et M3)</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ECE/TRANS/WP.29/2019/101</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112</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 xml:space="preserve">Proposition de complément 1 à la série 02 d’amendements au règlement n°112 de l’ONU (projecteurs émettant un faisceau de croisement asymétrique) </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ECE/TRANS/WP.29/2019/90</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113</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 xml:space="preserve">Proposition de complément 1 à la série 03 d’amendements au règlement nº 113 de l’ONU (projecteurs émettant un faisceau de croisement symétrique) </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ECE/TRANS/WP.29/2019/91</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115</w:t>
            </w:r>
          </w:p>
        </w:tc>
        <w:tc>
          <w:tcPr>
            <w:tcW w:w="450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 xml:space="preserve">Proposition de complément 9 au règlement nº 115 de l’ONU (systèmes de conversion au GPL et au GNC) </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ECE/TRANS/WP.29/2019/113</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116</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Proposition de complément 7 au règlement n° 116 de l’ONU (dispositifs antivol et systèmes d'alarme)</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ECE/TRANS/WP.29/2019/102</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123</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 xml:space="preserve">Proposition de complément 1 à la série 02 d’amendements au règlement n° 123 de l’ONU (systèmes d’éclairage avant adaptatifs) </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ECE/TRANS/WP.29/2019/92</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129</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 xml:space="preserve">Proposition de complément 3 à la série 03 d’amendements au règlement nº 129 de l’ONU (dispositifs améliorés de retenue pour enfants) </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ECE/TRANS/WP.29/2019/109</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135</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 xml:space="preserve">Proposition de complément 2 à la version initiale du règlement n° 135 de l’ONU (essai de choc latéral contre un poteau) </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ECE/TRANS/WP.29/2019/110</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135</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 xml:space="preserve">Proposition de complément 2 à la série 01 d’amendements au règlement n° 135 de l’ONU (essai de choc latéral contre un poteau) </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ECE/TRANS/WP.29/2019/111</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148</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 xml:space="preserve">Proposition de complément 1 à la version originale du règlement n° [148] de l’ONU (dispositifs de signalisation lumineuse) </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ECE/TRANS/WP.29/2019/81</w:t>
            </w:r>
          </w:p>
        </w:tc>
      </w:tr>
      <w:tr>
        <w:trPr>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149</w:t>
            </w:r>
          </w:p>
        </w:tc>
        <w:tc>
          <w:tcPr>
            <w:tcW w:w="4500" w:type="dxa"/>
            <w:tcBorders>
              <w:top w:val="nil"/>
              <w:left w:val="nil"/>
              <w:bottom w:val="single" w:sz="4" w:space="0" w:color="auto"/>
              <w:right w:val="single" w:sz="4" w:space="0" w:color="auto"/>
            </w:tcBorders>
            <w:shd w:val="clear" w:color="auto" w:fill="auto"/>
          </w:tcPr>
          <w:p>
            <w:pPr>
              <w:pStyle w:val="Default"/>
              <w:rPr>
                <w:noProof/>
                <w:sz w:val="20"/>
                <w:szCs w:val="20"/>
              </w:rPr>
            </w:pPr>
            <w:r>
              <w:rPr>
                <w:noProof/>
                <w:sz w:val="20"/>
                <w:szCs w:val="20"/>
              </w:rPr>
              <w:t xml:space="preserve">Proposition de complément 1 à la version originale du règlement n° [149] de l’ONU (dispositifs d’éclairage de la route) </w:t>
            </w:r>
          </w:p>
        </w:tc>
        <w:tc>
          <w:tcPr>
            <w:tcW w:w="3250" w:type="dxa"/>
            <w:tcBorders>
              <w:top w:val="nil"/>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ECE/TRANS/WP.29/2019/82</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149</w:t>
            </w:r>
          </w:p>
        </w:tc>
        <w:tc>
          <w:tcPr>
            <w:tcW w:w="4500" w:type="dxa"/>
            <w:tcBorders>
              <w:top w:val="single" w:sz="4" w:space="0" w:color="auto"/>
              <w:left w:val="nil"/>
              <w:bottom w:val="single" w:sz="4" w:space="0" w:color="auto"/>
              <w:right w:val="single" w:sz="4" w:space="0" w:color="auto"/>
            </w:tcBorders>
            <w:shd w:val="clear" w:color="auto" w:fill="auto"/>
          </w:tcPr>
          <w:p>
            <w:pPr>
              <w:pStyle w:val="Default"/>
              <w:rPr>
                <w:noProof/>
                <w:sz w:val="20"/>
                <w:szCs w:val="20"/>
              </w:rPr>
            </w:pPr>
            <w:r>
              <w:rPr>
                <w:noProof/>
                <w:sz w:val="20"/>
                <w:szCs w:val="20"/>
              </w:rPr>
              <w:t xml:space="preserve">Proposition de complément 2 à la version originale du règlement n° [149] de l’ONU (dispositifs d’éclairage de la route) </w:t>
            </w:r>
          </w:p>
        </w:tc>
        <w:tc>
          <w:tcPr>
            <w:tcW w:w="3250" w:type="dxa"/>
            <w:tcBorders>
              <w:top w:val="single" w:sz="4" w:space="0" w:color="auto"/>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ECE/TRANS/WP.29/2019/125</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150</w:t>
            </w:r>
          </w:p>
        </w:tc>
        <w:tc>
          <w:tcPr>
            <w:tcW w:w="4500" w:type="dxa"/>
            <w:tcBorders>
              <w:top w:val="single" w:sz="4" w:space="0" w:color="auto"/>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 xml:space="preserve">Proposition de complément 1 à la version originale du règlement n° [150] de l’ONU (dispositifs rétroréfléchissants) </w:t>
            </w:r>
          </w:p>
        </w:tc>
        <w:tc>
          <w:tcPr>
            <w:tcW w:w="3250" w:type="dxa"/>
            <w:tcBorders>
              <w:top w:val="single" w:sz="4" w:space="0" w:color="auto"/>
              <w:left w:val="nil"/>
              <w:bottom w:val="single" w:sz="4" w:space="0" w:color="auto"/>
              <w:right w:val="single" w:sz="4" w:space="0" w:color="auto"/>
            </w:tcBorders>
            <w:shd w:val="clear" w:color="auto" w:fill="auto"/>
          </w:tcPr>
          <w:p>
            <w:pPr>
              <w:pStyle w:val="Default"/>
              <w:jc w:val="both"/>
              <w:rPr>
                <w:noProof/>
                <w:sz w:val="20"/>
                <w:szCs w:val="20"/>
              </w:rPr>
            </w:pPr>
            <w:r>
              <w:rPr>
                <w:noProof/>
                <w:sz w:val="20"/>
                <w:szCs w:val="20"/>
              </w:rPr>
              <w:t>ECE/TRANS/WP.29/2019/83</w:t>
            </w:r>
          </w:p>
        </w:tc>
      </w:tr>
    </w:tbl>
    <w:p>
      <w:pPr>
        <w:pStyle w:val="Default"/>
        <w:rPr>
          <w:rFonts w:eastAsia="MS Mincho"/>
          <w:noProof/>
          <w:color w:val="auto"/>
          <w:sz w:val="20"/>
          <w:szCs w:val="20"/>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4678"/>
        <w:gridCol w:w="2977"/>
      </w:tblGrid>
      <w:tr>
        <w:trPr>
          <w:trHeight w:val="465"/>
        </w:trPr>
        <w:tc>
          <w:tcPr>
            <w:tcW w:w="1291" w:type="dxa"/>
            <w:shd w:val="clear" w:color="auto" w:fill="auto"/>
            <w:hideMark/>
          </w:tcPr>
          <w:p>
            <w:pPr>
              <w:spacing w:before="0" w:after="0"/>
              <w:jc w:val="left"/>
              <w:rPr>
                <w:rFonts w:eastAsia="Times New Roman"/>
                <w:b/>
                <w:bCs/>
                <w:noProof/>
                <w:sz w:val="20"/>
                <w:szCs w:val="20"/>
              </w:rPr>
            </w:pPr>
            <w:r>
              <w:rPr>
                <w:b/>
                <w:bCs/>
                <w:noProof/>
                <w:sz w:val="20"/>
                <w:szCs w:val="20"/>
              </w:rPr>
              <w:t>RTM n°</w:t>
            </w:r>
          </w:p>
        </w:tc>
        <w:tc>
          <w:tcPr>
            <w:tcW w:w="4678" w:type="dxa"/>
            <w:shd w:val="clear" w:color="auto" w:fill="auto"/>
            <w:hideMark/>
          </w:tcPr>
          <w:p>
            <w:pPr>
              <w:spacing w:before="0" w:after="0"/>
              <w:jc w:val="left"/>
              <w:rPr>
                <w:rFonts w:eastAsia="Times New Roman"/>
                <w:b/>
                <w:bCs/>
                <w:noProof/>
                <w:sz w:val="20"/>
                <w:szCs w:val="20"/>
              </w:rPr>
            </w:pPr>
            <w:r>
              <w:rPr>
                <w:b/>
                <w:bCs/>
                <w:noProof/>
                <w:sz w:val="20"/>
                <w:szCs w:val="20"/>
              </w:rPr>
              <w:t>Intitulé du point de l'ordre du jour</w:t>
            </w:r>
          </w:p>
        </w:tc>
        <w:tc>
          <w:tcPr>
            <w:tcW w:w="2977" w:type="dxa"/>
            <w:shd w:val="clear" w:color="auto" w:fill="auto"/>
            <w:hideMark/>
          </w:tcPr>
          <w:p>
            <w:pPr>
              <w:spacing w:before="0" w:after="0"/>
              <w:jc w:val="left"/>
              <w:rPr>
                <w:rFonts w:eastAsia="Times New Roman"/>
                <w:b/>
                <w:bCs/>
                <w:noProof/>
                <w:sz w:val="20"/>
                <w:szCs w:val="20"/>
              </w:rPr>
            </w:pPr>
            <w:r>
              <w:rPr>
                <w:b/>
                <w:bCs/>
                <w:noProof/>
                <w:sz w:val="20"/>
                <w:szCs w:val="20"/>
              </w:rPr>
              <w:t>Référence du document</w:t>
            </w:r>
          </w:p>
        </w:tc>
      </w:tr>
      <w:tr>
        <w:trPr>
          <w:trHeight w:val="600"/>
        </w:trPr>
        <w:tc>
          <w:tcPr>
            <w:tcW w:w="1291" w:type="dxa"/>
            <w:shd w:val="clear" w:color="auto" w:fill="auto"/>
          </w:tcPr>
          <w:p>
            <w:pPr>
              <w:rPr>
                <w:noProof/>
                <w:sz w:val="20"/>
                <w:szCs w:val="20"/>
              </w:rPr>
            </w:pPr>
            <w:r>
              <w:rPr>
                <w:noProof/>
                <w:sz w:val="20"/>
                <w:szCs w:val="20"/>
              </w:rPr>
              <w:t>2</w:t>
            </w:r>
          </w:p>
        </w:tc>
        <w:tc>
          <w:tcPr>
            <w:tcW w:w="4678" w:type="dxa"/>
            <w:shd w:val="clear" w:color="auto" w:fill="auto"/>
          </w:tcPr>
          <w:p>
            <w:pPr>
              <w:pStyle w:val="Default"/>
              <w:jc w:val="both"/>
              <w:rPr>
                <w:noProof/>
                <w:sz w:val="20"/>
                <w:szCs w:val="20"/>
              </w:rPr>
            </w:pPr>
            <w:r>
              <w:rPr>
                <w:noProof/>
                <w:sz w:val="20"/>
                <w:szCs w:val="20"/>
              </w:rPr>
              <w:t>Proposition de rapport technique sur l’élaboration de l’amendement 4 au RTM n° 2 de l’ONU (sur la méthode de mesure applicable aux motocycles équipés d’un moteur à allumage commandé ou d’un moteur à allumage par compression en ce qui concerne les émissions de gaz polluants, les émissions de CO</w:t>
            </w:r>
            <w:r>
              <w:rPr>
                <w:noProof/>
                <w:sz w:val="20"/>
                <w:szCs w:val="20"/>
                <w:vertAlign w:val="subscript"/>
              </w:rPr>
              <w:t>2</w:t>
            </w:r>
            <w:r>
              <w:rPr>
                <w:noProof/>
                <w:sz w:val="20"/>
                <w:szCs w:val="20"/>
              </w:rPr>
              <w:t xml:space="preserve"> et la consommation de carburant) </w:t>
            </w:r>
          </w:p>
          <w:p>
            <w:pPr>
              <w:pStyle w:val="SingleTxtG"/>
              <w:ind w:left="147" w:right="141"/>
              <w:rPr>
                <w:rFonts w:ascii="Times New Roman" w:hAnsi="Times New Roman" w:cs="Times New Roman"/>
                <w:noProof/>
                <w:sz w:val="20"/>
                <w:szCs w:val="20"/>
              </w:rPr>
            </w:pPr>
          </w:p>
          <w:p>
            <w:pPr>
              <w:pStyle w:val="Default"/>
              <w:jc w:val="both"/>
              <w:rPr>
                <w:noProof/>
                <w:sz w:val="20"/>
                <w:szCs w:val="20"/>
              </w:rPr>
            </w:pPr>
            <w:r>
              <w:rPr>
                <w:noProof/>
                <w:sz w:val="20"/>
                <w:szCs w:val="20"/>
              </w:rPr>
              <w:t>Proposition de rapport technique sur l’élaboration de l’amendement 4 au RTM n° 2 de l’ONU (sur la méthode de mesure applicable aux motocycles équipés d’un moteur à allumage commandé ou d’un moteur à allumage par compression en ce qui concerne les émissions de gaz polluants, les émissions de CO</w:t>
            </w:r>
            <w:r>
              <w:rPr>
                <w:noProof/>
                <w:sz w:val="20"/>
                <w:szCs w:val="20"/>
                <w:vertAlign w:val="subscript"/>
              </w:rPr>
              <w:t>2</w:t>
            </w:r>
            <w:r>
              <w:rPr>
                <w:noProof/>
                <w:sz w:val="20"/>
                <w:szCs w:val="20"/>
              </w:rPr>
              <w:t xml:space="preserve"> et la consommation de carburant) </w:t>
            </w:r>
          </w:p>
          <w:p>
            <w:pPr>
              <w:pStyle w:val="SingleTxtG"/>
              <w:ind w:left="147" w:right="141"/>
              <w:rPr>
                <w:rFonts w:ascii="Times New Roman" w:hAnsi="Times New Roman" w:cs="Times New Roman"/>
                <w:noProof/>
                <w:sz w:val="20"/>
                <w:szCs w:val="20"/>
              </w:rPr>
            </w:pPr>
          </w:p>
          <w:p>
            <w:pPr>
              <w:pStyle w:val="Default"/>
              <w:rPr>
                <w:noProof/>
                <w:sz w:val="20"/>
              </w:rPr>
            </w:pPr>
            <w:r>
              <w:rPr>
                <w:noProof/>
                <w:sz w:val="20"/>
                <w:szCs w:val="20"/>
              </w:rPr>
              <w:t xml:space="preserve">Autorisation d’élaborer l’amendement 4 au règlement technique mondial </w:t>
            </w:r>
          </w:p>
        </w:tc>
        <w:tc>
          <w:tcPr>
            <w:tcW w:w="2977" w:type="dxa"/>
            <w:shd w:val="clear" w:color="auto" w:fill="auto"/>
          </w:tcPr>
          <w:p>
            <w:pPr>
              <w:rPr>
                <w:noProof/>
                <w:sz w:val="20"/>
                <w:szCs w:val="20"/>
              </w:rPr>
            </w:pPr>
            <w:r>
              <w:rPr>
                <w:noProof/>
                <w:sz w:val="20"/>
                <w:szCs w:val="20"/>
              </w:rPr>
              <w:t>ECE/TRANS/WP.29/2019/121</w:t>
            </w:r>
          </w:p>
          <w:p>
            <w:pPr>
              <w:rPr>
                <w:noProof/>
                <w:sz w:val="20"/>
                <w:szCs w:val="20"/>
              </w:rPr>
            </w:pPr>
          </w:p>
          <w:p>
            <w:pPr>
              <w:rPr>
                <w:noProof/>
                <w:sz w:val="20"/>
                <w:szCs w:val="20"/>
              </w:rPr>
            </w:pPr>
          </w:p>
          <w:p>
            <w:pPr>
              <w:rPr>
                <w:noProof/>
                <w:sz w:val="20"/>
                <w:szCs w:val="20"/>
              </w:rPr>
            </w:pPr>
          </w:p>
          <w:p>
            <w:pPr>
              <w:rPr>
                <w:noProof/>
                <w:sz w:val="20"/>
                <w:szCs w:val="20"/>
              </w:rPr>
            </w:pPr>
            <w:r>
              <w:rPr>
                <w:noProof/>
                <w:sz w:val="20"/>
                <w:szCs w:val="20"/>
              </w:rPr>
              <w:t>ECE/TRANS/WP.29/2019/122</w:t>
            </w:r>
          </w:p>
          <w:p>
            <w:pPr>
              <w:rPr>
                <w:noProof/>
                <w:sz w:val="20"/>
                <w:szCs w:val="20"/>
              </w:rPr>
            </w:pPr>
          </w:p>
          <w:p>
            <w:pPr>
              <w:rPr>
                <w:noProof/>
                <w:sz w:val="20"/>
                <w:szCs w:val="20"/>
              </w:rPr>
            </w:pPr>
          </w:p>
          <w:p>
            <w:pPr>
              <w:rPr>
                <w:noProof/>
                <w:sz w:val="20"/>
                <w:szCs w:val="20"/>
              </w:rPr>
            </w:pPr>
          </w:p>
          <w:p>
            <w:pPr>
              <w:rPr>
                <w:noProof/>
                <w:sz w:val="20"/>
                <w:szCs w:val="20"/>
              </w:rPr>
            </w:pPr>
          </w:p>
          <w:p>
            <w:pPr>
              <w:rPr>
                <w:noProof/>
                <w:sz w:val="20"/>
                <w:szCs w:val="20"/>
              </w:rPr>
            </w:pPr>
            <w:r>
              <w:rPr>
                <w:noProof/>
                <w:sz w:val="20"/>
                <w:szCs w:val="20"/>
              </w:rPr>
              <w:t>ECE/TRANS/WP.29/AC.3/36/Rev.1</w:t>
            </w:r>
          </w:p>
        </w:tc>
      </w:tr>
    </w:tbl>
    <w:p>
      <w:pPr>
        <w:pStyle w:val="Default"/>
        <w:rPr>
          <w:rFonts w:eastAsia="MS Mincho"/>
          <w:noProof/>
          <w:color w:val="auto"/>
          <w:sz w:val="20"/>
          <w:szCs w:val="20"/>
        </w:rPr>
      </w:pPr>
      <w:r>
        <w:rPr>
          <w:noProof/>
          <w:sz w:val="20"/>
          <w:szCs w:val="20"/>
        </w:rPr>
        <w:t xml:space="preserve"> </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4678"/>
        <w:gridCol w:w="2977"/>
      </w:tblGrid>
      <w:tr>
        <w:trPr>
          <w:trHeight w:val="465"/>
        </w:trPr>
        <w:tc>
          <w:tcPr>
            <w:tcW w:w="1291" w:type="dxa"/>
            <w:shd w:val="clear" w:color="auto" w:fill="auto"/>
            <w:hideMark/>
          </w:tcPr>
          <w:p>
            <w:pPr>
              <w:spacing w:before="0" w:after="0"/>
              <w:jc w:val="left"/>
              <w:rPr>
                <w:rFonts w:eastAsia="Times New Roman"/>
                <w:b/>
                <w:bCs/>
                <w:noProof/>
                <w:sz w:val="20"/>
                <w:szCs w:val="20"/>
              </w:rPr>
            </w:pPr>
            <w:r>
              <w:rPr>
                <w:b/>
                <w:bCs/>
                <w:noProof/>
                <w:sz w:val="20"/>
                <w:szCs w:val="20"/>
              </w:rPr>
              <w:t>Résolution n°</w:t>
            </w:r>
          </w:p>
        </w:tc>
        <w:tc>
          <w:tcPr>
            <w:tcW w:w="4678" w:type="dxa"/>
            <w:shd w:val="clear" w:color="auto" w:fill="auto"/>
            <w:hideMark/>
          </w:tcPr>
          <w:p>
            <w:pPr>
              <w:spacing w:before="0" w:after="0"/>
              <w:jc w:val="left"/>
              <w:rPr>
                <w:rFonts w:eastAsia="Times New Roman"/>
                <w:b/>
                <w:bCs/>
                <w:noProof/>
                <w:sz w:val="20"/>
                <w:szCs w:val="20"/>
              </w:rPr>
            </w:pPr>
            <w:r>
              <w:rPr>
                <w:b/>
                <w:bCs/>
                <w:noProof/>
                <w:sz w:val="20"/>
                <w:szCs w:val="20"/>
              </w:rPr>
              <w:t>Intitulé du point de l'ordre du jour</w:t>
            </w:r>
          </w:p>
        </w:tc>
        <w:tc>
          <w:tcPr>
            <w:tcW w:w="2977" w:type="dxa"/>
            <w:shd w:val="clear" w:color="auto" w:fill="auto"/>
            <w:hideMark/>
          </w:tcPr>
          <w:p>
            <w:pPr>
              <w:spacing w:before="0" w:after="0"/>
              <w:jc w:val="left"/>
              <w:rPr>
                <w:rFonts w:eastAsia="Times New Roman"/>
                <w:b/>
                <w:bCs/>
                <w:noProof/>
                <w:sz w:val="20"/>
                <w:szCs w:val="20"/>
              </w:rPr>
            </w:pPr>
            <w:r>
              <w:rPr>
                <w:b/>
                <w:bCs/>
                <w:noProof/>
                <w:sz w:val="20"/>
                <w:szCs w:val="20"/>
              </w:rPr>
              <w:t>Référence du document</w:t>
            </w:r>
          </w:p>
        </w:tc>
      </w:tr>
      <w:tr>
        <w:trPr>
          <w:trHeight w:val="600"/>
        </w:trPr>
        <w:tc>
          <w:tcPr>
            <w:tcW w:w="1291" w:type="dxa"/>
            <w:shd w:val="clear" w:color="auto" w:fill="auto"/>
          </w:tcPr>
          <w:p>
            <w:pPr>
              <w:rPr>
                <w:noProof/>
                <w:sz w:val="20"/>
                <w:szCs w:val="20"/>
              </w:rPr>
            </w:pPr>
            <w:r>
              <w:rPr>
                <w:noProof/>
                <w:sz w:val="20"/>
                <w:szCs w:val="20"/>
              </w:rPr>
              <w:t>R.E.3</w:t>
            </w:r>
          </w:p>
        </w:tc>
        <w:tc>
          <w:tcPr>
            <w:tcW w:w="4678" w:type="dxa"/>
            <w:shd w:val="clear" w:color="auto" w:fill="auto"/>
          </w:tcPr>
          <w:p>
            <w:pPr>
              <w:pStyle w:val="Default"/>
              <w:jc w:val="both"/>
              <w:rPr>
                <w:noProof/>
                <w:sz w:val="20"/>
                <w:szCs w:val="20"/>
              </w:rPr>
            </w:pPr>
            <w:r>
              <w:rPr>
                <w:noProof/>
                <w:sz w:val="20"/>
                <w:szCs w:val="20"/>
              </w:rPr>
              <w:t>Proposition d'amendement à la résolution d'ensemble sur la construction des véhicules (R.E.3)</w:t>
            </w:r>
          </w:p>
        </w:tc>
        <w:tc>
          <w:tcPr>
            <w:tcW w:w="2977" w:type="dxa"/>
            <w:shd w:val="clear" w:color="auto" w:fill="auto"/>
          </w:tcPr>
          <w:p>
            <w:pPr>
              <w:rPr>
                <w:noProof/>
                <w:sz w:val="20"/>
                <w:szCs w:val="20"/>
              </w:rPr>
            </w:pPr>
            <w:r>
              <w:rPr>
                <w:noProof/>
                <w:sz w:val="20"/>
                <w:szCs w:val="20"/>
              </w:rPr>
              <w:t>ECE/TRANS/WP.29/2019/117</w:t>
            </w:r>
          </w:p>
        </w:tc>
      </w:tr>
      <w:tr>
        <w:trPr>
          <w:trHeight w:val="600"/>
        </w:trPr>
        <w:tc>
          <w:tcPr>
            <w:tcW w:w="1291" w:type="dxa"/>
            <w:shd w:val="clear" w:color="auto" w:fill="auto"/>
          </w:tcPr>
          <w:p>
            <w:pPr>
              <w:rPr>
                <w:noProof/>
                <w:sz w:val="20"/>
                <w:szCs w:val="20"/>
              </w:rPr>
            </w:pPr>
            <w:r>
              <w:rPr>
                <w:noProof/>
                <w:sz w:val="20"/>
                <w:szCs w:val="20"/>
              </w:rPr>
              <w:t>R.E.3</w:t>
            </w:r>
          </w:p>
        </w:tc>
        <w:tc>
          <w:tcPr>
            <w:tcW w:w="4678" w:type="dxa"/>
            <w:shd w:val="clear" w:color="auto" w:fill="auto"/>
          </w:tcPr>
          <w:p>
            <w:pPr>
              <w:pStyle w:val="Default"/>
              <w:rPr>
                <w:rFonts w:eastAsiaTheme="minorHAnsi"/>
                <w:noProof/>
                <w:color w:val="auto"/>
                <w:sz w:val="20"/>
                <w:szCs w:val="20"/>
              </w:rPr>
            </w:pPr>
            <w:r>
              <w:rPr>
                <w:noProof/>
                <w:sz w:val="20"/>
                <w:szCs w:val="20"/>
              </w:rPr>
              <w:t xml:space="preserve">Proposition d'amendement à l’annexe 4 de la résolution d'ensemble sur la construction des véhicules (R.E.3) 3) </w:t>
            </w:r>
          </w:p>
        </w:tc>
        <w:tc>
          <w:tcPr>
            <w:tcW w:w="2977" w:type="dxa"/>
            <w:shd w:val="clear" w:color="auto" w:fill="auto"/>
          </w:tcPr>
          <w:p>
            <w:pPr>
              <w:rPr>
                <w:noProof/>
                <w:sz w:val="20"/>
                <w:szCs w:val="20"/>
              </w:rPr>
            </w:pPr>
            <w:r>
              <w:rPr>
                <w:noProof/>
                <w:sz w:val="20"/>
                <w:szCs w:val="20"/>
              </w:rPr>
              <w:t>ECE/TRANS/WP.29/2019/118,</w:t>
            </w:r>
          </w:p>
          <w:p>
            <w:pPr>
              <w:rPr>
                <w:noProof/>
                <w:sz w:val="20"/>
                <w:szCs w:val="20"/>
              </w:rPr>
            </w:pPr>
            <w:r>
              <w:rPr>
                <w:noProof/>
                <w:sz w:val="20"/>
                <w:szCs w:val="20"/>
              </w:rPr>
              <w:t>WP.29-179-06</w:t>
            </w:r>
          </w:p>
        </w:tc>
      </w:tr>
      <w:tr>
        <w:trPr>
          <w:trHeight w:val="600"/>
        </w:trPr>
        <w:tc>
          <w:tcPr>
            <w:tcW w:w="1291" w:type="dxa"/>
            <w:shd w:val="clear" w:color="auto" w:fill="auto"/>
          </w:tcPr>
          <w:p>
            <w:pPr>
              <w:rPr>
                <w:noProof/>
                <w:sz w:val="20"/>
                <w:szCs w:val="20"/>
              </w:rPr>
            </w:pPr>
            <w:r>
              <w:rPr>
                <w:noProof/>
                <w:sz w:val="20"/>
                <w:szCs w:val="20"/>
              </w:rPr>
              <w:t>R.E.5</w:t>
            </w:r>
          </w:p>
        </w:tc>
        <w:tc>
          <w:tcPr>
            <w:tcW w:w="4678" w:type="dxa"/>
            <w:shd w:val="clear" w:color="auto" w:fill="auto"/>
          </w:tcPr>
          <w:p>
            <w:pPr>
              <w:pStyle w:val="Default"/>
              <w:jc w:val="both"/>
              <w:rPr>
                <w:noProof/>
                <w:sz w:val="20"/>
                <w:szCs w:val="20"/>
              </w:rPr>
            </w:pPr>
            <w:r>
              <w:rPr>
                <w:noProof/>
                <w:sz w:val="20"/>
                <w:szCs w:val="20"/>
              </w:rPr>
              <w:t xml:space="preserve">Proposition d'amendement 4 à la résolution d'ensemble sur une spécification commune des catégories de sources lumineuses (R.E.5) </w:t>
            </w:r>
          </w:p>
        </w:tc>
        <w:tc>
          <w:tcPr>
            <w:tcW w:w="2977" w:type="dxa"/>
            <w:shd w:val="clear" w:color="auto" w:fill="auto"/>
          </w:tcPr>
          <w:p>
            <w:pPr>
              <w:rPr>
                <w:noProof/>
                <w:sz w:val="20"/>
                <w:szCs w:val="20"/>
              </w:rPr>
            </w:pPr>
            <w:r>
              <w:rPr>
                <w:noProof/>
                <w:sz w:val="20"/>
                <w:szCs w:val="20"/>
              </w:rPr>
              <w:t>ECE/TRANS/WP.29/2019/126</w:t>
            </w:r>
          </w:p>
        </w:tc>
      </w:tr>
      <w:tr>
        <w:trPr>
          <w:trHeight w:val="600"/>
        </w:trPr>
        <w:tc>
          <w:tcPr>
            <w:tcW w:w="1291" w:type="dxa"/>
            <w:shd w:val="clear" w:color="auto" w:fill="auto"/>
          </w:tcPr>
          <w:p>
            <w:pPr>
              <w:rPr>
                <w:noProof/>
                <w:sz w:val="20"/>
                <w:szCs w:val="20"/>
              </w:rPr>
            </w:pPr>
            <w:r>
              <w:rPr>
                <w:noProof/>
                <w:sz w:val="20"/>
                <w:szCs w:val="20"/>
              </w:rPr>
              <w:t>MR.1</w:t>
            </w:r>
          </w:p>
        </w:tc>
        <w:tc>
          <w:tcPr>
            <w:tcW w:w="4678" w:type="dxa"/>
            <w:shd w:val="clear" w:color="auto" w:fill="auto"/>
          </w:tcPr>
          <w:p>
            <w:pPr>
              <w:pStyle w:val="Default"/>
              <w:jc w:val="both"/>
              <w:rPr>
                <w:noProof/>
                <w:sz w:val="20"/>
                <w:szCs w:val="20"/>
              </w:rPr>
            </w:pPr>
            <w:r>
              <w:rPr>
                <w:noProof/>
                <w:sz w:val="20"/>
                <w:szCs w:val="20"/>
              </w:rPr>
              <w:t xml:space="preserve">Proposition d'amendement 2 à la résolution mutuelle n° 1 (R.M.1) – projet de troisième additif </w:t>
            </w:r>
          </w:p>
        </w:tc>
        <w:tc>
          <w:tcPr>
            <w:tcW w:w="2977" w:type="dxa"/>
            <w:shd w:val="clear" w:color="auto" w:fill="auto"/>
          </w:tcPr>
          <w:p>
            <w:pPr>
              <w:rPr>
                <w:noProof/>
                <w:sz w:val="20"/>
                <w:szCs w:val="20"/>
              </w:rPr>
            </w:pPr>
            <w:r>
              <w:rPr>
                <w:noProof/>
                <w:sz w:val="20"/>
                <w:szCs w:val="20"/>
              </w:rPr>
              <w:t>ECE/TRANS/WP.29/2019/119</w:t>
            </w:r>
          </w:p>
        </w:tc>
      </w:tr>
    </w:tbl>
    <w:p>
      <w:pPr>
        <w:rPr>
          <w:noProof/>
          <w:sz w:val="20"/>
          <w:szCs w:val="20"/>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4678"/>
        <w:gridCol w:w="2977"/>
      </w:tblGrid>
      <w:tr>
        <w:trPr>
          <w:trHeight w:val="465"/>
        </w:trPr>
        <w:tc>
          <w:tcPr>
            <w:tcW w:w="1291" w:type="dxa"/>
            <w:shd w:val="clear" w:color="auto" w:fill="auto"/>
            <w:hideMark/>
          </w:tcPr>
          <w:p>
            <w:pPr>
              <w:spacing w:before="0" w:after="0"/>
              <w:jc w:val="left"/>
              <w:rPr>
                <w:rFonts w:eastAsia="Times New Roman"/>
                <w:b/>
                <w:bCs/>
                <w:noProof/>
                <w:sz w:val="20"/>
                <w:szCs w:val="20"/>
              </w:rPr>
            </w:pPr>
            <w:r>
              <w:rPr>
                <w:b/>
                <w:bCs/>
                <w:noProof/>
                <w:sz w:val="20"/>
                <w:szCs w:val="20"/>
              </w:rPr>
              <w:t>Divers</w:t>
            </w:r>
          </w:p>
        </w:tc>
        <w:tc>
          <w:tcPr>
            <w:tcW w:w="4678" w:type="dxa"/>
            <w:shd w:val="clear" w:color="auto" w:fill="auto"/>
            <w:hideMark/>
          </w:tcPr>
          <w:p>
            <w:pPr>
              <w:spacing w:before="0" w:after="0"/>
              <w:jc w:val="left"/>
              <w:rPr>
                <w:rFonts w:eastAsia="Times New Roman"/>
                <w:b/>
                <w:bCs/>
                <w:noProof/>
                <w:sz w:val="20"/>
                <w:szCs w:val="20"/>
              </w:rPr>
            </w:pPr>
            <w:r>
              <w:rPr>
                <w:b/>
                <w:bCs/>
                <w:noProof/>
                <w:sz w:val="20"/>
                <w:szCs w:val="20"/>
              </w:rPr>
              <w:t>Intitulé du point de l'ordre du jour</w:t>
            </w:r>
          </w:p>
        </w:tc>
        <w:tc>
          <w:tcPr>
            <w:tcW w:w="2977" w:type="dxa"/>
            <w:shd w:val="clear" w:color="auto" w:fill="auto"/>
            <w:hideMark/>
          </w:tcPr>
          <w:p>
            <w:pPr>
              <w:spacing w:before="0" w:after="0"/>
              <w:jc w:val="left"/>
              <w:rPr>
                <w:rFonts w:eastAsia="Times New Roman"/>
                <w:b/>
                <w:bCs/>
                <w:noProof/>
                <w:sz w:val="20"/>
                <w:szCs w:val="20"/>
              </w:rPr>
            </w:pPr>
            <w:r>
              <w:rPr>
                <w:b/>
                <w:bCs/>
                <w:noProof/>
                <w:sz w:val="20"/>
                <w:szCs w:val="20"/>
              </w:rPr>
              <w:t>Référence du document</w:t>
            </w:r>
          </w:p>
        </w:tc>
      </w:tr>
      <w:tr>
        <w:trPr>
          <w:trHeight w:val="600"/>
        </w:trPr>
        <w:tc>
          <w:tcPr>
            <w:tcW w:w="1291" w:type="dxa"/>
            <w:shd w:val="clear" w:color="auto" w:fill="auto"/>
          </w:tcPr>
          <w:p>
            <w:pPr>
              <w:rPr>
                <w:noProof/>
                <w:sz w:val="20"/>
                <w:szCs w:val="20"/>
              </w:rPr>
            </w:pPr>
          </w:p>
        </w:tc>
        <w:tc>
          <w:tcPr>
            <w:tcW w:w="4678" w:type="dxa"/>
            <w:shd w:val="clear" w:color="auto" w:fill="auto"/>
          </w:tcPr>
          <w:p>
            <w:pPr>
              <w:pStyle w:val="Default"/>
              <w:jc w:val="both"/>
              <w:rPr>
                <w:noProof/>
                <w:sz w:val="20"/>
              </w:rPr>
            </w:pPr>
            <w:r>
              <w:rPr>
                <w:noProof/>
                <w:sz w:val="20"/>
                <w:szCs w:val="20"/>
              </w:rPr>
              <w:t xml:space="preserve">Proposition d’autorisation d’élaborer un amendement au RTM n° 6 de l’ONU </w:t>
            </w:r>
          </w:p>
        </w:tc>
        <w:tc>
          <w:tcPr>
            <w:tcW w:w="2977" w:type="dxa"/>
            <w:shd w:val="clear" w:color="auto" w:fill="auto"/>
          </w:tcPr>
          <w:p>
            <w:pPr>
              <w:rPr>
                <w:noProof/>
                <w:sz w:val="20"/>
                <w:szCs w:val="20"/>
              </w:rPr>
            </w:pPr>
            <w:r>
              <w:rPr>
                <w:noProof/>
                <w:sz w:val="20"/>
                <w:szCs w:val="20"/>
              </w:rPr>
              <w:t>ECE/TRANS/WP.29/2019/123</w:t>
            </w:r>
          </w:p>
        </w:tc>
      </w:tr>
      <w:tr>
        <w:trPr>
          <w:trHeight w:val="600"/>
        </w:trPr>
        <w:tc>
          <w:tcPr>
            <w:tcW w:w="1291" w:type="dxa"/>
            <w:shd w:val="clear" w:color="auto" w:fill="auto"/>
          </w:tcPr>
          <w:p>
            <w:pPr>
              <w:rPr>
                <w:noProof/>
                <w:sz w:val="20"/>
                <w:szCs w:val="20"/>
              </w:rPr>
            </w:pPr>
          </w:p>
        </w:tc>
        <w:tc>
          <w:tcPr>
            <w:tcW w:w="4678" w:type="dxa"/>
            <w:shd w:val="clear" w:color="auto" w:fill="auto"/>
          </w:tcPr>
          <w:p>
            <w:pPr>
              <w:pStyle w:val="Default"/>
              <w:jc w:val="both"/>
              <w:rPr>
                <w:noProof/>
                <w:sz w:val="20"/>
                <w:szCs w:val="22"/>
              </w:rPr>
            </w:pPr>
            <w:r>
              <w:rPr>
                <w:noProof/>
                <w:sz w:val="20"/>
                <w:szCs w:val="20"/>
              </w:rPr>
              <w:t>Proposition de révision 1 de l’autorisation d’élaborer un nouveau RTM de l’ONU relatif à la détermination de la puissance des véhicules électriques</w:t>
            </w:r>
          </w:p>
        </w:tc>
        <w:tc>
          <w:tcPr>
            <w:tcW w:w="2977" w:type="dxa"/>
            <w:shd w:val="clear" w:color="auto" w:fill="auto"/>
          </w:tcPr>
          <w:p>
            <w:pPr>
              <w:rPr>
                <w:noProof/>
                <w:sz w:val="20"/>
                <w:szCs w:val="20"/>
              </w:rPr>
            </w:pPr>
            <w:r>
              <w:rPr>
                <w:noProof/>
                <w:sz w:val="20"/>
                <w:szCs w:val="20"/>
              </w:rPr>
              <w:t>ECE/TRANS/WP.29/2019/124</w:t>
            </w:r>
          </w:p>
        </w:tc>
      </w:tr>
    </w:tbl>
    <w:p>
      <w:pPr>
        <w:rPr>
          <w:noProof/>
        </w:rPr>
        <w:sectPr>
          <w:footerReference w:type="default" r:id="rId16"/>
          <w:footerReference w:type="first" r:id="rId17"/>
          <w:pgSz w:w="11907" w:h="16839"/>
          <w:pgMar w:top="1134" w:right="1417" w:bottom="1134" w:left="1417" w:header="709" w:footer="709" w:gutter="0"/>
          <w:pgNumType w:start="1"/>
          <w:cols w:space="720"/>
          <w:docGrid w:linePitch="360"/>
        </w:sectPr>
      </w:pP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sz w:val="18"/>
          <w:lang w:val="fr-BE"/>
        </w:rPr>
      </w:pPr>
      <w:r>
        <w:rPr>
          <w:rStyle w:val="FootnoteReference"/>
        </w:rPr>
        <w:footnoteRef/>
      </w:r>
      <w:r>
        <w:rPr>
          <w:lang w:val="fr-BE"/>
        </w:rPr>
        <w:tab/>
      </w:r>
      <w:r>
        <w:rPr>
          <w:sz w:val="18"/>
          <w:lang w:val="fr-BE"/>
        </w:rPr>
        <w:t xml:space="preserve">Tous les documents auxquels il est fait référence dans le tableau sont disponibles à l’adresse: </w:t>
      </w:r>
    </w:p>
    <w:p>
      <w:pPr>
        <w:pStyle w:val="FootnoteText"/>
        <w:rPr>
          <w:sz w:val="18"/>
          <w:lang w:val="fr-BE"/>
        </w:rPr>
      </w:pPr>
      <w:hyperlink r:id="rId1" w:history="1">
        <w:r>
          <w:rPr>
            <w:rStyle w:val="Hyperlink"/>
            <w:sz w:val="18"/>
            <w:lang w:val="fr-BE"/>
          </w:rPr>
          <w:t>http://www.unece.org/trans/main/wp29/wp29wgs/wp29gen/gen2019.html</w:t>
        </w:r>
      </w:hyperlink>
    </w:p>
    <w:p>
      <w:pPr>
        <w:pStyle w:val="FootnoteText"/>
        <w:rPr>
          <w:sz w:val="18"/>
          <w:lang w:val="fr-B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2942D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6C83C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BD4DD18"/>
    <w:lvl w:ilvl="0">
      <w:start w:val="1"/>
      <w:numFmt w:val="decimal"/>
      <w:pStyle w:val="ListNumber2"/>
      <w:lvlText w:val="%1."/>
      <w:lvlJc w:val="left"/>
      <w:pPr>
        <w:tabs>
          <w:tab w:val="num" w:pos="643"/>
        </w:tabs>
        <w:ind w:left="643" w:hanging="360"/>
      </w:pPr>
    </w:lvl>
  </w:abstractNum>
  <w:abstractNum w:abstractNumId="4">
    <w:nsid w:val="FFFFFF81"/>
    <w:multiLevelType w:val="singleLevel"/>
    <w:tmpl w:val="82B0373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AB94DC26"/>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76168A06"/>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8"/>
    <w:multiLevelType w:val="singleLevel"/>
    <w:tmpl w:val="923A696E"/>
    <w:lvl w:ilvl="0">
      <w:start w:val="1"/>
      <w:numFmt w:val="decimal"/>
      <w:pStyle w:val="ListNumber"/>
      <w:lvlText w:val="%1."/>
      <w:lvlJc w:val="left"/>
      <w:pPr>
        <w:tabs>
          <w:tab w:val="num" w:pos="360"/>
        </w:tabs>
        <w:ind w:left="360" w:hanging="360"/>
      </w:pPr>
    </w:lvl>
  </w:abstractNum>
  <w:abstractNum w:abstractNumId="8">
    <w:nsid w:val="FFFFFF89"/>
    <w:multiLevelType w:val="singleLevel"/>
    <w:tmpl w:val="240C621C"/>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 w:numId="11">
    <w:abstractNumId w:val="20"/>
  </w:num>
  <w:num w:numId="12">
    <w:abstractNumId w:val="14"/>
  </w:num>
  <w:num w:numId="13">
    <w:abstractNumId w:val="22"/>
  </w:num>
  <w:num w:numId="14">
    <w:abstractNumId w:val="13"/>
  </w:num>
  <w:num w:numId="15">
    <w:abstractNumId w:val="15"/>
  </w:num>
  <w:num w:numId="16">
    <w:abstractNumId w:val="11"/>
  </w:num>
  <w:num w:numId="17">
    <w:abstractNumId w:val="21"/>
  </w:num>
  <w:num w:numId="18">
    <w:abstractNumId w:val="10"/>
  </w:num>
  <w:num w:numId="19">
    <w:abstractNumId w:val="16"/>
  </w:num>
  <w:num w:numId="20">
    <w:abstractNumId w:val="18"/>
  </w:num>
  <w:num w:numId="21">
    <w:abstractNumId w:val="19"/>
  </w:num>
  <w:num w:numId="22">
    <w:abstractNumId w:val="12"/>
  </w:num>
  <w:num w:numId="23">
    <w:abstractNumId w:val="17"/>
  </w:num>
  <w:num w:numId="24">
    <w:abstractNumId w:val="23"/>
  </w:num>
  <w:num w:numId="25">
    <w:abstractNumId w:val="20"/>
  </w:num>
  <w:num w:numId="26">
    <w:abstractNumId w:val="14"/>
  </w:num>
  <w:num w:numId="27">
    <w:abstractNumId w:val="22"/>
  </w:num>
  <w:num w:numId="28">
    <w:abstractNumId w:val="13"/>
  </w:num>
  <w:num w:numId="29">
    <w:abstractNumId w:val="15"/>
  </w:num>
  <w:num w:numId="30">
    <w:abstractNumId w:val="11"/>
  </w:num>
  <w:num w:numId="31">
    <w:abstractNumId w:val="21"/>
  </w:num>
  <w:num w:numId="32">
    <w:abstractNumId w:val="10"/>
  </w:num>
  <w:num w:numId="33">
    <w:abstractNumId w:val="16"/>
  </w:num>
  <w:num w:numId="34">
    <w:abstractNumId w:val="18"/>
  </w:num>
  <w:num w:numId="35">
    <w:abstractNumId w:val="19"/>
  </w:num>
  <w:num w:numId="36">
    <w:abstractNumId w:val="12"/>
  </w:num>
  <w:num w:numId="37">
    <w:abstractNumId w:val="17"/>
  </w:num>
  <w:num w:numId="38">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2048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11 14:11:2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3"/>
    <w:docVar w:name="DQCResult_UnknownFonts" w:val="0;0"/>
    <w:docVar w:name="DQCResult_UnknownStyles" w:val="0;2"/>
    <w:docVar w:name="DQCStatus" w:val="Green"/>
    <w:docVar w:name="DQCVersion" w:val="3"/>
    <w:docVar w:name="DQCWithWarnings" w:val="0"/>
    <w:docVar w:name="LW_ACCOMPAGNANT" w:val="de la"/>
    <w:docVar w:name="LW_ACCOMPAGNANT.CP" w:val="de la"/>
    <w:docVar w:name="LW_ANNEX_NBR_FIRST" w:val="1"/>
    <w:docVar w:name="LW_ANNEX_NBR_LAST" w:val="1"/>
    <w:docVar w:name="LW_ANNEX_UNIQUE" w:val="1"/>
    <w:docVar w:name="LW_CORRIGENDUM" w:val="&lt;UNUSED&gt;"/>
    <w:docVar w:name="LW_COVERPAGE_EXISTS" w:val="True"/>
    <w:docVar w:name="LW_COVERPAGE_GUID" w:val="F6641E94-90AD-4D7A-9A92-D86AD3F74BC3"/>
    <w:docVar w:name="LW_COVERPAGE_TYPE" w:val="1"/>
    <w:docVar w:name="LW_CROSSREFERENCE" w:val="&lt;UNUSED&gt;"/>
    <w:docVar w:name="LW_DocType" w:val="ANNEX"/>
    <w:docVar w:name="LW_EMISSION" w:val="11.10.2019"/>
    <w:docVar w:name="LW_EMISSION_ISODATE" w:val="2019-10-11"/>
    <w:docVar w:name="LW_EMISSION_LOCATION" w:val="BRX"/>
    <w:docVar w:name="LW_EMISSION_PREFIX" w:val="Bruxelles, le "/>
    <w:docVar w:name="LW_EMISSION_SUFFIX" w:val=" "/>
    <w:docVar w:name="LW_ID_DOCSTRUCTURE" w:val="COM/ANNEX"/>
    <w:docVar w:name="LW_ID_DOCTYPE" w:val="SG-017"/>
    <w:docVar w:name="LW_LANGUE" w:val="FR"/>
    <w:docVar w:name="LW_LEVEL_OF_SENSITIVITY" w:val="Standard treatment"/>
    <w:docVar w:name="LW_NOM.INST" w:val="COMMISSION EUROPÉENNE"/>
    <w:docVar w:name="LW_NOM.INST_JOINTDOC" w:val="&lt;EMPTY&gt;"/>
    <w:docVar w:name="LW_OBJETACTEPRINCIPAL" w:val="relative à la position à prendre au nom de l\u8217?Union européenne, au sein des comités compétents de la Commission économique pour l\u8217?Europe des Nations unies, sur les propositions de modifications des règlements nos 0, 16, 17, 21, 29, 43, 44, 48, 53, 55, 58, 67, 74, 80, 83, 85, 86, 98, 107, 112, 113, 115, 116, 123, 129, 135, 148, 149 et 150 de l\u8217?ONU, sur la proposition de modifications du règlement technique mondial (RTM) n° 2, sur la proposition d\u8217?amendements de la résolution mutuelle n° 1 (R.M.1), sur les propositions d\u8217?amendements aux résolutions d\u8217?ensemble R.E.3 et R.E.5, ainsi que sur les propositions d\u8217?autorisations d\u8217?élaborer un amendement au RTM n° 6 et un nouveau RTM relatif à la détermination de la puissance des véhicules électriques_x000d__x000d__x000d__x000d__x000d__x000d__x000d__x000d__x000d__x000b_"/>
    <w:docVar w:name="LW_OBJETACTEPRINCIPAL.CP" w:val="relative à la position à prendre au nom de l\u8217?Union européenne, au sein des comités compétents de la Commission économique pour l\u8217?Europe des Nations unies, sur les propositions de modifications des règlements nos 0, 16, 17, 21, 29, 43, 44, 48, 53, 55, 58, 67, 74, 80, 83, 85, 86, 98, 107, 112, 113, 115, 116, 123, 129, 135, 148, 149 et 150 de l\u8217?ONU, sur la proposition de modifications du règlement technique mondial (RTM) n° 2, sur la proposition d\u8217?amendements de la résolution mutuelle n° 1 (R.M.1), sur les propositions d\u8217?amendements aux résolutions d\u8217?ensemble R.E.3 et R.E.5, ainsi que sur les propositions d\u8217?autorisations d\u8217?élaborer un amendement au RTM n° 6 et un nouveau RTM relatif à la détermination de la puissance des véhicules électriques_x000d__x000d__x000d__x000d__x000d__x000d__x000d__x000d__x000d__x000b_"/>
    <w:docVar w:name="LW_PART_NBR" w:val="1"/>
    <w:docVar w:name="LW_PART_NBR_TOTAL" w:val="1"/>
    <w:docVar w:name="LW_REF.INST.NEW" w:val="COM"/>
    <w:docVar w:name="LW_REF.INST.NEW_ADOPTED" w:val="final"/>
    <w:docVar w:name="LW_REF.INST.NEW_TEXT" w:val="(2019) 48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E"/>
    <w:docVar w:name="LW_TYPE.DOC.CP" w:val="ANNEXE"/>
    <w:docVar w:name="LW_TYPEACTEPRINCIPAL" w:val="proposition de décision du Conseil"/>
    <w:docVar w:name="LW_TYPEACTEPRINCIPAL.CP" w:val="proposition de décis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uiPriority="0"/>
    <w:lsdException w:name="Table Subt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ingleTxtGChar">
    <w:name w:val="_ Single Txt_G Char"/>
    <w:link w:val="SingleTxtG"/>
    <w:rPr>
      <w:lang w:val="fr-FR"/>
    </w:rPr>
  </w:style>
  <w:style w:type="paragraph" w:customStyle="1" w:styleId="SingleTxtG">
    <w:name w:val="_ Single Txt_G"/>
    <w:basedOn w:val="Normal"/>
    <w:link w:val="SingleTxtGChar"/>
    <w:pPr>
      <w:suppressAutoHyphens/>
      <w:spacing w:before="0" w:line="240" w:lineRule="atLeast"/>
      <w:ind w:left="1134" w:right="1134"/>
    </w:pPr>
    <w:rPr>
      <w:rFonts w:asciiTheme="minorHAnsi" w:hAnsiTheme="minorHAnsi" w:cstheme="minorBidi"/>
      <w:sz w:val="22"/>
    </w:rPr>
  </w:style>
  <w:style w:type="paragraph" w:styleId="ListNumber5">
    <w:name w:val="List Number 5"/>
    <w:basedOn w:val="Normal"/>
    <w:semiHidden/>
    <w:pPr>
      <w:numPr>
        <w:numId w:val="9"/>
      </w:numPr>
      <w:suppressAutoHyphens/>
      <w:spacing w:before="0" w:after="0" w:line="240" w:lineRule="atLeast"/>
      <w:jc w:val="left"/>
    </w:pPr>
    <w:rPr>
      <w:rFonts w:eastAsia="Times New Roman"/>
      <w:sz w:val="20"/>
      <w:szCs w:val="20"/>
    </w:rPr>
  </w:style>
  <w:style w:type="paragraph" w:customStyle="1" w:styleId="Default">
    <w:name w:val="Default"/>
    <w:basedOn w:val="Normal"/>
    <w:pPr>
      <w:autoSpaceDE w:val="0"/>
      <w:autoSpaceDN w:val="0"/>
      <w:spacing w:before="0" w:after="0"/>
      <w:jc w:val="left"/>
    </w:pPr>
    <w:rPr>
      <w:rFonts w:eastAsia="SimSun"/>
      <w:color w:val="000000"/>
      <w:szCs w:val="24"/>
    </w:rPr>
  </w:style>
  <w:style w:type="paragraph" w:customStyle="1" w:styleId="H56G">
    <w:name w:val="_ H_5/6_G"/>
    <w:basedOn w:val="Normal"/>
    <w:next w:val="Normal"/>
    <w:pPr>
      <w:keepNext/>
      <w:keepLines/>
      <w:tabs>
        <w:tab w:val="right" w:pos="851"/>
      </w:tabs>
      <w:suppressAutoHyphens/>
      <w:spacing w:before="240" w:line="240" w:lineRule="exact"/>
      <w:ind w:left="1134" w:right="1134" w:hanging="1134"/>
      <w:jc w:val="left"/>
    </w:pPr>
    <w:rPr>
      <w:rFonts w:eastAsia="Times New Roman"/>
      <w:sz w:val="20"/>
      <w:szCs w:val="20"/>
    </w:rPr>
  </w:style>
  <w:style w:type="table" w:styleId="TableSubtle1">
    <w:name w:val="Table Subtle 1"/>
    <w:basedOn w:val="TableNormal"/>
    <w:semiHidden/>
    <w:pPr>
      <w:suppressAutoHyphens/>
      <w:spacing w:after="0" w:line="240" w:lineRule="atLeast"/>
    </w:pPr>
    <w:rPr>
      <w:rFonts w:ascii="Times New Roman" w:eastAsia="Times New Roman" w:hAnsi="Times New Roman" w:cs="Times New Roman"/>
      <w:sz w:val="20"/>
      <w:szCs w:val="20"/>
      <w:lang w:val="fr-BE"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pPr>
      <w:numPr>
        <w:numId w:val="10"/>
      </w:numPr>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uiPriority="0"/>
    <w:lsdException w:name="Table Subt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ingleTxtGChar">
    <w:name w:val="_ Single Txt_G Char"/>
    <w:link w:val="SingleTxtG"/>
    <w:rPr>
      <w:lang w:val="fr-FR"/>
    </w:rPr>
  </w:style>
  <w:style w:type="paragraph" w:customStyle="1" w:styleId="SingleTxtG">
    <w:name w:val="_ Single Txt_G"/>
    <w:basedOn w:val="Normal"/>
    <w:link w:val="SingleTxtGChar"/>
    <w:pPr>
      <w:suppressAutoHyphens/>
      <w:spacing w:before="0" w:line="240" w:lineRule="atLeast"/>
      <w:ind w:left="1134" w:right="1134"/>
    </w:pPr>
    <w:rPr>
      <w:rFonts w:asciiTheme="minorHAnsi" w:hAnsiTheme="minorHAnsi" w:cstheme="minorBidi"/>
      <w:sz w:val="22"/>
    </w:rPr>
  </w:style>
  <w:style w:type="paragraph" w:styleId="ListNumber5">
    <w:name w:val="List Number 5"/>
    <w:basedOn w:val="Normal"/>
    <w:semiHidden/>
    <w:pPr>
      <w:numPr>
        <w:numId w:val="9"/>
      </w:numPr>
      <w:suppressAutoHyphens/>
      <w:spacing w:before="0" w:after="0" w:line="240" w:lineRule="atLeast"/>
      <w:jc w:val="left"/>
    </w:pPr>
    <w:rPr>
      <w:rFonts w:eastAsia="Times New Roman"/>
      <w:sz w:val="20"/>
      <w:szCs w:val="20"/>
    </w:rPr>
  </w:style>
  <w:style w:type="paragraph" w:customStyle="1" w:styleId="Default">
    <w:name w:val="Default"/>
    <w:basedOn w:val="Normal"/>
    <w:pPr>
      <w:autoSpaceDE w:val="0"/>
      <w:autoSpaceDN w:val="0"/>
      <w:spacing w:before="0" w:after="0"/>
      <w:jc w:val="left"/>
    </w:pPr>
    <w:rPr>
      <w:rFonts w:eastAsia="SimSun"/>
      <w:color w:val="000000"/>
      <w:szCs w:val="24"/>
    </w:rPr>
  </w:style>
  <w:style w:type="paragraph" w:customStyle="1" w:styleId="H56G">
    <w:name w:val="_ H_5/6_G"/>
    <w:basedOn w:val="Normal"/>
    <w:next w:val="Normal"/>
    <w:pPr>
      <w:keepNext/>
      <w:keepLines/>
      <w:tabs>
        <w:tab w:val="right" w:pos="851"/>
      </w:tabs>
      <w:suppressAutoHyphens/>
      <w:spacing w:before="240" w:line="240" w:lineRule="exact"/>
      <w:ind w:left="1134" w:right="1134" w:hanging="1134"/>
      <w:jc w:val="left"/>
    </w:pPr>
    <w:rPr>
      <w:rFonts w:eastAsia="Times New Roman"/>
      <w:sz w:val="20"/>
      <w:szCs w:val="20"/>
    </w:rPr>
  </w:style>
  <w:style w:type="table" w:styleId="TableSubtle1">
    <w:name w:val="Table Subtle 1"/>
    <w:basedOn w:val="TableNormal"/>
    <w:semiHidden/>
    <w:pPr>
      <w:suppressAutoHyphens/>
      <w:spacing w:after="0" w:line="240" w:lineRule="atLeast"/>
    </w:pPr>
    <w:rPr>
      <w:rFonts w:ascii="Times New Roman" w:eastAsia="Times New Roman" w:hAnsi="Times New Roman" w:cs="Times New Roman"/>
      <w:sz w:val="20"/>
      <w:szCs w:val="20"/>
      <w:lang w:val="fr-BE"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pPr>
      <w:numPr>
        <w:numId w:val="10"/>
      </w:numPr>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9432">
      <w:bodyDiv w:val="1"/>
      <w:marLeft w:val="0"/>
      <w:marRight w:val="0"/>
      <w:marTop w:val="0"/>
      <w:marBottom w:val="0"/>
      <w:divBdr>
        <w:top w:val="none" w:sz="0" w:space="0" w:color="auto"/>
        <w:left w:val="none" w:sz="0" w:space="0" w:color="auto"/>
        <w:bottom w:val="none" w:sz="0" w:space="0" w:color="auto"/>
        <w:right w:val="none" w:sz="0" w:space="0" w:color="auto"/>
      </w:divBdr>
    </w:div>
    <w:div w:id="111828688">
      <w:bodyDiv w:val="1"/>
      <w:marLeft w:val="0"/>
      <w:marRight w:val="0"/>
      <w:marTop w:val="0"/>
      <w:marBottom w:val="0"/>
      <w:divBdr>
        <w:top w:val="none" w:sz="0" w:space="0" w:color="auto"/>
        <w:left w:val="none" w:sz="0" w:space="0" w:color="auto"/>
        <w:bottom w:val="none" w:sz="0" w:space="0" w:color="auto"/>
        <w:right w:val="none" w:sz="0" w:space="0" w:color="auto"/>
      </w:divBdr>
    </w:div>
    <w:div w:id="138503308">
      <w:bodyDiv w:val="1"/>
      <w:marLeft w:val="0"/>
      <w:marRight w:val="0"/>
      <w:marTop w:val="0"/>
      <w:marBottom w:val="0"/>
      <w:divBdr>
        <w:top w:val="none" w:sz="0" w:space="0" w:color="auto"/>
        <w:left w:val="none" w:sz="0" w:space="0" w:color="auto"/>
        <w:bottom w:val="none" w:sz="0" w:space="0" w:color="auto"/>
        <w:right w:val="none" w:sz="0" w:space="0" w:color="auto"/>
      </w:divBdr>
    </w:div>
    <w:div w:id="142505270">
      <w:bodyDiv w:val="1"/>
      <w:marLeft w:val="0"/>
      <w:marRight w:val="0"/>
      <w:marTop w:val="0"/>
      <w:marBottom w:val="0"/>
      <w:divBdr>
        <w:top w:val="none" w:sz="0" w:space="0" w:color="auto"/>
        <w:left w:val="none" w:sz="0" w:space="0" w:color="auto"/>
        <w:bottom w:val="none" w:sz="0" w:space="0" w:color="auto"/>
        <w:right w:val="none" w:sz="0" w:space="0" w:color="auto"/>
      </w:divBdr>
    </w:div>
    <w:div w:id="170341956">
      <w:bodyDiv w:val="1"/>
      <w:marLeft w:val="0"/>
      <w:marRight w:val="0"/>
      <w:marTop w:val="0"/>
      <w:marBottom w:val="0"/>
      <w:divBdr>
        <w:top w:val="none" w:sz="0" w:space="0" w:color="auto"/>
        <w:left w:val="none" w:sz="0" w:space="0" w:color="auto"/>
        <w:bottom w:val="none" w:sz="0" w:space="0" w:color="auto"/>
        <w:right w:val="none" w:sz="0" w:space="0" w:color="auto"/>
      </w:divBdr>
    </w:div>
    <w:div w:id="184170899">
      <w:bodyDiv w:val="1"/>
      <w:marLeft w:val="0"/>
      <w:marRight w:val="0"/>
      <w:marTop w:val="0"/>
      <w:marBottom w:val="0"/>
      <w:divBdr>
        <w:top w:val="none" w:sz="0" w:space="0" w:color="auto"/>
        <w:left w:val="none" w:sz="0" w:space="0" w:color="auto"/>
        <w:bottom w:val="none" w:sz="0" w:space="0" w:color="auto"/>
        <w:right w:val="none" w:sz="0" w:space="0" w:color="auto"/>
      </w:divBdr>
    </w:div>
    <w:div w:id="201290352">
      <w:bodyDiv w:val="1"/>
      <w:marLeft w:val="0"/>
      <w:marRight w:val="0"/>
      <w:marTop w:val="0"/>
      <w:marBottom w:val="0"/>
      <w:divBdr>
        <w:top w:val="none" w:sz="0" w:space="0" w:color="auto"/>
        <w:left w:val="none" w:sz="0" w:space="0" w:color="auto"/>
        <w:bottom w:val="none" w:sz="0" w:space="0" w:color="auto"/>
        <w:right w:val="none" w:sz="0" w:space="0" w:color="auto"/>
      </w:divBdr>
    </w:div>
    <w:div w:id="238174989">
      <w:bodyDiv w:val="1"/>
      <w:marLeft w:val="0"/>
      <w:marRight w:val="0"/>
      <w:marTop w:val="0"/>
      <w:marBottom w:val="0"/>
      <w:divBdr>
        <w:top w:val="none" w:sz="0" w:space="0" w:color="auto"/>
        <w:left w:val="none" w:sz="0" w:space="0" w:color="auto"/>
        <w:bottom w:val="none" w:sz="0" w:space="0" w:color="auto"/>
        <w:right w:val="none" w:sz="0" w:space="0" w:color="auto"/>
      </w:divBdr>
    </w:div>
    <w:div w:id="343676691">
      <w:bodyDiv w:val="1"/>
      <w:marLeft w:val="0"/>
      <w:marRight w:val="0"/>
      <w:marTop w:val="0"/>
      <w:marBottom w:val="0"/>
      <w:divBdr>
        <w:top w:val="none" w:sz="0" w:space="0" w:color="auto"/>
        <w:left w:val="none" w:sz="0" w:space="0" w:color="auto"/>
        <w:bottom w:val="none" w:sz="0" w:space="0" w:color="auto"/>
        <w:right w:val="none" w:sz="0" w:space="0" w:color="auto"/>
      </w:divBdr>
    </w:div>
    <w:div w:id="374044499">
      <w:bodyDiv w:val="1"/>
      <w:marLeft w:val="0"/>
      <w:marRight w:val="0"/>
      <w:marTop w:val="0"/>
      <w:marBottom w:val="0"/>
      <w:divBdr>
        <w:top w:val="none" w:sz="0" w:space="0" w:color="auto"/>
        <w:left w:val="none" w:sz="0" w:space="0" w:color="auto"/>
        <w:bottom w:val="none" w:sz="0" w:space="0" w:color="auto"/>
        <w:right w:val="none" w:sz="0" w:space="0" w:color="auto"/>
      </w:divBdr>
    </w:div>
    <w:div w:id="450436389">
      <w:bodyDiv w:val="1"/>
      <w:marLeft w:val="0"/>
      <w:marRight w:val="0"/>
      <w:marTop w:val="0"/>
      <w:marBottom w:val="0"/>
      <w:divBdr>
        <w:top w:val="none" w:sz="0" w:space="0" w:color="auto"/>
        <w:left w:val="none" w:sz="0" w:space="0" w:color="auto"/>
        <w:bottom w:val="none" w:sz="0" w:space="0" w:color="auto"/>
        <w:right w:val="none" w:sz="0" w:space="0" w:color="auto"/>
      </w:divBdr>
    </w:div>
    <w:div w:id="504365913">
      <w:bodyDiv w:val="1"/>
      <w:marLeft w:val="0"/>
      <w:marRight w:val="0"/>
      <w:marTop w:val="0"/>
      <w:marBottom w:val="0"/>
      <w:divBdr>
        <w:top w:val="none" w:sz="0" w:space="0" w:color="auto"/>
        <w:left w:val="none" w:sz="0" w:space="0" w:color="auto"/>
        <w:bottom w:val="none" w:sz="0" w:space="0" w:color="auto"/>
        <w:right w:val="none" w:sz="0" w:space="0" w:color="auto"/>
      </w:divBdr>
    </w:div>
    <w:div w:id="516386169">
      <w:bodyDiv w:val="1"/>
      <w:marLeft w:val="0"/>
      <w:marRight w:val="0"/>
      <w:marTop w:val="0"/>
      <w:marBottom w:val="0"/>
      <w:divBdr>
        <w:top w:val="none" w:sz="0" w:space="0" w:color="auto"/>
        <w:left w:val="none" w:sz="0" w:space="0" w:color="auto"/>
        <w:bottom w:val="none" w:sz="0" w:space="0" w:color="auto"/>
        <w:right w:val="none" w:sz="0" w:space="0" w:color="auto"/>
      </w:divBdr>
    </w:div>
    <w:div w:id="573007855">
      <w:bodyDiv w:val="1"/>
      <w:marLeft w:val="0"/>
      <w:marRight w:val="0"/>
      <w:marTop w:val="0"/>
      <w:marBottom w:val="0"/>
      <w:divBdr>
        <w:top w:val="none" w:sz="0" w:space="0" w:color="auto"/>
        <w:left w:val="none" w:sz="0" w:space="0" w:color="auto"/>
        <w:bottom w:val="none" w:sz="0" w:space="0" w:color="auto"/>
        <w:right w:val="none" w:sz="0" w:space="0" w:color="auto"/>
      </w:divBdr>
    </w:div>
    <w:div w:id="640967684">
      <w:bodyDiv w:val="1"/>
      <w:marLeft w:val="0"/>
      <w:marRight w:val="0"/>
      <w:marTop w:val="0"/>
      <w:marBottom w:val="0"/>
      <w:divBdr>
        <w:top w:val="none" w:sz="0" w:space="0" w:color="auto"/>
        <w:left w:val="none" w:sz="0" w:space="0" w:color="auto"/>
        <w:bottom w:val="none" w:sz="0" w:space="0" w:color="auto"/>
        <w:right w:val="none" w:sz="0" w:space="0" w:color="auto"/>
      </w:divBdr>
    </w:div>
    <w:div w:id="681979674">
      <w:bodyDiv w:val="1"/>
      <w:marLeft w:val="0"/>
      <w:marRight w:val="0"/>
      <w:marTop w:val="0"/>
      <w:marBottom w:val="0"/>
      <w:divBdr>
        <w:top w:val="none" w:sz="0" w:space="0" w:color="auto"/>
        <w:left w:val="none" w:sz="0" w:space="0" w:color="auto"/>
        <w:bottom w:val="none" w:sz="0" w:space="0" w:color="auto"/>
        <w:right w:val="none" w:sz="0" w:space="0" w:color="auto"/>
      </w:divBdr>
    </w:div>
    <w:div w:id="684404924">
      <w:bodyDiv w:val="1"/>
      <w:marLeft w:val="0"/>
      <w:marRight w:val="0"/>
      <w:marTop w:val="0"/>
      <w:marBottom w:val="0"/>
      <w:divBdr>
        <w:top w:val="none" w:sz="0" w:space="0" w:color="auto"/>
        <w:left w:val="none" w:sz="0" w:space="0" w:color="auto"/>
        <w:bottom w:val="none" w:sz="0" w:space="0" w:color="auto"/>
        <w:right w:val="none" w:sz="0" w:space="0" w:color="auto"/>
      </w:divBdr>
    </w:div>
    <w:div w:id="855772137">
      <w:bodyDiv w:val="1"/>
      <w:marLeft w:val="0"/>
      <w:marRight w:val="0"/>
      <w:marTop w:val="0"/>
      <w:marBottom w:val="0"/>
      <w:divBdr>
        <w:top w:val="none" w:sz="0" w:space="0" w:color="auto"/>
        <w:left w:val="none" w:sz="0" w:space="0" w:color="auto"/>
        <w:bottom w:val="none" w:sz="0" w:space="0" w:color="auto"/>
        <w:right w:val="none" w:sz="0" w:space="0" w:color="auto"/>
      </w:divBdr>
    </w:div>
    <w:div w:id="901910588">
      <w:bodyDiv w:val="1"/>
      <w:marLeft w:val="0"/>
      <w:marRight w:val="0"/>
      <w:marTop w:val="0"/>
      <w:marBottom w:val="0"/>
      <w:divBdr>
        <w:top w:val="none" w:sz="0" w:space="0" w:color="auto"/>
        <w:left w:val="none" w:sz="0" w:space="0" w:color="auto"/>
        <w:bottom w:val="none" w:sz="0" w:space="0" w:color="auto"/>
        <w:right w:val="none" w:sz="0" w:space="0" w:color="auto"/>
      </w:divBdr>
    </w:div>
    <w:div w:id="969825675">
      <w:bodyDiv w:val="1"/>
      <w:marLeft w:val="0"/>
      <w:marRight w:val="0"/>
      <w:marTop w:val="0"/>
      <w:marBottom w:val="0"/>
      <w:divBdr>
        <w:top w:val="none" w:sz="0" w:space="0" w:color="auto"/>
        <w:left w:val="none" w:sz="0" w:space="0" w:color="auto"/>
        <w:bottom w:val="none" w:sz="0" w:space="0" w:color="auto"/>
        <w:right w:val="none" w:sz="0" w:space="0" w:color="auto"/>
      </w:divBdr>
    </w:div>
    <w:div w:id="990865892">
      <w:bodyDiv w:val="1"/>
      <w:marLeft w:val="0"/>
      <w:marRight w:val="0"/>
      <w:marTop w:val="0"/>
      <w:marBottom w:val="0"/>
      <w:divBdr>
        <w:top w:val="none" w:sz="0" w:space="0" w:color="auto"/>
        <w:left w:val="none" w:sz="0" w:space="0" w:color="auto"/>
        <w:bottom w:val="none" w:sz="0" w:space="0" w:color="auto"/>
        <w:right w:val="none" w:sz="0" w:space="0" w:color="auto"/>
      </w:divBdr>
    </w:div>
    <w:div w:id="991299113">
      <w:bodyDiv w:val="1"/>
      <w:marLeft w:val="0"/>
      <w:marRight w:val="0"/>
      <w:marTop w:val="0"/>
      <w:marBottom w:val="0"/>
      <w:divBdr>
        <w:top w:val="none" w:sz="0" w:space="0" w:color="auto"/>
        <w:left w:val="none" w:sz="0" w:space="0" w:color="auto"/>
        <w:bottom w:val="none" w:sz="0" w:space="0" w:color="auto"/>
        <w:right w:val="none" w:sz="0" w:space="0" w:color="auto"/>
      </w:divBdr>
    </w:div>
    <w:div w:id="1080249696">
      <w:bodyDiv w:val="1"/>
      <w:marLeft w:val="0"/>
      <w:marRight w:val="0"/>
      <w:marTop w:val="0"/>
      <w:marBottom w:val="0"/>
      <w:divBdr>
        <w:top w:val="none" w:sz="0" w:space="0" w:color="auto"/>
        <w:left w:val="none" w:sz="0" w:space="0" w:color="auto"/>
        <w:bottom w:val="none" w:sz="0" w:space="0" w:color="auto"/>
        <w:right w:val="none" w:sz="0" w:space="0" w:color="auto"/>
      </w:divBdr>
    </w:div>
    <w:div w:id="1092051145">
      <w:bodyDiv w:val="1"/>
      <w:marLeft w:val="0"/>
      <w:marRight w:val="0"/>
      <w:marTop w:val="0"/>
      <w:marBottom w:val="0"/>
      <w:divBdr>
        <w:top w:val="none" w:sz="0" w:space="0" w:color="auto"/>
        <w:left w:val="none" w:sz="0" w:space="0" w:color="auto"/>
        <w:bottom w:val="none" w:sz="0" w:space="0" w:color="auto"/>
        <w:right w:val="none" w:sz="0" w:space="0" w:color="auto"/>
      </w:divBdr>
    </w:div>
    <w:div w:id="1156922010">
      <w:bodyDiv w:val="1"/>
      <w:marLeft w:val="0"/>
      <w:marRight w:val="0"/>
      <w:marTop w:val="0"/>
      <w:marBottom w:val="0"/>
      <w:divBdr>
        <w:top w:val="none" w:sz="0" w:space="0" w:color="auto"/>
        <w:left w:val="none" w:sz="0" w:space="0" w:color="auto"/>
        <w:bottom w:val="none" w:sz="0" w:space="0" w:color="auto"/>
        <w:right w:val="none" w:sz="0" w:space="0" w:color="auto"/>
      </w:divBdr>
    </w:div>
    <w:div w:id="1269195738">
      <w:bodyDiv w:val="1"/>
      <w:marLeft w:val="0"/>
      <w:marRight w:val="0"/>
      <w:marTop w:val="0"/>
      <w:marBottom w:val="0"/>
      <w:divBdr>
        <w:top w:val="none" w:sz="0" w:space="0" w:color="auto"/>
        <w:left w:val="none" w:sz="0" w:space="0" w:color="auto"/>
        <w:bottom w:val="none" w:sz="0" w:space="0" w:color="auto"/>
        <w:right w:val="none" w:sz="0" w:space="0" w:color="auto"/>
      </w:divBdr>
    </w:div>
    <w:div w:id="1276327042">
      <w:bodyDiv w:val="1"/>
      <w:marLeft w:val="0"/>
      <w:marRight w:val="0"/>
      <w:marTop w:val="0"/>
      <w:marBottom w:val="0"/>
      <w:divBdr>
        <w:top w:val="none" w:sz="0" w:space="0" w:color="auto"/>
        <w:left w:val="none" w:sz="0" w:space="0" w:color="auto"/>
        <w:bottom w:val="none" w:sz="0" w:space="0" w:color="auto"/>
        <w:right w:val="none" w:sz="0" w:space="0" w:color="auto"/>
      </w:divBdr>
    </w:div>
    <w:div w:id="1337735261">
      <w:bodyDiv w:val="1"/>
      <w:marLeft w:val="0"/>
      <w:marRight w:val="0"/>
      <w:marTop w:val="0"/>
      <w:marBottom w:val="0"/>
      <w:divBdr>
        <w:top w:val="none" w:sz="0" w:space="0" w:color="auto"/>
        <w:left w:val="none" w:sz="0" w:space="0" w:color="auto"/>
        <w:bottom w:val="none" w:sz="0" w:space="0" w:color="auto"/>
        <w:right w:val="none" w:sz="0" w:space="0" w:color="auto"/>
      </w:divBdr>
    </w:div>
    <w:div w:id="1350335239">
      <w:bodyDiv w:val="1"/>
      <w:marLeft w:val="0"/>
      <w:marRight w:val="0"/>
      <w:marTop w:val="0"/>
      <w:marBottom w:val="0"/>
      <w:divBdr>
        <w:top w:val="none" w:sz="0" w:space="0" w:color="auto"/>
        <w:left w:val="none" w:sz="0" w:space="0" w:color="auto"/>
        <w:bottom w:val="none" w:sz="0" w:space="0" w:color="auto"/>
        <w:right w:val="none" w:sz="0" w:space="0" w:color="auto"/>
      </w:divBdr>
    </w:div>
    <w:div w:id="1356351216">
      <w:bodyDiv w:val="1"/>
      <w:marLeft w:val="0"/>
      <w:marRight w:val="0"/>
      <w:marTop w:val="0"/>
      <w:marBottom w:val="0"/>
      <w:divBdr>
        <w:top w:val="none" w:sz="0" w:space="0" w:color="auto"/>
        <w:left w:val="none" w:sz="0" w:space="0" w:color="auto"/>
        <w:bottom w:val="none" w:sz="0" w:space="0" w:color="auto"/>
        <w:right w:val="none" w:sz="0" w:space="0" w:color="auto"/>
      </w:divBdr>
    </w:div>
    <w:div w:id="1367486472">
      <w:bodyDiv w:val="1"/>
      <w:marLeft w:val="0"/>
      <w:marRight w:val="0"/>
      <w:marTop w:val="0"/>
      <w:marBottom w:val="0"/>
      <w:divBdr>
        <w:top w:val="none" w:sz="0" w:space="0" w:color="auto"/>
        <w:left w:val="none" w:sz="0" w:space="0" w:color="auto"/>
        <w:bottom w:val="none" w:sz="0" w:space="0" w:color="auto"/>
        <w:right w:val="none" w:sz="0" w:space="0" w:color="auto"/>
      </w:divBdr>
    </w:div>
    <w:div w:id="1390415999">
      <w:bodyDiv w:val="1"/>
      <w:marLeft w:val="0"/>
      <w:marRight w:val="0"/>
      <w:marTop w:val="0"/>
      <w:marBottom w:val="0"/>
      <w:divBdr>
        <w:top w:val="none" w:sz="0" w:space="0" w:color="auto"/>
        <w:left w:val="none" w:sz="0" w:space="0" w:color="auto"/>
        <w:bottom w:val="none" w:sz="0" w:space="0" w:color="auto"/>
        <w:right w:val="none" w:sz="0" w:space="0" w:color="auto"/>
      </w:divBdr>
    </w:div>
    <w:div w:id="1407339107">
      <w:bodyDiv w:val="1"/>
      <w:marLeft w:val="0"/>
      <w:marRight w:val="0"/>
      <w:marTop w:val="0"/>
      <w:marBottom w:val="0"/>
      <w:divBdr>
        <w:top w:val="none" w:sz="0" w:space="0" w:color="auto"/>
        <w:left w:val="none" w:sz="0" w:space="0" w:color="auto"/>
        <w:bottom w:val="none" w:sz="0" w:space="0" w:color="auto"/>
        <w:right w:val="none" w:sz="0" w:space="0" w:color="auto"/>
      </w:divBdr>
    </w:div>
    <w:div w:id="1423061380">
      <w:bodyDiv w:val="1"/>
      <w:marLeft w:val="0"/>
      <w:marRight w:val="0"/>
      <w:marTop w:val="0"/>
      <w:marBottom w:val="0"/>
      <w:divBdr>
        <w:top w:val="none" w:sz="0" w:space="0" w:color="auto"/>
        <w:left w:val="none" w:sz="0" w:space="0" w:color="auto"/>
        <w:bottom w:val="none" w:sz="0" w:space="0" w:color="auto"/>
        <w:right w:val="none" w:sz="0" w:space="0" w:color="auto"/>
      </w:divBdr>
    </w:div>
    <w:div w:id="1425153666">
      <w:bodyDiv w:val="1"/>
      <w:marLeft w:val="0"/>
      <w:marRight w:val="0"/>
      <w:marTop w:val="0"/>
      <w:marBottom w:val="0"/>
      <w:divBdr>
        <w:top w:val="none" w:sz="0" w:space="0" w:color="auto"/>
        <w:left w:val="none" w:sz="0" w:space="0" w:color="auto"/>
        <w:bottom w:val="none" w:sz="0" w:space="0" w:color="auto"/>
        <w:right w:val="none" w:sz="0" w:space="0" w:color="auto"/>
      </w:divBdr>
    </w:div>
    <w:div w:id="1434470401">
      <w:bodyDiv w:val="1"/>
      <w:marLeft w:val="0"/>
      <w:marRight w:val="0"/>
      <w:marTop w:val="0"/>
      <w:marBottom w:val="0"/>
      <w:divBdr>
        <w:top w:val="none" w:sz="0" w:space="0" w:color="auto"/>
        <w:left w:val="none" w:sz="0" w:space="0" w:color="auto"/>
        <w:bottom w:val="none" w:sz="0" w:space="0" w:color="auto"/>
        <w:right w:val="none" w:sz="0" w:space="0" w:color="auto"/>
      </w:divBdr>
    </w:div>
    <w:div w:id="1503550542">
      <w:bodyDiv w:val="1"/>
      <w:marLeft w:val="0"/>
      <w:marRight w:val="0"/>
      <w:marTop w:val="0"/>
      <w:marBottom w:val="0"/>
      <w:divBdr>
        <w:top w:val="none" w:sz="0" w:space="0" w:color="auto"/>
        <w:left w:val="none" w:sz="0" w:space="0" w:color="auto"/>
        <w:bottom w:val="none" w:sz="0" w:space="0" w:color="auto"/>
        <w:right w:val="none" w:sz="0" w:space="0" w:color="auto"/>
      </w:divBdr>
    </w:div>
    <w:div w:id="1548376118">
      <w:bodyDiv w:val="1"/>
      <w:marLeft w:val="0"/>
      <w:marRight w:val="0"/>
      <w:marTop w:val="0"/>
      <w:marBottom w:val="0"/>
      <w:divBdr>
        <w:top w:val="none" w:sz="0" w:space="0" w:color="auto"/>
        <w:left w:val="none" w:sz="0" w:space="0" w:color="auto"/>
        <w:bottom w:val="none" w:sz="0" w:space="0" w:color="auto"/>
        <w:right w:val="none" w:sz="0" w:space="0" w:color="auto"/>
      </w:divBdr>
    </w:div>
    <w:div w:id="1553955549">
      <w:bodyDiv w:val="1"/>
      <w:marLeft w:val="0"/>
      <w:marRight w:val="0"/>
      <w:marTop w:val="0"/>
      <w:marBottom w:val="0"/>
      <w:divBdr>
        <w:top w:val="none" w:sz="0" w:space="0" w:color="auto"/>
        <w:left w:val="none" w:sz="0" w:space="0" w:color="auto"/>
        <w:bottom w:val="none" w:sz="0" w:space="0" w:color="auto"/>
        <w:right w:val="none" w:sz="0" w:space="0" w:color="auto"/>
      </w:divBdr>
    </w:div>
    <w:div w:id="1560674708">
      <w:bodyDiv w:val="1"/>
      <w:marLeft w:val="0"/>
      <w:marRight w:val="0"/>
      <w:marTop w:val="0"/>
      <w:marBottom w:val="0"/>
      <w:divBdr>
        <w:top w:val="none" w:sz="0" w:space="0" w:color="auto"/>
        <w:left w:val="none" w:sz="0" w:space="0" w:color="auto"/>
        <w:bottom w:val="none" w:sz="0" w:space="0" w:color="auto"/>
        <w:right w:val="none" w:sz="0" w:space="0" w:color="auto"/>
      </w:divBdr>
    </w:div>
    <w:div w:id="1593859332">
      <w:bodyDiv w:val="1"/>
      <w:marLeft w:val="0"/>
      <w:marRight w:val="0"/>
      <w:marTop w:val="0"/>
      <w:marBottom w:val="0"/>
      <w:divBdr>
        <w:top w:val="none" w:sz="0" w:space="0" w:color="auto"/>
        <w:left w:val="none" w:sz="0" w:space="0" w:color="auto"/>
        <w:bottom w:val="none" w:sz="0" w:space="0" w:color="auto"/>
        <w:right w:val="none" w:sz="0" w:space="0" w:color="auto"/>
      </w:divBdr>
    </w:div>
    <w:div w:id="1661033355">
      <w:bodyDiv w:val="1"/>
      <w:marLeft w:val="0"/>
      <w:marRight w:val="0"/>
      <w:marTop w:val="0"/>
      <w:marBottom w:val="0"/>
      <w:divBdr>
        <w:top w:val="none" w:sz="0" w:space="0" w:color="auto"/>
        <w:left w:val="none" w:sz="0" w:space="0" w:color="auto"/>
        <w:bottom w:val="none" w:sz="0" w:space="0" w:color="auto"/>
        <w:right w:val="none" w:sz="0" w:space="0" w:color="auto"/>
      </w:divBdr>
    </w:div>
    <w:div w:id="1677878466">
      <w:bodyDiv w:val="1"/>
      <w:marLeft w:val="0"/>
      <w:marRight w:val="0"/>
      <w:marTop w:val="0"/>
      <w:marBottom w:val="0"/>
      <w:divBdr>
        <w:top w:val="none" w:sz="0" w:space="0" w:color="auto"/>
        <w:left w:val="none" w:sz="0" w:space="0" w:color="auto"/>
        <w:bottom w:val="none" w:sz="0" w:space="0" w:color="auto"/>
        <w:right w:val="none" w:sz="0" w:space="0" w:color="auto"/>
      </w:divBdr>
    </w:div>
    <w:div w:id="1678540575">
      <w:bodyDiv w:val="1"/>
      <w:marLeft w:val="0"/>
      <w:marRight w:val="0"/>
      <w:marTop w:val="0"/>
      <w:marBottom w:val="0"/>
      <w:divBdr>
        <w:top w:val="none" w:sz="0" w:space="0" w:color="auto"/>
        <w:left w:val="none" w:sz="0" w:space="0" w:color="auto"/>
        <w:bottom w:val="none" w:sz="0" w:space="0" w:color="auto"/>
        <w:right w:val="none" w:sz="0" w:space="0" w:color="auto"/>
      </w:divBdr>
    </w:div>
    <w:div w:id="1751465643">
      <w:bodyDiv w:val="1"/>
      <w:marLeft w:val="0"/>
      <w:marRight w:val="0"/>
      <w:marTop w:val="0"/>
      <w:marBottom w:val="0"/>
      <w:divBdr>
        <w:top w:val="none" w:sz="0" w:space="0" w:color="auto"/>
        <w:left w:val="none" w:sz="0" w:space="0" w:color="auto"/>
        <w:bottom w:val="none" w:sz="0" w:space="0" w:color="auto"/>
        <w:right w:val="none" w:sz="0" w:space="0" w:color="auto"/>
      </w:divBdr>
    </w:div>
    <w:div w:id="1767771731">
      <w:bodyDiv w:val="1"/>
      <w:marLeft w:val="0"/>
      <w:marRight w:val="0"/>
      <w:marTop w:val="0"/>
      <w:marBottom w:val="0"/>
      <w:divBdr>
        <w:top w:val="none" w:sz="0" w:space="0" w:color="auto"/>
        <w:left w:val="none" w:sz="0" w:space="0" w:color="auto"/>
        <w:bottom w:val="none" w:sz="0" w:space="0" w:color="auto"/>
        <w:right w:val="none" w:sz="0" w:space="0" w:color="auto"/>
      </w:divBdr>
    </w:div>
    <w:div w:id="1815756432">
      <w:bodyDiv w:val="1"/>
      <w:marLeft w:val="0"/>
      <w:marRight w:val="0"/>
      <w:marTop w:val="0"/>
      <w:marBottom w:val="0"/>
      <w:divBdr>
        <w:top w:val="none" w:sz="0" w:space="0" w:color="auto"/>
        <w:left w:val="none" w:sz="0" w:space="0" w:color="auto"/>
        <w:bottom w:val="none" w:sz="0" w:space="0" w:color="auto"/>
        <w:right w:val="none" w:sz="0" w:space="0" w:color="auto"/>
      </w:divBdr>
    </w:div>
    <w:div w:id="1836414878">
      <w:bodyDiv w:val="1"/>
      <w:marLeft w:val="0"/>
      <w:marRight w:val="0"/>
      <w:marTop w:val="0"/>
      <w:marBottom w:val="0"/>
      <w:divBdr>
        <w:top w:val="none" w:sz="0" w:space="0" w:color="auto"/>
        <w:left w:val="none" w:sz="0" w:space="0" w:color="auto"/>
        <w:bottom w:val="none" w:sz="0" w:space="0" w:color="auto"/>
        <w:right w:val="none" w:sz="0" w:space="0" w:color="auto"/>
      </w:divBdr>
    </w:div>
    <w:div w:id="1891109127">
      <w:bodyDiv w:val="1"/>
      <w:marLeft w:val="0"/>
      <w:marRight w:val="0"/>
      <w:marTop w:val="0"/>
      <w:marBottom w:val="0"/>
      <w:divBdr>
        <w:top w:val="none" w:sz="0" w:space="0" w:color="auto"/>
        <w:left w:val="none" w:sz="0" w:space="0" w:color="auto"/>
        <w:bottom w:val="none" w:sz="0" w:space="0" w:color="auto"/>
        <w:right w:val="none" w:sz="0" w:space="0" w:color="auto"/>
      </w:divBdr>
    </w:div>
    <w:div w:id="1971090968">
      <w:bodyDiv w:val="1"/>
      <w:marLeft w:val="0"/>
      <w:marRight w:val="0"/>
      <w:marTop w:val="0"/>
      <w:marBottom w:val="0"/>
      <w:divBdr>
        <w:top w:val="none" w:sz="0" w:space="0" w:color="auto"/>
        <w:left w:val="none" w:sz="0" w:space="0" w:color="auto"/>
        <w:bottom w:val="none" w:sz="0" w:space="0" w:color="auto"/>
        <w:right w:val="none" w:sz="0" w:space="0" w:color="auto"/>
      </w:divBdr>
    </w:div>
    <w:div w:id="205838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gen201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4824B-7C2A-4863-AD59-AC74F708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6</Pages>
  <Words>1205</Words>
  <Characters>7246</Characters>
  <Application>Microsoft Office Word</Application>
  <DocSecurity>0</DocSecurity>
  <Lines>301</Lines>
  <Paragraphs>187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BRASSART Odile (GROW)</dc:creator>
  <cp:lastModifiedBy>WES PDFC Administrator</cp:lastModifiedBy>
  <cp:revision>9</cp:revision>
  <cp:lastPrinted>2019-09-12T14:28:00Z</cp:lastPrinted>
  <dcterms:created xsi:type="dcterms:W3CDTF">2019-10-11T10:50:00Z</dcterms:created>
  <dcterms:modified xsi:type="dcterms:W3CDTF">2019-10-11T12:11:00Z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5.84.2.0</vt:lpwstr>
  </property>
  <property fmtid="{D5CDD505-2E9C-101B-9397-08002B2CF9AE}" pid="4" name="Last edited using">
    <vt:lpwstr>LW 7.0, Build 20190717</vt:lpwstr>
  </property>
  <property fmtid="{D5CDD505-2E9C-101B-9397-08002B2CF9AE}" pid="5" name="Created using">
    <vt:lpwstr>LW 5.8.4, Build 20150407</vt:lpwstr>
  </property>
  <property fmtid="{D5CDD505-2E9C-101B-9397-08002B2CF9AE}" pid="6" name="First annex">
    <vt:lpwstr>1</vt:lpwstr>
  </property>
  <property fmtid="{D5CDD505-2E9C-101B-9397-08002B2CF9AE}" pid="7" name="Last annex">
    <vt:lpwstr>1</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Level of sensitivity">
    <vt:lpwstr>Standard treatment</vt:lpwstr>
  </property>
  <property fmtid="{D5CDD505-2E9C-101B-9397-08002B2CF9AE}" pid="12" name="Unique annex">
    <vt:lpwstr>1</vt:lpwstr>
  </property>
  <property fmtid="{D5CDD505-2E9C-101B-9397-08002B2CF9AE}" pid="13" name="DQCStatus">
    <vt:lpwstr>Green (DQC version 03)</vt:lpwstr>
  </property>
</Properties>
</file>