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F3" w:rsidRDefault="0062055D" w:rsidP="0062055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43689DE-8292-4BA4-8168-ABCC10C1C9CA" style="width:450.15pt;height:361.7pt">
            <v:imagedata r:id="rId10" o:title=""/>
          </v:shape>
        </w:pict>
      </w:r>
    </w:p>
    <w:bookmarkEnd w:id="0"/>
    <w:p w:rsidR="00A038F3" w:rsidRDefault="00A038F3">
      <w:pPr>
        <w:rPr>
          <w:noProof/>
        </w:rPr>
        <w:sectPr w:rsidR="00A038F3" w:rsidSect="0062055D">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26"/>
        </w:sectPr>
      </w:pPr>
    </w:p>
    <w:p w:rsidR="00A038F3" w:rsidRDefault="0062055D">
      <w:pPr>
        <w:pStyle w:val="Heading1"/>
      </w:pPr>
      <w:bookmarkStart w:id="1" w:name="_GoBack"/>
      <w:bookmarkEnd w:id="1"/>
      <w:r>
        <w:lastRenderedPageBreak/>
        <w:t>UNIONIN RAHOITUSKEHYS VUOSIKSI 2021–2017: PÄÄTÖSTEN AIKA</w:t>
      </w:r>
    </w:p>
    <w:p w:rsidR="00A038F3" w:rsidRDefault="0062055D">
      <w:pPr>
        <w:pStyle w:val="Heading2"/>
      </w:pPr>
      <w:r>
        <w:t>Tulosten aika</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EU:n johtajat vahvistivat kesäkuussa tavoitteekseen päästä sopimukseen </w:t>
      </w:r>
      <w:r>
        <w:rPr>
          <w:noProof/>
          <w:sz w:val="22"/>
          <w:szCs w:val="22"/>
          <w:u w:color="000000"/>
          <w:bdr w:val="nil"/>
        </w:rPr>
        <w:t>unionin tulevasta rahoituskehyksestä vuoden 2019 loppuun mennessä. Sen jälkeen työtä on tehty Suomen toimiessa neuvoston puheenjohtajana. Työssä on tullut selvästi esiin, että on aloja, joilla olemme samoilla linjoilla, sekä aloja, joilla tasapainoisen, ka</w:t>
      </w:r>
      <w:r>
        <w:rPr>
          <w:noProof/>
          <w:sz w:val="22"/>
          <w:szCs w:val="22"/>
          <w:u w:color="000000"/>
          <w:bdr w:val="nil"/>
        </w:rPr>
        <w:t>ikkien kannalta oikeudenmukaisen sopimuksen aikaansaaminen edellyttää kompromisseja.</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Jos tulevasta rahoituskehyksestä päästään sopimukseen vuoden 2019 loppuun mennessä, unioni saa selkeän suunnan ja uutta päättäväisyyttä. Näin voidaan välttää viiveet ja es</w:t>
      </w:r>
      <w:r>
        <w:rPr>
          <w:noProof/>
          <w:sz w:val="22"/>
          <w:szCs w:val="22"/>
          <w:u w:color="000000"/>
          <w:bdr w:val="nil"/>
        </w:rPr>
        <w:t>teet, jotka olisivat ainakin yhtä vakavia kuin kuluvan rahoituskauden alussa koetut; niiden vaikutukset havaittiin kaikissa jäsenvaltioissa vuosina 2014 ja 2015. Tämä tavoite on saavutettavissa, mutta siihen päästään vain vahvalla poliittisella johtajuudel</w:t>
      </w:r>
      <w:r>
        <w:rPr>
          <w:noProof/>
          <w:sz w:val="22"/>
          <w:szCs w:val="22"/>
          <w:u w:color="000000"/>
          <w:bdr w:val="nil"/>
        </w:rPr>
        <w:t>la ja päättäväisellä pyrkimyksellä löytää ratkaisuja Euroopan yleiseksi eduksi.</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Lokakuussa kokoontuva Eurooppa-neuvosto tarjoaa EU:n johtajille tilaisuuden hahmotella tulevan kehyksen keskeiset muuttujat. Niitä ovat esimerkiksi talousarvion kokonaismäärä, </w:t>
      </w:r>
      <w:r>
        <w:rPr>
          <w:noProof/>
          <w:sz w:val="22"/>
          <w:szCs w:val="22"/>
          <w:u w:color="000000"/>
          <w:bdr w:val="nil"/>
        </w:rPr>
        <w:t>toimintalohkojen keskinäinen tasapaino, talousarvion tuleva rahoittaminen sekä rahoitukseen liittyvät ehdot. Johtajien tehtävänä on löytää sopiva tasapaino, jossa yhdistyvät kunnianhimo ja realismi. Euroopan parlamentti kannattaa edelleen kunnianhimoista t</w:t>
      </w:r>
      <w:r>
        <w:rPr>
          <w:noProof/>
          <w:sz w:val="22"/>
          <w:szCs w:val="22"/>
          <w:u w:color="000000"/>
          <w:bdr w:val="nil"/>
        </w:rPr>
        <w:t xml:space="preserve">alousarviota, joten ratkaisussa olisi otettava huomioon sen kanta. </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Komissio aikoo loppuun asti puolustaa unionin tarpeiden mukaisen nykyaikaisen, selkeän ja joustavan talousarvion toteuttamista. Toimielinten on aika yhdistää voimansa ja tarjota unionille </w:t>
      </w:r>
      <w:r>
        <w:rPr>
          <w:noProof/>
          <w:sz w:val="22"/>
          <w:szCs w:val="22"/>
          <w:u w:color="000000"/>
          <w:bdr w:val="nil"/>
        </w:rPr>
        <w:t>menestymisen avaimet tulevaksi vuosikymmeneksi. Uusien ohjelmien alkuun on aikaa vain 14 kuukautta, ja tehtävää on vielä paljon. On tulosten aika.</w:t>
      </w:r>
    </w:p>
    <w:p w:rsidR="00A038F3" w:rsidRDefault="0062055D">
      <w:pPr>
        <w:pStyle w:val="Heading2"/>
      </w:pPr>
      <w:r>
        <w:t>Talousarvio tilanteen tasalla</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Vuosien 2021–2027 rahoituskehyksessä on oltava tarvittavat resurssit Roomassa </w:t>
      </w:r>
      <w:r>
        <w:rPr>
          <w:noProof/>
          <w:sz w:val="22"/>
          <w:szCs w:val="22"/>
          <w:u w:color="000000"/>
          <w:bdr w:val="nil"/>
        </w:rPr>
        <w:t>ja Sibiussa sovitun myönteisen toimintaohjelman edistämiseksi. Se tarjoaa ainutlaatuisen tilaisuuden muuttaa Eurooppa-neuvoston strategisessa ohjelmassa esitetyt ensisijaiset tavoitteet sekä komission seuraavaksi puheenjohtajaksi valitun Ursula von der Ley</w:t>
      </w:r>
      <w:r>
        <w:rPr>
          <w:noProof/>
          <w:sz w:val="22"/>
          <w:szCs w:val="22"/>
          <w:u w:color="000000"/>
          <w:bdr w:val="nil"/>
        </w:rPr>
        <w:t>enin poliittiset suuntaviivat konkreettisiksi toimiksi. Tulevan rahoituskehyksen kokonaismäärän on vastattava unionin tavoitteita, mutta siinä on samalla otettava asianmukaisesti huomioon Yhdistyneen kuningaskunnan eron vaikutukset talousarvioon.</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Komission</w:t>
      </w:r>
      <w:r>
        <w:rPr>
          <w:noProof/>
          <w:sz w:val="22"/>
          <w:szCs w:val="22"/>
          <w:u w:color="000000"/>
          <w:bdr w:val="nil"/>
        </w:rPr>
        <w:t xml:space="preserve"> ehdotuksen mukainen pitkän aikavälin talousarvio on määrältään 1,114 prosenttia suhteessa EU:n 27 jäsenvaltion bruttokansantuloon. Joidenkin mielestä enimmäisosuuden olisi oltava 1,00 prosenttia, kun taas toiset ovat tukeneet Euroopan parlamentin vaatimus</w:t>
      </w:r>
      <w:r>
        <w:rPr>
          <w:noProof/>
          <w:sz w:val="22"/>
          <w:szCs w:val="22"/>
          <w:u w:color="000000"/>
          <w:bdr w:val="nil"/>
        </w:rPr>
        <w:t>ta suuremmasta talousarviosta, jossa osuus olisi jopa 1,3 prosenttia. Näitä lukuja on tarpeen tarkastella asiayhteydessään. EU:n nykyinen, 28 jäsenvaltion pitkän aikavälin talousarvio on 1,03 prosenttia suhteessa EU28:n bruttokansantuloon, kun Euroopan keh</w:t>
      </w:r>
      <w:r>
        <w:rPr>
          <w:noProof/>
          <w:sz w:val="22"/>
          <w:szCs w:val="22"/>
          <w:u w:color="000000"/>
          <w:bdr w:val="nil"/>
        </w:rPr>
        <w:t>itysrahasto lasketaan mukaan. Yhdistyneeseen kuningaskuntaan liittyvien menojen poistaminen muuttaa osuutta kuitenkin siten, että se on 1,16 prosenttia suhteessa EU27:n bruttokansantuloon. Tämä on soveltuva vertailukohta.</w:t>
      </w:r>
    </w:p>
    <w:p w:rsidR="00A038F3" w:rsidRDefault="00A038F3">
      <w:pPr>
        <w:pBdr>
          <w:top w:val="nil"/>
          <w:left w:val="nil"/>
          <w:bottom w:val="nil"/>
          <w:right w:val="nil"/>
          <w:between w:val="nil"/>
          <w:bar w:val="nil"/>
        </w:pBdr>
        <w:spacing w:before="120" w:after="120"/>
        <w:jc w:val="center"/>
        <w:rPr>
          <w:rFonts w:eastAsia="Arial Unicode MS" w:cs="Arial Unicode MS"/>
          <w:noProof/>
          <w:color w:val="000000"/>
          <w:sz w:val="22"/>
          <w:szCs w:val="22"/>
          <w:u w:color="000000"/>
          <w:bdr w:val="nil"/>
        </w:rPr>
      </w:pPr>
    </w:p>
    <w:p w:rsidR="00A038F3" w:rsidRDefault="0062055D">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rPr>
        <w:lastRenderedPageBreak/>
        <w:t>EU:n talousarvio suhteessa EU:n b</w:t>
      </w:r>
      <w:r>
        <w:rPr>
          <w:b/>
          <w:bCs/>
          <w:noProof/>
          <w:color w:val="00A3A0"/>
          <w:sz w:val="22"/>
          <w:szCs w:val="22"/>
          <w:u w:color="000000"/>
          <w:bdr w:val="nil"/>
        </w:rPr>
        <w:t>ruttokansantuloon (BKTL, %)</w:t>
      </w:r>
    </w:p>
    <w:p w:rsidR="00A038F3" w:rsidRDefault="0062055D">
      <w:pPr>
        <w:pBdr>
          <w:top w:val="nil"/>
          <w:left w:val="nil"/>
          <w:bottom w:val="nil"/>
          <w:right w:val="nil"/>
          <w:between w:val="nil"/>
          <w:bar w:val="nil"/>
        </w:pBdr>
        <w:spacing w:before="120" w:after="120"/>
        <w:ind w:left="1134" w:hanging="425"/>
        <w:jc w:val="left"/>
        <w:rPr>
          <w:rFonts w:eastAsia="Arial Unicode MS" w:cs="Arial Unicode MS"/>
          <w:noProof/>
          <w:color w:val="000000"/>
          <w:sz w:val="22"/>
          <w:szCs w:val="22"/>
          <w:u w:color="000000"/>
          <w:bdr w:val="nil"/>
        </w:rPr>
      </w:pPr>
      <w:r>
        <w:rPr>
          <w:rFonts w:ascii="Arial" w:hAnsi="Arial"/>
          <w:noProof/>
          <w:sz w:val="20"/>
          <w:u w:color="000000"/>
          <w:bdr w:val="nil"/>
          <w:lang w:val="fr-BE" w:eastAsia="fr-BE"/>
        </w:rPr>
        <mc:AlternateContent>
          <mc:Choice Requires="wps">
            <w:drawing>
              <wp:anchor distT="0" distB="0" distL="114300" distR="114300" simplePos="0" relativeHeight="251659264" behindDoc="1" locked="0" layoutInCell="1" allowOverlap="1">
                <wp:simplePos x="0" y="0"/>
                <wp:positionH relativeFrom="column">
                  <wp:posOffset>20543</wp:posOffset>
                </wp:positionH>
                <wp:positionV relativeFrom="paragraph">
                  <wp:posOffset>-293502</wp:posOffset>
                </wp:positionV>
                <wp:extent cx="5717540" cy="3740150"/>
                <wp:effectExtent l="0" t="0" r="0" b="6985"/>
                <wp:wrapNone/>
                <wp:docPr id="4" name="Rectangle 4"/>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ED48C6" id="Rectangle 4" o:spid="_x0000_s1026" style="position:absolute;margin-left:1.6pt;margin-top:-23.1pt;width:450.2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" fillcolor="#f2f2f2" stroked="f" strokeweight="1pt">
                <v:textbox style="mso-fit-shape-to-text:t" inset="1.27mm,1.27mm,1.27mm,1.27mm"/>
              </v:rect>
            </w:pict>
          </mc:Fallback>
        </mc:AlternateContent>
      </w:r>
      <w:r>
        <w:rPr>
          <w:rFonts w:ascii="Helvetica Neue" w:hAnsi="Helvetica Neue"/>
          <w:noProof/>
          <w:sz w:val="22"/>
          <w:szCs w:val="22"/>
          <w:u w:color="000000"/>
          <w:bdr w:val="nil"/>
          <w:lang w:val="fr-BE" w:eastAsia="fr-BE"/>
        </w:rPr>
        <mc:AlternateContent>
          <mc:Choice Requires="wpg">
            <w:drawing>
              <wp:inline distT="0" distB="0" distL="0" distR="0">
                <wp:extent cx="4791694" cy="3449321"/>
                <wp:effectExtent l="0" t="0" r="0" b="0"/>
                <wp:docPr id="3380" name="Group 216"/>
                <wp:cNvGraphicFramePr/>
                <a:graphic xmlns:a="http://schemas.openxmlformats.org/drawingml/2006/main">
                  <a:graphicData uri="http://schemas.microsoft.com/office/word/2010/wordprocessingGroup">
                    <wpg:wgp>
                      <wpg:cNvGrpSpPr/>
                      <wpg:grpSpPr>
                        <a:xfrm>
                          <a:off x="0" y="0"/>
                          <a:ext cx="4791694" cy="3449321"/>
                          <a:chOff x="0" y="-81646"/>
                          <a:chExt cx="5247271" cy="4240329"/>
                        </a:xfrm>
                      </wpg:grpSpPr>
                      <wpg:grpSp>
                        <wpg:cNvPr id="3381" name="Group 3381"/>
                        <wpg:cNvGrpSpPr/>
                        <wpg:grpSpPr>
                          <a:xfrm>
                            <a:off x="0" y="-81646"/>
                            <a:ext cx="4889554" cy="4240329"/>
                            <a:chOff x="0" y="-81646"/>
                            <a:chExt cx="4890083" cy="4240329"/>
                          </a:xfrm>
                        </wpg:grpSpPr>
                        <pic:pic xmlns:pic="http://schemas.openxmlformats.org/drawingml/2006/picture">
                          <pic:nvPicPr>
                            <pic:cNvPr id="3382" name="Picture 338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87623" y="18203"/>
                              <a:ext cx="4532514" cy="2818186"/>
                            </a:xfrm>
                            <a:prstGeom prst="rect">
                              <a:avLst/>
                            </a:prstGeom>
                            <a:noFill/>
                            <a:extLst>
                              <a:ext uri="{909E8E84-426E-40DD-AFC4-6F175D3DCCD1}">
                                <a14:hiddenFill xmlns:a14="http://schemas.microsoft.com/office/drawing/2010/main">
                                  <a:solidFill>
                                    <a:srgbClr val="FFFFFF"/>
                                  </a:solidFill>
                                </a14:hiddenFill>
                              </a:ext>
                            </a:extLst>
                          </pic:spPr>
                        </pic:pic>
                        <wps:wsp>
                          <wps:cNvPr id="3383" name="TextBox 6"/>
                          <wps:cNvSpPr txBox="1"/>
                          <wps:spPr>
                            <a:xfrm>
                              <a:off x="140799" y="2820781"/>
                              <a:ext cx="850920" cy="467954"/>
                            </a:xfrm>
                            <a:prstGeom prst="rect">
                              <a:avLst/>
                            </a:prstGeom>
                            <a:noFill/>
                          </wps:spPr>
                          <wps:txb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1993–1999</w:t>
                                </w:r>
                              </w:p>
                            </w:txbxContent>
                          </wps:txbx>
                          <wps:bodyPr wrap="square" rtlCol="0">
                            <a:noAutofit/>
                          </wps:bodyPr>
                        </wps:wsp>
                        <wps:wsp>
                          <wps:cNvPr id="3385" name="TextBox 7"/>
                          <wps:cNvSpPr txBox="1"/>
                          <wps:spPr>
                            <a:xfrm>
                              <a:off x="935617" y="2827706"/>
                              <a:ext cx="787376" cy="510496"/>
                            </a:xfrm>
                            <a:prstGeom prst="rect">
                              <a:avLst/>
                            </a:prstGeom>
                            <a:noFill/>
                          </wps:spPr>
                          <wps:txb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2000–2006</w:t>
                                </w:r>
                              </w:p>
                            </w:txbxContent>
                          </wps:txbx>
                          <wps:bodyPr wrap="square" rtlCol="0">
                            <a:noAutofit/>
                          </wps:bodyPr>
                        </wps:wsp>
                        <wps:wsp>
                          <wps:cNvPr id="3386" name="TextBox 8"/>
                          <wps:cNvSpPr txBox="1"/>
                          <wps:spPr>
                            <a:xfrm>
                              <a:off x="1661538" y="2815363"/>
                              <a:ext cx="865416" cy="467954"/>
                            </a:xfrm>
                            <a:prstGeom prst="rect">
                              <a:avLst/>
                            </a:prstGeom>
                            <a:noFill/>
                          </wps:spPr>
                          <wps:txb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2007–2013</w:t>
                                </w:r>
                              </w:p>
                            </w:txbxContent>
                          </wps:txbx>
                          <wps:bodyPr wrap="square" rtlCol="0">
                            <a:noAutofit/>
                          </wps:bodyPr>
                        </wps:wsp>
                        <wps:wsp>
                          <wps:cNvPr id="3387" name="TextBox 9"/>
                          <wps:cNvSpPr txBox="1"/>
                          <wps:spPr>
                            <a:xfrm>
                              <a:off x="2409249" y="2815363"/>
                              <a:ext cx="903212" cy="494852"/>
                            </a:xfrm>
                            <a:prstGeom prst="rect">
                              <a:avLst/>
                            </a:prstGeom>
                            <a:noFill/>
                          </wps:spPr>
                          <wps:txb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2014–2020</w:t>
                                </w:r>
                              </w:p>
                            </w:txbxContent>
                          </wps:txbx>
                          <wps:bodyPr wrap="square" rtlCol="0">
                            <a:noAutofit/>
                          </wps:bodyPr>
                        </wps:wsp>
                        <wps:wsp>
                          <wps:cNvPr id="3388" name="TextBox 10"/>
                          <wps:cNvSpPr txBox="1"/>
                          <wps:spPr>
                            <a:xfrm>
                              <a:off x="3950615" y="2814918"/>
                              <a:ext cx="793915" cy="504912"/>
                            </a:xfrm>
                            <a:prstGeom prst="rect">
                              <a:avLst/>
                            </a:prstGeom>
                            <a:noFill/>
                          </wps:spPr>
                          <wps:txbx>
                            <w:txbxContent>
                              <w:p w:rsidR="00A038F3" w:rsidRDefault="0062055D">
                                <w:pPr>
                                  <w:pStyle w:val="NormalWeb"/>
                                  <w:keepNext/>
                                  <w:spacing w:after="0"/>
                                  <w:jc w:val="center"/>
                                  <w:textAlignment w:val="baseline"/>
                                  <w:rPr>
                                    <w:sz w:val="16"/>
                                    <w:szCs w:val="16"/>
                                  </w:rPr>
                                </w:pPr>
                                <w:r>
                                  <w:rPr>
                                    <w:color w:val="808080"/>
                                    <w:sz w:val="16"/>
                                    <w:szCs w:val="16"/>
                                  </w:rPr>
                                  <w:t>2021–2027</w:t>
                                </w:r>
                              </w:p>
                            </w:txbxContent>
                          </wps:txbx>
                          <wps:bodyPr wrap="square" rtlCol="0">
                            <a:noAutofit/>
                          </wps:bodyPr>
                        </wps:wsp>
                        <wps:wsp>
                          <wps:cNvPr id="3389" name="TextBox 12"/>
                          <wps:cNvSpPr txBox="1"/>
                          <wps:spPr>
                            <a:xfrm>
                              <a:off x="0" y="1674307"/>
                              <a:ext cx="1076798" cy="301653"/>
                            </a:xfrm>
                            <a:prstGeom prst="rect">
                              <a:avLst/>
                            </a:prstGeom>
                            <a:noFill/>
                          </wps:spPr>
                          <wps:txbx>
                            <w:txbxContent>
                              <w:p w:rsidR="00A038F3" w:rsidRDefault="0062055D">
                                <w:pPr>
                                  <w:pStyle w:val="NormalWeb"/>
                                  <w:keepNext/>
                                  <w:jc w:val="center"/>
                                  <w:textAlignment w:val="baseline"/>
                                  <w:rPr>
                                    <w:sz w:val="16"/>
                                    <w:szCs w:val="16"/>
                                  </w:rPr>
                                </w:pPr>
                                <w:r>
                                  <w:rPr>
                                    <w:b/>
                                    <w:bCs/>
                                    <w:color w:val="FFFFFF"/>
                                    <w:sz w:val="16"/>
                                    <w:szCs w:val="16"/>
                                  </w:rPr>
                                  <w:t>1,25 %</w:t>
                                </w:r>
                              </w:p>
                            </w:txbxContent>
                          </wps:txbx>
                          <wps:bodyPr wrap="square" rtlCol="0">
                            <a:noAutofit/>
                          </wps:bodyPr>
                        </wps:wsp>
                        <wps:wsp>
                          <wps:cNvPr id="3390" name="TextBox 13"/>
                          <wps:cNvSpPr txBox="1"/>
                          <wps:spPr>
                            <a:xfrm>
                              <a:off x="991722" y="1666053"/>
                              <a:ext cx="680736" cy="301653"/>
                            </a:xfrm>
                            <a:prstGeom prst="rect">
                              <a:avLst/>
                            </a:prstGeom>
                            <a:noFill/>
                          </wps:spPr>
                          <wps:txbx>
                            <w:txbxContent>
                              <w:p w:rsidR="00A038F3" w:rsidRDefault="0062055D">
                                <w:pPr>
                                  <w:pStyle w:val="NormalWeb"/>
                                  <w:keepNext/>
                                  <w:jc w:val="center"/>
                                  <w:textAlignment w:val="baseline"/>
                                  <w:rPr>
                                    <w:sz w:val="16"/>
                                    <w:szCs w:val="16"/>
                                  </w:rPr>
                                </w:pPr>
                                <w:r>
                                  <w:rPr>
                                    <w:b/>
                                    <w:bCs/>
                                    <w:color w:val="FFFFFF"/>
                                    <w:sz w:val="16"/>
                                    <w:szCs w:val="16"/>
                                  </w:rPr>
                                  <w:t>1,09 %</w:t>
                                </w:r>
                              </w:p>
                            </w:txbxContent>
                          </wps:txbx>
                          <wps:bodyPr wrap="square" rtlCol="0">
                            <a:noAutofit/>
                          </wps:bodyPr>
                        </wps:wsp>
                        <wps:wsp>
                          <wps:cNvPr id="3391" name="TextBox 14"/>
                          <wps:cNvSpPr txBox="1"/>
                          <wps:spPr>
                            <a:xfrm>
                              <a:off x="2517819" y="1674307"/>
                              <a:ext cx="692603" cy="740626"/>
                            </a:xfrm>
                            <a:prstGeom prst="rect">
                              <a:avLst/>
                            </a:prstGeom>
                            <a:noFill/>
                          </wps:spPr>
                          <wps:txbx>
                            <w:txbxContent>
                              <w:p w:rsidR="00A038F3" w:rsidRDefault="0062055D">
                                <w:pPr>
                                  <w:pStyle w:val="NormalWeb"/>
                                  <w:keepNext/>
                                  <w:jc w:val="center"/>
                                  <w:textAlignment w:val="baseline"/>
                                  <w:rPr>
                                    <w:sz w:val="16"/>
                                    <w:szCs w:val="16"/>
                                  </w:rPr>
                                </w:pPr>
                                <w:r>
                                  <w:rPr>
                                    <w:b/>
                                    <w:bCs/>
                                    <w:color w:val="FFFFFF"/>
                                    <w:sz w:val="16"/>
                                    <w:szCs w:val="16"/>
                                  </w:rPr>
                                  <w:t>1,00 %</w:t>
                                </w:r>
                              </w:p>
                            </w:txbxContent>
                          </wps:txbx>
                          <wps:bodyPr wrap="square" rtlCol="0">
                            <a:noAutofit/>
                          </wps:bodyPr>
                        </wps:wsp>
                        <wps:wsp>
                          <wps:cNvPr id="3232" name="TextBox 16"/>
                          <wps:cNvSpPr txBox="1"/>
                          <wps:spPr>
                            <a:xfrm>
                              <a:off x="180656" y="-81646"/>
                              <a:ext cx="765829" cy="310125"/>
                            </a:xfrm>
                            <a:prstGeom prst="rect">
                              <a:avLst/>
                            </a:prstGeom>
                            <a:noFill/>
                          </wps:spPr>
                          <wps:txbx>
                            <w:txbxContent>
                              <w:p w:rsidR="00A038F3" w:rsidRDefault="0062055D">
                                <w:pPr>
                                  <w:pStyle w:val="NormalWeb"/>
                                  <w:keepNext/>
                                  <w:jc w:val="center"/>
                                  <w:textAlignment w:val="baseline"/>
                                  <w:rPr>
                                    <w:sz w:val="16"/>
                                    <w:szCs w:val="16"/>
                                  </w:rPr>
                                </w:pPr>
                                <w:r>
                                  <w:rPr>
                                    <w:b/>
                                    <w:bCs/>
                                    <w:color w:val="0E4194"/>
                                    <w:sz w:val="16"/>
                                    <w:szCs w:val="16"/>
                                  </w:rPr>
                                  <w:t>0,03 %</w:t>
                                </w:r>
                              </w:p>
                            </w:txbxContent>
                          </wps:txbx>
                          <wps:bodyPr wrap="square" rtlCol="0">
                            <a:noAutofit/>
                          </wps:bodyPr>
                        </wps:wsp>
                        <wps:wsp>
                          <wps:cNvPr id="3233" name="TextBox 16"/>
                          <wps:cNvSpPr txBox="1"/>
                          <wps:spPr>
                            <a:xfrm>
                              <a:off x="995497" y="414826"/>
                              <a:ext cx="680736" cy="273678"/>
                            </a:xfrm>
                            <a:prstGeom prst="rect">
                              <a:avLst/>
                            </a:prstGeom>
                            <a:noFill/>
                          </wps:spPr>
                          <wps:txbx>
                            <w:txbxContent>
                              <w:p w:rsidR="00A038F3" w:rsidRDefault="0062055D">
                                <w:pPr>
                                  <w:pStyle w:val="NormalWeb"/>
                                  <w:keepNext/>
                                  <w:spacing w:after="0"/>
                                  <w:jc w:val="center"/>
                                  <w:textAlignment w:val="baseline"/>
                                  <w:rPr>
                                    <w:sz w:val="16"/>
                                    <w:szCs w:val="16"/>
                                  </w:rPr>
                                </w:pPr>
                                <w:r>
                                  <w:rPr>
                                    <w:b/>
                                    <w:bCs/>
                                    <w:color w:val="0E4194"/>
                                    <w:sz w:val="16"/>
                                    <w:szCs w:val="16"/>
                                  </w:rPr>
                                  <w:t>0,02 %</w:t>
                                </w:r>
                              </w:p>
                            </w:txbxContent>
                          </wps:txbx>
                          <wps:bodyPr wrap="square" rtlCol="0">
                            <a:noAutofit/>
                          </wps:bodyPr>
                        </wps:wsp>
                        <wps:wsp>
                          <wps:cNvPr id="3234" name="TextBox 16"/>
                          <wps:cNvSpPr txBox="1"/>
                          <wps:spPr>
                            <a:xfrm>
                              <a:off x="1768439" y="366297"/>
                              <a:ext cx="680736" cy="273678"/>
                            </a:xfrm>
                            <a:prstGeom prst="rect">
                              <a:avLst/>
                            </a:prstGeom>
                            <a:noFill/>
                          </wps:spPr>
                          <wps:txbx>
                            <w:txbxContent>
                              <w:p w:rsidR="00A038F3" w:rsidRDefault="0062055D">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5" name="TextBox 16"/>
                          <wps:cNvSpPr txBox="1"/>
                          <wps:spPr>
                            <a:xfrm>
                              <a:off x="2517819" y="710497"/>
                              <a:ext cx="680736" cy="273678"/>
                            </a:xfrm>
                            <a:prstGeom prst="rect">
                              <a:avLst/>
                            </a:prstGeom>
                            <a:noFill/>
                          </wps:spPr>
                          <wps:txbx>
                            <w:txbxContent>
                              <w:p w:rsidR="00A038F3" w:rsidRDefault="0062055D">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6" name="TextBox 13"/>
                          <wps:cNvSpPr txBox="1"/>
                          <wps:spPr>
                            <a:xfrm>
                              <a:off x="1768572" y="1674307"/>
                              <a:ext cx="680736" cy="301653"/>
                            </a:xfrm>
                            <a:prstGeom prst="rect">
                              <a:avLst/>
                            </a:prstGeom>
                            <a:noFill/>
                          </wps:spPr>
                          <wps:txbx>
                            <w:txbxContent>
                              <w:p w:rsidR="00A038F3" w:rsidRDefault="0062055D">
                                <w:pPr>
                                  <w:pStyle w:val="NormalWeb"/>
                                  <w:keepNext/>
                                  <w:jc w:val="center"/>
                                  <w:textAlignment w:val="baseline"/>
                                  <w:rPr>
                                    <w:sz w:val="16"/>
                                    <w:szCs w:val="16"/>
                                  </w:rPr>
                                </w:pPr>
                                <w:r>
                                  <w:rPr>
                                    <w:b/>
                                    <w:bCs/>
                                    <w:color w:val="FFFFFF"/>
                                    <w:sz w:val="16"/>
                                    <w:szCs w:val="16"/>
                                  </w:rPr>
                                  <w:t>1,12 %</w:t>
                                </w:r>
                              </w:p>
                            </w:txbxContent>
                          </wps:txbx>
                          <wps:bodyPr wrap="square" rtlCol="0">
                            <a:noAutofit/>
                          </wps:bodyPr>
                        </wps:wsp>
                        <wps:wsp>
                          <wps:cNvPr id="3260" name="Rectangle 3260"/>
                          <wps:cNvSpPr/>
                          <wps:spPr>
                            <a:xfrm>
                              <a:off x="231188" y="3336151"/>
                              <a:ext cx="170185" cy="170184"/>
                            </a:xfrm>
                            <a:prstGeom prst="rect">
                              <a:avLst/>
                            </a:prstGeom>
                            <a:solidFill>
                              <a:srgbClr val="00A3A0"/>
                            </a:solidFill>
                            <a:ln w="9525" cap="flat" cmpd="sng" algn="ctr">
                              <a:noFill/>
                              <a:prstDash val="solid"/>
                            </a:ln>
                            <a:effectLst/>
                          </wps:spPr>
                          <wps:bodyPr rtlCol="0" anchor="ctr"/>
                        </wps:wsp>
                        <wps:wsp>
                          <wps:cNvPr id="3261" name="Rectangle 3261"/>
                          <wps:cNvSpPr/>
                          <wps:spPr>
                            <a:xfrm>
                              <a:off x="3032310" y="3335805"/>
                              <a:ext cx="170185" cy="170184"/>
                            </a:xfrm>
                            <a:prstGeom prst="rect">
                              <a:avLst/>
                            </a:prstGeom>
                            <a:solidFill>
                              <a:srgbClr val="134390"/>
                            </a:solidFill>
                            <a:ln w="9525" cap="flat" cmpd="sng" algn="ctr">
                              <a:noFill/>
                              <a:prstDash val="solid"/>
                            </a:ln>
                            <a:effectLst/>
                          </wps:spPr>
                          <wps:bodyPr rtlCol="0" anchor="ctr"/>
                        </wps:wsp>
                        <wps:wsp>
                          <wps:cNvPr id="3262" name="TextBox 6"/>
                          <wps:cNvSpPr txBox="1"/>
                          <wps:spPr>
                            <a:xfrm>
                              <a:off x="364410" y="3328745"/>
                              <a:ext cx="2833319" cy="829938"/>
                            </a:xfrm>
                            <a:prstGeom prst="rect">
                              <a:avLst/>
                            </a:prstGeom>
                            <a:noFill/>
                          </wps:spPr>
                          <wps:txbx>
                            <w:txbxContent>
                              <w:p w:rsidR="00A038F3" w:rsidRDefault="0062055D">
                                <w:pPr>
                                  <w:pStyle w:val="NormalWeb"/>
                                  <w:keepNext/>
                                  <w:spacing w:after="0"/>
                                  <w:jc w:val="left"/>
                                  <w:textAlignment w:val="baseline"/>
                                  <w:rPr>
                                    <w:color w:val="808080"/>
                                  </w:rPr>
                                </w:pPr>
                                <w:r>
                                  <w:rPr>
                                    <w:color w:val="808080"/>
                                    <w:sz w:val="18"/>
                                    <w:szCs w:val="18"/>
                                  </w:rPr>
                                  <w:t>Maksusitoumusmäärärahojen enimmäismäärä, % suhteessa</w:t>
                                </w:r>
                                <w:r>
                                  <w:rPr>
                                    <w:color w:val="808080"/>
                                    <w:sz w:val="18"/>
                                    <w:szCs w:val="18"/>
                                  </w:rPr>
                                  <w:t xml:space="preserve"> EU:n BKTL:oon</w:t>
                                </w:r>
                              </w:p>
                              <w:p w:rsidR="00A038F3" w:rsidRDefault="0062055D">
                                <w:pPr>
                                  <w:pStyle w:val="NormalWeb"/>
                                  <w:keepNext/>
                                  <w:spacing w:after="0"/>
                                  <w:textAlignment w:val="baseline"/>
                                  <w:rPr>
                                    <w:i/>
                                    <w:color w:val="808080"/>
                                  </w:rPr>
                                </w:pPr>
                                <w:r>
                                  <w:rPr>
                                    <w:i/>
                                    <w:color w:val="808080"/>
                                    <w:sz w:val="16"/>
                                    <w:szCs w:val="16"/>
                                  </w:rPr>
                                  <w:t xml:space="preserve">*2014–2020 arvioidut sitoumukset </w:t>
                                </w:r>
                              </w:p>
                              <w:p w:rsidR="00A038F3" w:rsidRDefault="0062055D">
                                <w:pPr>
                                  <w:pStyle w:val="NormalWeb"/>
                                  <w:keepNext/>
                                  <w:spacing w:after="0"/>
                                  <w:jc w:val="left"/>
                                  <w:textAlignment w:val="baseline"/>
                                  <w:rPr>
                                    <w:i/>
                                    <w:color w:val="808080"/>
                                    <w:sz w:val="14"/>
                                    <w:szCs w:val="14"/>
                                  </w:rPr>
                                </w:pPr>
                                <w:r>
                                  <w:rPr>
                                    <w:i/>
                                    <w:color w:val="808080"/>
                                    <w:sz w:val="14"/>
                                    <w:szCs w:val="14"/>
                                  </w:rPr>
                                  <w:t>(pl. Yhdistyneen kuningaskunnan menot) % suhteessa EU27:n BKTL:oon</w:t>
                                </w:r>
                              </w:p>
                              <w:p w:rsidR="00A038F3" w:rsidRDefault="0062055D">
                                <w:pPr>
                                  <w:pStyle w:val="NormalWeb"/>
                                  <w:keepNext/>
                                  <w:spacing w:after="0"/>
                                  <w:textAlignment w:val="baseline"/>
                                  <w:rPr>
                                    <w:i/>
                                    <w:color w:val="808080"/>
                                  </w:rPr>
                                </w:pPr>
                                <w:r>
                                  <w:rPr>
                                    <w:i/>
                                    <w:color w:val="808080"/>
                                    <w:sz w:val="16"/>
                                    <w:szCs w:val="16"/>
                                  </w:rPr>
                                  <w:t>** Euroopan kehitysrahasto on sisällytetty talousarvioon.</w:t>
                                </w:r>
                              </w:p>
                              <w:p w:rsidR="00A038F3" w:rsidRDefault="0062055D">
                                <w:pPr>
                                  <w:pStyle w:val="NormalWeb"/>
                                  <w:keepNext/>
                                  <w:spacing w:after="0"/>
                                  <w:textAlignment w:val="baseline"/>
                                </w:pPr>
                                <w:r>
                                  <w:t> </w:t>
                                </w:r>
                              </w:p>
                            </w:txbxContent>
                          </wps:txbx>
                          <wps:bodyPr wrap="square" rtlCol="0">
                            <a:noAutofit/>
                          </wps:bodyPr>
                        </wps:wsp>
                        <wps:wsp>
                          <wps:cNvPr id="3263" name="TextBox 6"/>
                          <wps:cNvSpPr txBox="1"/>
                          <wps:spPr>
                            <a:xfrm>
                              <a:off x="3151626" y="3329761"/>
                              <a:ext cx="1738457" cy="467954"/>
                            </a:xfrm>
                            <a:prstGeom prst="rect">
                              <a:avLst/>
                            </a:prstGeom>
                            <a:noFill/>
                          </wps:spPr>
                          <wps:txbx>
                            <w:txbxContent>
                              <w:p w:rsidR="00A038F3" w:rsidRDefault="0062055D">
                                <w:pPr>
                                  <w:pStyle w:val="NormalWeb"/>
                                  <w:keepNext/>
                                  <w:spacing w:after="0"/>
                                  <w:textAlignment w:val="baseline"/>
                                  <w:rPr>
                                    <w:color w:val="808080"/>
                                  </w:rPr>
                                </w:pPr>
                                <w:r>
                                  <w:rPr>
                                    <w:color w:val="808080"/>
                                    <w:sz w:val="18"/>
                                    <w:szCs w:val="18"/>
                                  </w:rPr>
                                  <w:t>Euroopan kehitysrahasto</w:t>
                                </w:r>
                              </w:p>
                            </w:txbxContent>
                          </wps:txbx>
                          <wps:bodyPr wrap="square" rtlCol="0">
                            <a:noAutofit/>
                          </wps:bodyPr>
                        </wps:wsp>
                        <wps:wsp>
                          <wps:cNvPr id="3392" name="TextBox 9"/>
                          <wps:cNvSpPr txBox="1"/>
                          <wps:spPr>
                            <a:xfrm>
                              <a:off x="3198142" y="2813216"/>
                              <a:ext cx="773975" cy="543109"/>
                            </a:xfrm>
                            <a:prstGeom prst="rect">
                              <a:avLst/>
                            </a:prstGeom>
                            <a:noFill/>
                          </wps:spPr>
                          <wps:txbx>
                            <w:txbxContent>
                              <w:p w:rsidR="00A038F3" w:rsidRDefault="0062055D">
                                <w:pPr>
                                  <w:pStyle w:val="NormalWeb"/>
                                  <w:keepNext/>
                                  <w:spacing w:after="0"/>
                                  <w:jc w:val="center"/>
                                  <w:textAlignment w:val="baseline"/>
                                  <w:rPr>
                                    <w:sz w:val="16"/>
                                    <w:szCs w:val="16"/>
                                  </w:rPr>
                                </w:pPr>
                                <w:r>
                                  <w:rPr>
                                    <w:color w:val="808080"/>
                                    <w:sz w:val="16"/>
                                    <w:szCs w:val="16"/>
                                  </w:rPr>
                                  <w:t>Keskiarvo 2014–2020, EU27*</w:t>
                                </w:r>
                              </w:p>
                            </w:txbxContent>
                          </wps:txbx>
                          <wps:bodyPr wrap="square" rtlCol="0">
                            <a:noAutofit/>
                          </wps:bodyPr>
                        </wps:wsp>
                        <wps:wsp>
                          <wps:cNvPr id="3393" name="TextBox 13"/>
                          <wps:cNvSpPr txBox="1"/>
                          <wps:spPr>
                            <a:xfrm>
                              <a:off x="4012860" y="1674308"/>
                              <a:ext cx="680734" cy="301652"/>
                            </a:xfrm>
                            <a:prstGeom prst="rect">
                              <a:avLst/>
                            </a:prstGeom>
                            <a:noFill/>
                          </wps:spPr>
                          <wps:txbx>
                            <w:txbxContent>
                              <w:p w:rsidR="00A038F3" w:rsidRDefault="0062055D">
                                <w:pPr>
                                  <w:pStyle w:val="NormalWeb"/>
                                  <w:keepNext/>
                                  <w:jc w:val="center"/>
                                  <w:textAlignment w:val="baseline"/>
                                  <w:rPr>
                                    <w:sz w:val="16"/>
                                    <w:szCs w:val="16"/>
                                  </w:rPr>
                                </w:pPr>
                                <w:r>
                                  <w:rPr>
                                    <w:b/>
                                    <w:bCs/>
                                    <w:color w:val="FFFFFF"/>
                                    <w:sz w:val="16"/>
                                    <w:szCs w:val="16"/>
                                  </w:rPr>
                                  <w:t>1,11 %</w:t>
                                </w:r>
                              </w:p>
                            </w:txbxContent>
                          </wps:txbx>
                          <wps:bodyPr wrap="square" rtlCol="0">
                            <a:noAutofit/>
                          </wps:bodyPr>
                        </wps:wsp>
                        <wps:wsp>
                          <wps:cNvPr id="3394" name="TextBox 14"/>
                          <wps:cNvSpPr txBox="1"/>
                          <wps:spPr>
                            <a:xfrm>
                              <a:off x="3238845" y="1653369"/>
                              <a:ext cx="692604" cy="740626"/>
                            </a:xfrm>
                            <a:prstGeom prst="rect">
                              <a:avLst/>
                            </a:prstGeom>
                            <a:noFill/>
                          </wps:spPr>
                          <wps:txbx>
                            <w:txbxContent>
                              <w:p w:rsidR="00A038F3" w:rsidRDefault="0062055D">
                                <w:pPr>
                                  <w:pStyle w:val="NormalWeb"/>
                                  <w:keepNext/>
                                  <w:jc w:val="center"/>
                                  <w:textAlignment w:val="baseline"/>
                                  <w:rPr>
                                    <w:sz w:val="16"/>
                                    <w:szCs w:val="16"/>
                                  </w:rPr>
                                </w:pPr>
                                <w:r>
                                  <w:rPr>
                                    <w:b/>
                                    <w:bCs/>
                                    <w:color w:val="FFFFFF"/>
                                    <w:sz w:val="16"/>
                                    <w:szCs w:val="16"/>
                                  </w:rPr>
                                  <w:t>1,13 %</w:t>
                                </w:r>
                              </w:p>
                            </w:txbxContent>
                          </wps:txbx>
                          <wps:bodyPr wrap="square" rtlCol="0">
                            <a:noAutofit/>
                          </wps:bodyPr>
                        </wps:wsp>
                        <wps:wsp>
                          <wps:cNvPr id="3395" name="TextBox 16"/>
                          <wps:cNvSpPr txBox="1"/>
                          <wps:spPr>
                            <a:xfrm>
                              <a:off x="3257788" y="346183"/>
                              <a:ext cx="680732" cy="273676"/>
                            </a:xfrm>
                            <a:prstGeom prst="rect">
                              <a:avLst/>
                            </a:prstGeom>
                            <a:noFill/>
                          </wps:spPr>
                          <wps:txbx>
                            <w:txbxContent>
                              <w:p w:rsidR="00A038F3" w:rsidRDefault="0062055D">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g:grpSp>
                      <wpg:grpSp>
                        <wpg:cNvPr id="3396" name="Group 3396"/>
                        <wpg:cNvGrpSpPr/>
                        <wpg:grpSpPr>
                          <a:xfrm>
                            <a:off x="4567186" y="546872"/>
                            <a:ext cx="680085" cy="273050"/>
                            <a:chOff x="4567186" y="546872"/>
                            <a:chExt cx="680085" cy="273050"/>
                          </a:xfrm>
                        </wpg:grpSpPr>
                        <wps:wsp>
                          <wps:cNvPr id="3397" name="TextBox 16"/>
                          <wps:cNvSpPr txBox="1"/>
                          <wps:spPr>
                            <a:xfrm>
                              <a:off x="4567186" y="546872"/>
                              <a:ext cx="680085" cy="273050"/>
                            </a:xfrm>
                            <a:prstGeom prst="rect">
                              <a:avLst/>
                            </a:prstGeom>
                            <a:noFill/>
                          </wps:spPr>
                          <wps:txbx>
                            <w:txbxContent>
                              <w:p w:rsidR="00A038F3" w:rsidRDefault="0062055D">
                                <w:pPr>
                                  <w:pStyle w:val="NormalWeb"/>
                                  <w:keepNext/>
                                  <w:spacing w:after="0" w:line="276" w:lineRule="auto"/>
                                  <w:jc w:val="center"/>
                                  <w:textAlignment w:val="baseline"/>
                                  <w:rPr>
                                    <w:sz w:val="16"/>
                                    <w:szCs w:val="16"/>
                                  </w:rPr>
                                </w:pPr>
                                <w:r>
                                  <w:rPr>
                                    <w:b/>
                                    <w:bCs/>
                                    <w:color w:val="0E4194"/>
                                    <w:sz w:val="16"/>
                                    <w:szCs w:val="16"/>
                                  </w:rPr>
                                  <w:t>0,03 %</w:t>
                                </w:r>
                              </w:p>
                            </w:txbxContent>
                          </wps:txbx>
                          <wps:bodyPr wrap="square" rtlCol="0">
                            <a:noAutofit/>
                          </wps:bodyPr>
                        </wps:wsp>
                        <wps:wsp>
                          <wps:cNvPr id="3398" name="Straight Connector 3398"/>
                          <wps:cNvCnPr/>
                          <wps:spPr>
                            <a:xfrm>
                              <a:off x="4653194" y="697818"/>
                              <a:ext cx="0" cy="85242"/>
                            </a:xfrm>
                            <a:prstGeom prst="line">
                              <a:avLst/>
                            </a:prstGeom>
                            <a:noFill/>
                            <a:ln w="28575" cap="flat" cmpd="sng" algn="ctr">
                              <a:solidFill>
                                <a:srgbClr val="003399"/>
                              </a:solidFill>
                              <a:prstDash val="solid"/>
                            </a:ln>
                            <a:effectLst/>
                          </wps:spPr>
                          <wps:bodyPr/>
                        </wps:wsp>
                      </wpg:grpSp>
                    </wpg:wgp>
                  </a:graphicData>
                </a:graphic>
              </wp:inline>
            </w:drawing>
          </mc:Choice>
          <mc:Fallback>
            <w:pict>
              <v:group id="Group 216" o:spid="_x0000_s1026" style="width:377.3pt;height:271.6pt;mso-position-horizontal-relative:char;mso-position-vertical-relative:line" coordorigin=",-816" coordsize="52472,4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">
                <v:group id="Group 3381" o:spid="_x0000_s1027" style="position:absolute;top:-816;width:48895;height:42402" coordorigin=",-816" coordsize="48900,4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Picture 3382" o:spid="_x0000_s1028" type="#_x0000_t75" style="position:absolute;left:1876;top:182;width:45325;height:2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Box 6" o:spid="_x0000_s1029" type="#_x0000_t202" style="position:absolute;left:1407;top:28207;width:85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1993–1999</w:t>
                          </w:r>
                        </w:p>
                      </w:txbxContent>
                    </v:textbox>
                  </v:shape>
                  <v:shape id="TextBox 7" o:spid="_x0000_s1030" type="#_x0000_t202" style="position:absolute;left:9356;top:28277;width:787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2000–2006</w:t>
                          </w:r>
                        </w:p>
                      </w:txbxContent>
                    </v:textbox>
                  </v:shape>
                  <v:shape id="TextBox 8" o:spid="_x0000_s1031" type="#_x0000_t202" style="position:absolute;left:16615;top:28153;width:865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2007–2013</w:t>
                          </w:r>
                        </w:p>
                      </w:txbxContent>
                    </v:textbox>
                  </v:shape>
                  <v:shape id="TextBox 9" o:spid="_x0000_s1032" type="#_x0000_t202" style="position:absolute;left:24092;top:28153;width:9032;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" filled="f" stroked="f">
                    <v:textbox>
                      <w:txbxContent>
                        <w:p w:rsidR="00A038F3" w:rsidRDefault="0062055D">
                          <w:pPr>
                            <w:pStyle w:val="NormalWeb"/>
                            <w:keepNext/>
                            <w:spacing w:after="0"/>
                            <w:jc w:val="center"/>
                            <w:textAlignment w:val="baseline"/>
                            <w:rPr>
                              <w:sz w:val="16"/>
                              <w:szCs w:val="16"/>
                            </w:rPr>
                          </w:pPr>
                          <w:r>
                            <w:rPr>
                              <w:color w:val="808080"/>
                              <w:sz w:val="16"/>
                              <w:szCs w:val="16"/>
                            </w:rPr>
                            <w:t>Keskiarvo</w:t>
                          </w:r>
                        </w:p>
                        <w:p w:rsidR="00A038F3" w:rsidRDefault="0062055D">
                          <w:pPr>
                            <w:pStyle w:val="NormalWeb"/>
                            <w:keepNext/>
                            <w:spacing w:after="0"/>
                            <w:jc w:val="center"/>
                            <w:textAlignment w:val="baseline"/>
                            <w:rPr>
                              <w:sz w:val="16"/>
                              <w:szCs w:val="16"/>
                            </w:rPr>
                          </w:pPr>
                          <w:r>
                            <w:rPr>
                              <w:color w:val="808080"/>
                              <w:sz w:val="16"/>
                              <w:szCs w:val="16"/>
                            </w:rPr>
                            <w:t>2014–2020</w:t>
                          </w:r>
                        </w:p>
                      </w:txbxContent>
                    </v:textbox>
                  </v:shape>
                  <v:shape id="TextBox 10" o:spid="_x0000_s1033" type="#_x0000_t202" style="position:absolute;left:39506;top:28149;width:793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" filled="f" stroked="f">
                    <v:textbox>
                      <w:txbxContent>
                        <w:p w:rsidR="00A038F3" w:rsidRDefault="0062055D">
                          <w:pPr>
                            <w:pStyle w:val="NormalWeb"/>
                            <w:keepNext/>
                            <w:spacing w:after="0"/>
                            <w:jc w:val="center"/>
                            <w:textAlignment w:val="baseline"/>
                            <w:rPr>
                              <w:sz w:val="16"/>
                              <w:szCs w:val="16"/>
                            </w:rPr>
                          </w:pPr>
                          <w:r>
                            <w:rPr>
                              <w:color w:val="808080"/>
                              <w:sz w:val="16"/>
                              <w:szCs w:val="16"/>
                            </w:rPr>
                            <w:t>2021–2027</w:t>
                          </w:r>
                        </w:p>
                      </w:txbxContent>
                    </v:textbox>
                  </v:shape>
                  <v:shape id="TextBox 12" o:spid="_x0000_s1034" type="#_x0000_t202" style="position:absolute;top:16743;width:1076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o4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" filled="f" stroked="f">
                    <v:textbox>
                      <w:txbxContent>
                        <w:p w:rsidR="00A038F3" w:rsidRDefault="0062055D">
                          <w:pPr>
                            <w:pStyle w:val="NormalWeb"/>
                            <w:keepNext/>
                            <w:jc w:val="center"/>
                            <w:textAlignment w:val="baseline"/>
                            <w:rPr>
                              <w:sz w:val="16"/>
                              <w:szCs w:val="16"/>
                            </w:rPr>
                          </w:pPr>
                          <w:r>
                            <w:rPr>
                              <w:b/>
                              <w:bCs/>
                              <w:color w:val="FFFFFF"/>
                              <w:sz w:val="16"/>
                              <w:szCs w:val="16"/>
                            </w:rPr>
                            <w:t>1,25 %</w:t>
                          </w:r>
                        </w:p>
                      </w:txbxContent>
                    </v:textbox>
                  </v:shape>
                  <v:shape id="TextBox 13" o:spid="_x0000_s1035" type="#_x0000_t202" style="position:absolute;left:9917;top:16660;width: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" filled="f" stroked="f">
                    <v:textbox>
                      <w:txbxContent>
                        <w:p w:rsidR="00A038F3" w:rsidRDefault="0062055D">
                          <w:pPr>
                            <w:pStyle w:val="NormalWeb"/>
                            <w:keepNext/>
                            <w:jc w:val="center"/>
                            <w:textAlignment w:val="baseline"/>
                            <w:rPr>
                              <w:sz w:val="16"/>
                              <w:szCs w:val="16"/>
                            </w:rPr>
                          </w:pPr>
                          <w:r>
                            <w:rPr>
                              <w:b/>
                              <w:bCs/>
                              <w:color w:val="FFFFFF"/>
                              <w:sz w:val="16"/>
                              <w:szCs w:val="16"/>
                            </w:rPr>
                            <w:t>1,09 %</w:t>
                          </w:r>
                        </w:p>
                      </w:txbxContent>
                    </v:textbox>
                  </v:shape>
                  <v:shape id="TextBox 14" o:spid="_x0000_s1036" type="#_x0000_t202" style="position:absolute;left:25178;top:1674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" filled="f" stroked="f">
                    <v:textbox>
                      <w:txbxContent>
                        <w:p w:rsidR="00A038F3" w:rsidRDefault="0062055D">
                          <w:pPr>
                            <w:pStyle w:val="NormalWeb"/>
                            <w:keepNext/>
                            <w:jc w:val="center"/>
                            <w:textAlignment w:val="baseline"/>
                            <w:rPr>
                              <w:sz w:val="16"/>
                              <w:szCs w:val="16"/>
                            </w:rPr>
                          </w:pPr>
                          <w:r>
                            <w:rPr>
                              <w:b/>
                              <w:bCs/>
                              <w:color w:val="FFFFFF"/>
                              <w:sz w:val="16"/>
                              <w:szCs w:val="16"/>
                            </w:rPr>
                            <w:t>1,00 %</w:t>
                          </w:r>
                        </w:p>
                      </w:txbxContent>
                    </v:textbox>
                  </v:shape>
                  <v:shape id="TextBox 16" o:spid="_x0000_s1037" type="#_x0000_t202" style="position:absolute;left:1806;top:-816;width:7658;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z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" filled="f" stroked="f">
                    <v:textbox>
                      <w:txbxContent>
                        <w:p w:rsidR="00A038F3" w:rsidRDefault="0062055D">
                          <w:pPr>
                            <w:pStyle w:val="NormalWeb"/>
                            <w:keepNext/>
                            <w:jc w:val="center"/>
                            <w:textAlignment w:val="baseline"/>
                            <w:rPr>
                              <w:sz w:val="16"/>
                              <w:szCs w:val="16"/>
                            </w:rPr>
                          </w:pPr>
                          <w:r>
                            <w:rPr>
                              <w:b/>
                              <w:bCs/>
                              <w:color w:val="0E4194"/>
                              <w:sz w:val="16"/>
                              <w:szCs w:val="16"/>
                            </w:rPr>
                            <w:t>0,03 %</w:t>
                          </w:r>
                        </w:p>
                      </w:txbxContent>
                    </v:textbox>
                  </v:shape>
                  <v:shape id="TextBox 16" o:spid="_x0000_s1038" type="#_x0000_t202" style="position:absolute;left:9954;top:4148;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b/>
                              <w:bCs/>
                              <w:color w:val="0E4194"/>
                              <w:sz w:val="16"/>
                              <w:szCs w:val="16"/>
                            </w:rPr>
                            <w:t>0,02 %</w:t>
                          </w:r>
                        </w:p>
                      </w:txbxContent>
                    </v:textbox>
                  </v:shape>
                  <v:shape id="TextBox 16" o:spid="_x0000_s1039" type="#_x0000_t202" style="position:absolute;left:17684;top:3662;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b/>
                              <w:bCs/>
                              <w:color w:val="0E4194"/>
                              <w:sz w:val="16"/>
                              <w:szCs w:val="16"/>
                            </w:rPr>
                            <w:t>0,03 %</w:t>
                          </w:r>
                        </w:p>
                      </w:txbxContent>
                    </v:textbox>
                  </v:shape>
                  <v:shape id="TextBox 16" o:spid="_x0000_s1040" type="#_x0000_t202" style="position:absolute;left:25178;top:7104;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b/>
                              <w:bCs/>
                              <w:color w:val="0E4194"/>
                              <w:sz w:val="16"/>
                              <w:szCs w:val="16"/>
                            </w:rPr>
                            <w:t>0,03 %</w:t>
                          </w:r>
                        </w:p>
                      </w:txbxContent>
                    </v:textbox>
                  </v:shape>
                  <v:shape id="TextBox 13" o:spid="_x0000_s1041" type="#_x0000_t202" style="position:absolute;left:17685;top:16743;width:680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" filled="f" stroked="f">
                    <v:textbox>
                      <w:txbxContent>
                        <w:p w:rsidR="00A038F3" w:rsidRDefault="0062055D">
                          <w:pPr>
                            <w:pStyle w:val="NormalWeb"/>
                            <w:keepNext/>
                            <w:jc w:val="center"/>
                            <w:textAlignment w:val="baseline"/>
                            <w:rPr>
                              <w:sz w:val="16"/>
                              <w:szCs w:val="16"/>
                            </w:rPr>
                          </w:pPr>
                          <w:r>
                            <w:rPr>
                              <w:b/>
                              <w:bCs/>
                              <w:color w:val="FFFFFF"/>
                              <w:sz w:val="16"/>
                              <w:szCs w:val="16"/>
                            </w:rPr>
                            <w:t>1,12 %</w:t>
                          </w:r>
                        </w:p>
                      </w:txbxContent>
                    </v:textbox>
                  </v:shape>
                  <v:rect id="Rectangle 3260" o:spid="_x0000_s1042" style="position:absolute;left:2311;top:33361;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" fillcolor="#00a3a0" stroked="f"/>
                  <v:rect id="Rectangle 3261" o:spid="_x0000_s1043" style="position:absolute;left:30323;top:33358;width:170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" fillcolor="#134390" stroked="f"/>
                  <v:shape id="TextBox 6" o:spid="_x0000_s1044" type="#_x0000_t202" style="position:absolute;left:3644;top:33287;width:28333;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" filled="f" stroked="f">
                    <v:textbox>
                      <w:txbxContent>
                        <w:p w:rsidR="00A038F3" w:rsidRDefault="0062055D">
                          <w:pPr>
                            <w:pStyle w:val="NormalWeb"/>
                            <w:keepNext/>
                            <w:spacing w:after="0"/>
                            <w:jc w:val="left"/>
                            <w:textAlignment w:val="baseline"/>
                            <w:rPr>
                              <w:color w:val="808080"/>
                            </w:rPr>
                          </w:pPr>
                          <w:r>
                            <w:rPr>
                              <w:color w:val="808080"/>
                              <w:sz w:val="18"/>
                              <w:szCs w:val="18"/>
                            </w:rPr>
                            <w:t>Maksusitoumusmäärärahojen enimmäismäärä, % suhteessa</w:t>
                          </w:r>
                          <w:r>
                            <w:rPr>
                              <w:color w:val="808080"/>
                              <w:sz w:val="18"/>
                              <w:szCs w:val="18"/>
                            </w:rPr>
                            <w:t xml:space="preserve"> EU:n BKTL:oon</w:t>
                          </w:r>
                        </w:p>
                        <w:p w:rsidR="00A038F3" w:rsidRDefault="0062055D">
                          <w:pPr>
                            <w:pStyle w:val="NormalWeb"/>
                            <w:keepNext/>
                            <w:spacing w:after="0"/>
                            <w:textAlignment w:val="baseline"/>
                            <w:rPr>
                              <w:i/>
                              <w:color w:val="808080"/>
                            </w:rPr>
                          </w:pPr>
                          <w:r>
                            <w:rPr>
                              <w:i/>
                              <w:color w:val="808080"/>
                              <w:sz w:val="16"/>
                              <w:szCs w:val="16"/>
                            </w:rPr>
                            <w:t xml:space="preserve">*2014–2020 arvioidut sitoumukset </w:t>
                          </w:r>
                        </w:p>
                        <w:p w:rsidR="00A038F3" w:rsidRDefault="0062055D">
                          <w:pPr>
                            <w:pStyle w:val="NormalWeb"/>
                            <w:keepNext/>
                            <w:spacing w:after="0"/>
                            <w:jc w:val="left"/>
                            <w:textAlignment w:val="baseline"/>
                            <w:rPr>
                              <w:i/>
                              <w:color w:val="808080"/>
                              <w:sz w:val="14"/>
                              <w:szCs w:val="14"/>
                            </w:rPr>
                          </w:pPr>
                          <w:r>
                            <w:rPr>
                              <w:i/>
                              <w:color w:val="808080"/>
                              <w:sz w:val="14"/>
                              <w:szCs w:val="14"/>
                            </w:rPr>
                            <w:t>(pl. Yhdistyneen kuningaskunnan menot) % suhteessa EU27:n BKTL:oon</w:t>
                          </w:r>
                        </w:p>
                        <w:p w:rsidR="00A038F3" w:rsidRDefault="0062055D">
                          <w:pPr>
                            <w:pStyle w:val="NormalWeb"/>
                            <w:keepNext/>
                            <w:spacing w:after="0"/>
                            <w:textAlignment w:val="baseline"/>
                            <w:rPr>
                              <w:i/>
                              <w:color w:val="808080"/>
                            </w:rPr>
                          </w:pPr>
                          <w:r>
                            <w:rPr>
                              <w:i/>
                              <w:color w:val="808080"/>
                              <w:sz w:val="16"/>
                              <w:szCs w:val="16"/>
                            </w:rPr>
                            <w:t>** Euroopan kehitysrahasto on sisällytetty talousarvioon.</w:t>
                          </w:r>
                        </w:p>
                        <w:p w:rsidR="00A038F3" w:rsidRDefault="0062055D">
                          <w:pPr>
                            <w:pStyle w:val="NormalWeb"/>
                            <w:keepNext/>
                            <w:spacing w:after="0"/>
                            <w:textAlignment w:val="baseline"/>
                          </w:pPr>
                          <w:r>
                            <w:t> </w:t>
                          </w:r>
                        </w:p>
                      </w:txbxContent>
                    </v:textbox>
                  </v:shape>
                  <v:shape id="TextBox 6" o:spid="_x0000_s1045" type="#_x0000_t202" style="position:absolute;left:31516;top:33297;width:1738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v:textbox>
                      <w:txbxContent>
                        <w:p w:rsidR="00A038F3" w:rsidRDefault="0062055D">
                          <w:pPr>
                            <w:pStyle w:val="NormalWeb"/>
                            <w:keepNext/>
                            <w:spacing w:after="0"/>
                            <w:textAlignment w:val="baseline"/>
                            <w:rPr>
                              <w:color w:val="808080"/>
                            </w:rPr>
                          </w:pPr>
                          <w:r>
                            <w:rPr>
                              <w:color w:val="808080"/>
                              <w:sz w:val="18"/>
                              <w:szCs w:val="18"/>
                            </w:rPr>
                            <w:t>Euroopan kehitysrahasto</w:t>
                          </w:r>
                        </w:p>
                      </w:txbxContent>
                    </v:textbox>
                  </v:shape>
                  <v:shape id="TextBox 9" o:spid="_x0000_s1046" type="#_x0000_t202" style="position:absolute;left:31981;top:28132;width:7740;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6U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cT+HsTn4Bc/wIAAP//AwBQSwECLQAUAAYACAAAACEA2+H2y+4AAACFAQAAEwAAAAAAAAAA&#10;AAAAAAAAAAAAW0NvbnRlbnRfVHlwZXNdLnhtbFBLAQItABQABgAIAAAAIQBa9CxbvwAAABUBAAAL&#10;AAAAAAAAAAAAAAAAAB8BAABfcmVscy8ucmVsc1BLAQItABQABgAIAAAAIQCNKS6U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color w:val="808080"/>
                              <w:sz w:val="16"/>
                              <w:szCs w:val="16"/>
                            </w:rPr>
                            <w:t>Keskiarvo 2014–2020, EU27*</w:t>
                          </w:r>
                        </w:p>
                      </w:txbxContent>
                    </v:textbox>
                  </v:shape>
                  <v:shape id="TextBox 13" o:spid="_x0000_s1047" type="#_x0000_t202" style="position:absolute;left:40128;top:16743;width:6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" filled="f" stroked="f">
                    <v:textbox>
                      <w:txbxContent>
                        <w:p w:rsidR="00A038F3" w:rsidRDefault="0062055D">
                          <w:pPr>
                            <w:pStyle w:val="NormalWeb"/>
                            <w:keepNext/>
                            <w:jc w:val="center"/>
                            <w:textAlignment w:val="baseline"/>
                            <w:rPr>
                              <w:sz w:val="16"/>
                              <w:szCs w:val="16"/>
                            </w:rPr>
                          </w:pPr>
                          <w:r>
                            <w:rPr>
                              <w:b/>
                              <w:bCs/>
                              <w:color w:val="FFFFFF"/>
                              <w:sz w:val="16"/>
                              <w:szCs w:val="16"/>
                            </w:rPr>
                            <w:t>1,11 %</w:t>
                          </w:r>
                        </w:p>
                      </w:txbxContent>
                    </v:textbox>
                  </v:shape>
                  <v:shape id="TextBox 14" o:spid="_x0000_s1048" type="#_x0000_t202" style="position:absolute;left:32388;top:1653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" filled="f" stroked="f">
                    <v:textbox>
                      <w:txbxContent>
                        <w:p w:rsidR="00A038F3" w:rsidRDefault="0062055D">
                          <w:pPr>
                            <w:pStyle w:val="NormalWeb"/>
                            <w:keepNext/>
                            <w:jc w:val="center"/>
                            <w:textAlignment w:val="baseline"/>
                            <w:rPr>
                              <w:sz w:val="16"/>
                              <w:szCs w:val="16"/>
                            </w:rPr>
                          </w:pPr>
                          <w:r>
                            <w:rPr>
                              <w:b/>
                              <w:bCs/>
                              <w:color w:val="FFFFFF"/>
                              <w:sz w:val="16"/>
                              <w:szCs w:val="16"/>
                            </w:rPr>
                            <w:t>1,13 %</w:t>
                          </w:r>
                        </w:p>
                      </w:txbxContent>
                    </v:textbox>
                  </v:shape>
                  <v:shape id="TextBox 16" o:spid="_x0000_s1049" type="#_x0000_t202" style="position:absolute;left:32577;top:3461;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" filled="f" stroked="f">
                    <v:textbox>
                      <w:txbxContent>
                        <w:p w:rsidR="00A038F3" w:rsidRDefault="0062055D">
                          <w:pPr>
                            <w:pStyle w:val="NormalWeb"/>
                            <w:keepNext/>
                            <w:spacing w:after="0"/>
                            <w:jc w:val="center"/>
                            <w:textAlignment w:val="baseline"/>
                            <w:rPr>
                              <w:sz w:val="16"/>
                              <w:szCs w:val="16"/>
                            </w:rPr>
                          </w:pPr>
                          <w:r>
                            <w:rPr>
                              <w:b/>
                              <w:bCs/>
                              <w:color w:val="0E4194"/>
                              <w:sz w:val="16"/>
                              <w:szCs w:val="16"/>
                            </w:rPr>
                            <w:t>0,03 %</w:t>
                          </w:r>
                        </w:p>
                      </w:txbxContent>
                    </v:textbox>
                  </v:shape>
                </v:group>
                <v:group id="Group 3396" o:spid="_x0000_s1050" style="position:absolute;left:45671;top:5468;width:6801;height:2731" coordorigin="45671,5468" coordsize="680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TextBox 16" o:spid="_x0000_s1051" type="#_x0000_t202" style="position:absolute;left:45671;top:5468;width:680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" filled="f" stroked="f">
                    <v:textbox>
                      <w:txbxContent>
                        <w:p w:rsidR="00A038F3" w:rsidRDefault="0062055D">
                          <w:pPr>
                            <w:pStyle w:val="NormalWeb"/>
                            <w:keepNext/>
                            <w:spacing w:after="0" w:line="276" w:lineRule="auto"/>
                            <w:jc w:val="center"/>
                            <w:textAlignment w:val="baseline"/>
                            <w:rPr>
                              <w:sz w:val="16"/>
                              <w:szCs w:val="16"/>
                            </w:rPr>
                          </w:pPr>
                          <w:r>
                            <w:rPr>
                              <w:b/>
                              <w:bCs/>
                              <w:color w:val="0E4194"/>
                              <w:sz w:val="16"/>
                              <w:szCs w:val="16"/>
                            </w:rPr>
                            <w:t>0,03 %</w:t>
                          </w:r>
                        </w:p>
                      </w:txbxContent>
                    </v:textbox>
                  </v:shape>
                  <v:line id="Straight Connector 3398" o:spid="_x0000_s1052" style="position:absolute;visibility:visible;mso-wrap-style:square" from="46531,6978" to="4653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" strokecolor="#039" strokeweight="2.25pt"/>
                </v:group>
                <w10:anchorlock/>
              </v:group>
            </w:pict>
          </mc:Fallback>
        </mc:AlternateConten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Komission ehdottama osuus merkitsee jo nyt vähennystä nykytilanteeseen verrattuna. Näin vastataan realistisesti EU:n talousarvion merkittävän rahoittajan lähdön vaikutukseen, mutta annetaan uusille ja kehittyville painopistealoille tarpeellinen rahoitusrui</w:t>
      </w:r>
      <w:r>
        <w:rPr>
          <w:noProof/>
          <w:sz w:val="22"/>
          <w:szCs w:val="22"/>
          <w:u w:color="000000"/>
          <w:bdr w:val="nil"/>
        </w:rPr>
        <w:t xml:space="preserve">ske. </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Tämänkokoinen pitkän aikavälin talousarvio ei kasvattaisi jäsenvaltioiden maksuosuuksia merkittävästi ja kestämättömästi. Kansallisten rahoitusosuuksien kasvu noin kolmanneksella vuoden 2020 tasosta vuoteen 2027 mennessä aiheutuu lähinnä inflaatiosta</w:t>
      </w:r>
      <w:r>
        <w:rPr>
          <w:noProof/>
          <w:sz w:val="22"/>
          <w:szCs w:val="22"/>
          <w:u w:color="000000"/>
          <w:bdr w:val="nil"/>
        </w:rPr>
        <w:t xml:space="preserve"> ja reaalikasvusta, jotka johtavat vastaaviin lisäyksiin kansallisissa talousarvioissa näiden vuosien aikana. Loppuosa johtuu osittain Yhdistyneen kuningaskunnan erosta ja osittain lisääntyneistä investoinneista yhteisiin painopisteisiin, kuten tutkimuksee</w:t>
      </w:r>
      <w:r>
        <w:rPr>
          <w:noProof/>
          <w:sz w:val="22"/>
          <w:szCs w:val="22"/>
          <w:u w:color="000000"/>
          <w:bdr w:val="nil"/>
        </w:rPr>
        <w:t>n, digitaaliseen siirtymään, ilmastonmuutokseen, muuttoliikkeeseen, turvallisuuteen ja puolustukseen sekä unionin ulkoiseen toimintaan.</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Huomattavat lisäleikkaukset estäisivät unionia toimimasta tuloksellisesti painopistealoillaan ja vaikuttaisivat välittöm</w:t>
      </w:r>
      <w:r>
        <w:rPr>
          <w:noProof/>
          <w:sz w:val="22"/>
          <w:szCs w:val="22"/>
          <w:u w:color="000000"/>
          <w:bdr w:val="nil"/>
        </w:rPr>
        <w:t>ästi alueille ja Euroopan maanviljelijöille, opiskelijoille ja tutkijoille osoitetun EU:n tuen määrään. Tämä poikkeaisi merkittävästi Eurooppa-neuvoston kesäkuussa 2019 sopimasta strategisesta ohjelmasta.</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Eurooppa-neuvoston on siis kiireellisesti määritelt</w:t>
      </w:r>
      <w:r>
        <w:rPr>
          <w:b/>
          <w:noProof/>
          <w:sz w:val="22"/>
          <w:szCs w:val="22"/>
          <w:u w:color="000000"/>
          <w:bdr w:val="nil"/>
        </w:rPr>
        <w:t>ävä realistinen vaihteluväli EU:n talousarvion kokonaismäärälle.</w:t>
      </w:r>
      <w:r>
        <w:rPr>
          <w:noProof/>
          <w:sz w:val="22"/>
          <w:szCs w:val="22"/>
          <w:u w:color="000000"/>
          <w:bdr w:val="nil"/>
        </w:rPr>
        <w:t xml:space="preserve"> Merkittävällä poikkeamisella komission tasapainoisesta ehdotuksesta olisi todellisia seurauksia. Suurempi talousarvio mahdollistaisi sen, että unioni pystyisi saavuttamaan yhdessä enemmän, mu</w:t>
      </w:r>
      <w:r>
        <w:rPr>
          <w:noProof/>
          <w:sz w:val="22"/>
          <w:szCs w:val="22"/>
          <w:u w:color="000000"/>
          <w:bdr w:val="nil"/>
        </w:rPr>
        <w:t>tta kasvattaisi kansallisiin maksuosuuksiin kohdistuvaa painetta, vaikka EU:n talousarvion rahoittamisjärjestelmän uudistaminen komission ehdottamalla tavalla vähentäisi tätä vaikutusta. Toisaalta pienempi talousarvio vaikuttaisi haitallisesti unionin kyky</w:t>
      </w:r>
      <w:r>
        <w:rPr>
          <w:noProof/>
          <w:sz w:val="22"/>
          <w:szCs w:val="22"/>
          <w:u w:color="000000"/>
          <w:bdr w:val="nil"/>
        </w:rPr>
        <w:t>yn toteuttaa strategista ohjelmaa ja unionin painopisteitä tuloksellisesti. Se haittaisi EU:n toimintapolitiikkojen nykyaikaistamista ja heikentäisi kykyä vastata kiireellisiin uusiin painopisteisiin.</w:t>
      </w:r>
    </w:p>
    <w:p w:rsidR="00A038F3" w:rsidRDefault="0062055D">
      <w:pPr>
        <w:pStyle w:val="Heading2"/>
      </w:pPr>
      <w:r>
        <w:t>Aiempaa oikeudenmukaisempi lähestymistapa EU:n talousar</w:t>
      </w:r>
      <w:r>
        <w:t>vion rahoittamiseen</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Onnistuneet ohjelmat, joilla on vahva eurooppalainen lisäarvo, hyödyttävät kaikkia riippumatta siitä, missä investointi tehdään. Lisäksi unionin jäsenyyden hyödyt ulottuvat paljon budjettituloja </w:t>
      </w:r>
      <w:r>
        <w:rPr>
          <w:noProof/>
          <w:sz w:val="22"/>
          <w:szCs w:val="22"/>
          <w:u w:color="000000"/>
          <w:bdr w:val="nil"/>
        </w:rPr>
        <w:lastRenderedPageBreak/>
        <w:t>laajemmalle. Tämän vuoksi ei kannata kesk</w:t>
      </w:r>
      <w:r>
        <w:rPr>
          <w:noProof/>
          <w:sz w:val="22"/>
          <w:szCs w:val="22"/>
          <w:u w:color="000000"/>
          <w:bdr w:val="nil"/>
        </w:rPr>
        <w:t>ittyä pelkkään nettojäännökseen. Kyseessä on talousarvio kaikille eurooppalaisille. Siitä investoidaan aloihin, joilla EU:n tason resurssien yhdistäminen voi tuottaa jotain, johon jäsenvaltioiden talousarviot eivät yksin pysty.</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Tällä hetkellä kunkin jäsenv</w:t>
      </w:r>
      <w:r>
        <w:rPr>
          <w:noProof/>
          <w:sz w:val="22"/>
          <w:szCs w:val="22"/>
          <w:u w:color="000000"/>
          <w:bdr w:val="nil"/>
        </w:rPr>
        <w:t>altion EU:n talousarvioon osoittama maksuosuus ei ole osoitus yhteisvastuusta tai suhteellisesta vauraudesta. Ajan mittaan käyttöön otetut alennukset ja korjaukset ovat johtaneet siihen, että järjestelmä on epäselvä ja epäoikeudenmukainen. Alennuksista hyö</w:t>
      </w:r>
      <w:r>
        <w:rPr>
          <w:noProof/>
          <w:sz w:val="22"/>
          <w:szCs w:val="22"/>
          <w:u w:color="000000"/>
          <w:bdr w:val="nil"/>
        </w:rPr>
        <w:t>tyvät jäsenvaltiot maksavat talousarvioon tuloistaan pienemmän osuuden kuin muut jäsenvaltiot. Rikkaimmat jäsenvaltiot maksavat vähiten, kun verrataan prosentuaalista osuutta bruttokansantulosta henkeä kohti.</w:t>
      </w:r>
    </w:p>
    <w:p w:rsidR="00A038F3" w:rsidRDefault="0062055D">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12477</wp:posOffset>
                </wp:positionV>
                <wp:extent cx="5717540" cy="3740150"/>
                <wp:effectExtent l="0" t="0" r="0" b="0"/>
                <wp:wrapNone/>
                <wp:docPr id="5" name="Rectangle 5"/>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5AB1AC5" id="Rectangle 5" o:spid="_x0000_s1026" style="position:absolute;margin-left:0;margin-top:1pt;width:450.2pt;height: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" fillcolor="#f2f2f2" stroked="f" strokeweight="1pt">
                <v:textbox style="mso-fit-shape-to-text:t" inset="1.27mm,1.27mm,1.27mm,1.27mm"/>
              </v:rect>
            </w:pict>
          </mc:Fallback>
        </mc:AlternateContent>
      </w:r>
      <w:r>
        <w:rPr>
          <w:b/>
          <w:bCs/>
          <w:noProof/>
          <w:color w:val="00A3A0"/>
          <w:sz w:val="22"/>
          <w:szCs w:val="22"/>
          <w:u w:color="000000"/>
          <w:bdr w:val="nil"/>
        </w:rPr>
        <w:t xml:space="preserve">Kansalliset rahoitusosuudet prosenttiosuutena </w:t>
      </w:r>
      <w:r>
        <w:rPr>
          <w:b/>
          <w:bCs/>
          <w:noProof/>
          <w:color w:val="00A3A0"/>
          <w:sz w:val="22"/>
          <w:szCs w:val="22"/>
          <w:u w:color="000000"/>
          <w:bdr w:val="nil"/>
        </w:rPr>
        <w:t>bruttokansantulosta (BKTL)</w:t>
      </w:r>
    </w:p>
    <w:p w:rsidR="00A038F3" w:rsidRDefault="0062055D">
      <w:pPr>
        <w:keepNext/>
        <w:pBdr>
          <w:top w:val="nil"/>
          <w:left w:val="nil"/>
          <w:bottom w:val="nil"/>
          <w:right w:val="nil"/>
          <w:between w:val="nil"/>
          <w:bar w:val="nil"/>
        </w:pBdr>
        <w:spacing w:after="0"/>
        <w:jc w:val="center"/>
        <w:rPr>
          <w:rFonts w:eastAsia="Arial Unicode MS" w:cs="Arial Unicode MS"/>
          <w:noProof/>
          <w:color w:val="000000"/>
          <w:szCs w:val="24"/>
          <w:u w:color="000000"/>
          <w:bdr w:val="nil"/>
        </w:rPr>
      </w:pPr>
      <w:r>
        <w:rPr>
          <w:noProof/>
          <w:u w:color="000000"/>
          <w:bdr w:val="nil"/>
          <w:lang w:val="fr-BE" w:eastAsia="fr-BE"/>
        </w:rPr>
        <mc:AlternateContent>
          <mc:Choice Requires="wps">
            <w:drawing>
              <wp:anchor distT="45720" distB="45720" distL="114300" distR="114300" simplePos="0" relativeHeight="251660288" behindDoc="0" locked="0" layoutInCell="1" allowOverlap="1">
                <wp:simplePos x="0" y="0"/>
                <wp:positionH relativeFrom="column">
                  <wp:posOffset>774459</wp:posOffset>
                </wp:positionH>
                <wp:positionV relativeFrom="paragraph">
                  <wp:posOffset>438042</wp:posOffset>
                </wp:positionV>
                <wp:extent cx="991235" cy="264017"/>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4017"/>
                        </a:xfrm>
                        <a:prstGeom prst="rect">
                          <a:avLst/>
                        </a:prstGeom>
                        <a:noFill/>
                        <a:ln w="9525">
                          <a:noFill/>
                          <a:miter lim="800000"/>
                          <a:headEnd/>
                          <a:tailEnd/>
                        </a:ln>
                      </wps:spPr>
                      <wps:txbx>
                        <w:txbxContent>
                          <w:p w:rsidR="00A038F3" w:rsidRDefault="0062055D">
                            <w:pPr>
                              <w:rPr>
                                <w:color w:val="808080"/>
                                <w:sz w:val="20"/>
                              </w:rPr>
                            </w:pPr>
                            <w:r>
                              <w:rPr>
                                <w:color w:val="808080"/>
                                <w:sz w:val="20"/>
                              </w:rPr>
                              <w:t>2020 keskiarvo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61pt;margin-top:34.5pt;width:78.05pt;height:2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" filled="f" stroked="f">
                <v:textbox>
                  <w:txbxContent>
                    <w:p w:rsidR="00A038F3" w:rsidRDefault="0062055D">
                      <w:pPr>
                        <w:rPr>
                          <w:color w:val="808080"/>
                          <w:sz w:val="20"/>
                        </w:rPr>
                      </w:pPr>
                      <w:r>
                        <w:rPr>
                          <w:color w:val="808080"/>
                          <w:sz w:val="20"/>
                        </w:rPr>
                        <w:t>2020 keskiarvo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2336" behindDoc="0" locked="0" layoutInCell="1" allowOverlap="1">
                <wp:simplePos x="0" y="0"/>
                <wp:positionH relativeFrom="column">
                  <wp:posOffset>4316149</wp:posOffset>
                </wp:positionH>
                <wp:positionV relativeFrom="paragraph">
                  <wp:posOffset>212661</wp:posOffset>
                </wp:positionV>
                <wp:extent cx="991235" cy="27045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70457"/>
                        </a:xfrm>
                        <a:prstGeom prst="rect">
                          <a:avLst/>
                        </a:prstGeom>
                        <a:noFill/>
                        <a:ln w="9525">
                          <a:noFill/>
                          <a:miter lim="800000"/>
                          <a:headEnd/>
                          <a:tailEnd/>
                        </a:ln>
                      </wps:spPr>
                      <wps:txbx>
                        <w:txbxContent>
                          <w:p w:rsidR="00A038F3" w:rsidRDefault="0062055D">
                            <w:pPr>
                              <w:rPr>
                                <w:color w:val="808080"/>
                                <w:sz w:val="20"/>
                              </w:rPr>
                            </w:pPr>
                            <w:r>
                              <w:rPr>
                                <w:color w:val="808080"/>
                                <w:sz w:val="20"/>
                              </w:rPr>
                              <w:t>2027 keskiarvo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9.85pt;margin-top:16.75pt;width:78.05pt;height:2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2CwIAAPo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" filled="f" stroked="f">
                <v:textbox>
                  <w:txbxContent>
                    <w:p w:rsidR="00A038F3" w:rsidRDefault="0062055D">
                      <w:pPr>
                        <w:rPr>
                          <w:color w:val="808080"/>
                          <w:sz w:val="20"/>
                        </w:rPr>
                      </w:pPr>
                      <w:r>
                        <w:rPr>
                          <w:color w:val="808080"/>
                          <w:sz w:val="20"/>
                        </w:rPr>
                        <w:t>2027 keskiarvo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3360" behindDoc="0" locked="0" layoutInCell="1" allowOverlap="1">
                <wp:simplePos x="0" y="0"/>
                <wp:positionH relativeFrom="column">
                  <wp:posOffset>4313555</wp:posOffset>
                </wp:positionH>
                <wp:positionV relativeFrom="paragraph">
                  <wp:posOffset>401508</wp:posOffset>
                </wp:positionV>
                <wp:extent cx="991235" cy="2635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A038F3" w:rsidRDefault="0062055D">
                            <w:pPr>
                              <w:rPr>
                                <w:color w:val="808080"/>
                                <w:sz w:val="20"/>
                              </w:rPr>
                            </w:pPr>
                            <w:r>
                              <w:rPr>
                                <w:color w:val="808080"/>
                                <w:sz w:val="20"/>
                              </w:rPr>
                              <w:t>EU27: 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9.65pt;margin-top:31.6pt;width:78.05pt;height: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" filled="f" stroked="f">
                <v:textbox>
                  <w:txbxContent>
                    <w:p w:rsidR="00A038F3" w:rsidRDefault="0062055D">
                      <w:pPr>
                        <w:rPr>
                          <w:color w:val="808080"/>
                          <w:sz w:val="20"/>
                        </w:rPr>
                      </w:pPr>
                      <w:r>
                        <w:rPr>
                          <w:color w:val="808080"/>
                          <w:sz w:val="20"/>
                        </w:rPr>
                        <w:t>EU27: 0,91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5408" behindDoc="0" locked="0" layoutInCell="1" allowOverlap="1">
                <wp:simplePos x="0" y="0"/>
                <wp:positionH relativeFrom="column">
                  <wp:posOffset>771525</wp:posOffset>
                </wp:positionH>
                <wp:positionV relativeFrom="paragraph">
                  <wp:posOffset>621754</wp:posOffset>
                </wp:positionV>
                <wp:extent cx="991235" cy="2635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A038F3" w:rsidRDefault="0062055D">
                            <w:pPr>
                              <w:rPr>
                                <w:color w:val="808080"/>
                                <w:sz w:val="20"/>
                              </w:rPr>
                            </w:pPr>
                            <w:r>
                              <w:rPr>
                                <w:color w:val="808080"/>
                                <w:sz w:val="20"/>
                              </w:rPr>
                              <w:t>EU28: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0.75pt;margin-top:48.95pt;width:78.05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" filled="f" stroked="f">
                <v:textbox>
                  <w:txbxContent>
                    <w:p w:rsidR="00A038F3" w:rsidRDefault="0062055D">
                      <w:pPr>
                        <w:rPr>
                          <w:color w:val="808080"/>
                          <w:sz w:val="20"/>
                        </w:rPr>
                      </w:pPr>
                      <w:r>
                        <w:rPr>
                          <w:color w:val="808080"/>
                          <w:sz w:val="20"/>
                        </w:rPr>
                        <w:t>EU28: 0,81</w:t>
                      </w:r>
                    </w:p>
                  </w:txbxContent>
                </v:textbox>
              </v:shape>
            </w:pict>
          </mc:Fallback>
        </mc:AlternateContent>
      </w:r>
      <w:r>
        <w:rPr>
          <w:noProof/>
          <w:u w:color="000000"/>
          <w:bdr w:val="nil"/>
          <w:lang w:val="fr-BE" w:eastAsia="fr-BE"/>
        </w:rPr>
        <w:drawing>
          <wp:inline distT="0" distB="0" distL="0" distR="0">
            <wp:extent cx="4572000" cy="31908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38F3" w:rsidRDefault="00A038F3">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Yhdistyneen kuningaskunnan eron ja muiden oikaisujen lopettamisen myötä nykyinen monimutkainen alennus- ja korjausjärjestelmä päättyy automaattisesti. </w:t>
      </w:r>
      <w:r>
        <w:rPr>
          <w:noProof/>
          <w:sz w:val="22"/>
          <w:szCs w:val="22"/>
          <w:u w:color="000000"/>
          <w:bdr w:val="nil"/>
        </w:rPr>
        <w:t>Tämä on asianmukaista erityisesti siksi, että Fontainebleaussa käytetty ajatusmalli ei enää ole ajankohtainen. Vuonna 1984 Yhdistynyt kuningaskunta oli suhteellisen köyhä jäsenvaltio, ja talousarviota dominoivat maatalouden hyväksi tehtävät siirrot. Nyt ti</w:t>
      </w:r>
      <w:r>
        <w:rPr>
          <w:noProof/>
          <w:sz w:val="22"/>
          <w:szCs w:val="22"/>
          <w:u w:color="000000"/>
          <w:bdr w:val="nil"/>
        </w:rPr>
        <w:t>lanne on hyvin erilainen: alennuksista hyötyvät jäsenvaltiot kuuluvat unionin vauraimpiin, ja EU:n menot ovat merkittävästi muuttuneet ja monipuolistuneet. Komissio on tämän vuoksi ehdottanut, että alennukset poistettaisiin asteittain viiden vuoden aikana.</w:t>
      </w:r>
      <w:r>
        <w:rPr>
          <w:b/>
          <w:noProof/>
          <w:sz w:val="22"/>
          <w:szCs w:val="22"/>
          <w:u w:color="000000"/>
          <w:bdr w:val="nil"/>
        </w:rPr>
        <w:t xml:space="preserve"> Eurooppa-neuvoston on aika sopia oikeudenmukaisemmasta ja avoimemmasta järjestelmästä, jossa kaikkiin sovelletaan samoja sääntöjä</w:t>
      </w:r>
      <w:r>
        <w:rPr>
          <w:noProof/>
          <w:sz w:val="22"/>
          <w:szCs w:val="22"/>
          <w:u w:color="000000"/>
          <w:bdr w:val="nil"/>
        </w:rPr>
        <w:t>.</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 xml:space="preserve">Eurooppa-neuvoston olisi myös annettava tarvittava sysäys meneillään olevaan työhön EU:n talousarvion uusien </w:t>
      </w:r>
      <w:r>
        <w:rPr>
          <w:b/>
          <w:noProof/>
          <w:sz w:val="22"/>
          <w:szCs w:val="22"/>
          <w:u w:color="000000"/>
          <w:bdr w:val="nil"/>
        </w:rPr>
        <w:t>rahoituslähteiden yksilöimiseksi</w:t>
      </w:r>
      <w:r>
        <w:rPr>
          <w:noProof/>
          <w:sz w:val="22"/>
          <w:szCs w:val="22"/>
          <w:u w:color="000000"/>
          <w:bdr w:val="nil"/>
        </w:rPr>
        <w:t>. Uusien tulolähteiden käyttöönotolla on kaksi etua. Sen avulla voitaisiin luoda tiiviimpi yhteys talousarvion ja politiikan painopisteiden, kuten ilmastopolitiikan, välille. Se auttaisi myös hillitsemään kansallisten rahoit</w:t>
      </w:r>
      <w:r>
        <w:rPr>
          <w:noProof/>
          <w:sz w:val="22"/>
          <w:szCs w:val="22"/>
          <w:u w:color="000000"/>
          <w:bdr w:val="nil"/>
        </w:rPr>
        <w:t xml:space="preserve">usosuuksien kasvua. </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Jäsenvaltiot kannattavat nyt laajasti kierrättämättömään muovipakkausjätteeseen perustuvia uusia omia varoja. Myös EU:n päästökauppajärjestelmään liittyvät uudet omat varat saavat yhä enemmän kannatusta. Komission puheenjohtajaksi vali</w:t>
      </w:r>
      <w:r>
        <w:rPr>
          <w:noProof/>
          <w:sz w:val="22"/>
          <w:szCs w:val="22"/>
          <w:u w:color="000000"/>
          <w:bdr w:val="nil"/>
        </w:rPr>
        <w:t>ttu Ursula von der Leyen on myös ilmoittanut ehdottavansa lainsäädäntöä, jonka tarkoituksena on ulottaa tämä järjestelmä koskemaan merenkulkualaa ja vähentää ilmailualalla maksutta jaettavia päästöoikeuksia ajan myötä. Myös muita mahdollisia tulolähteitä v</w:t>
      </w:r>
      <w:r>
        <w:rPr>
          <w:noProof/>
          <w:sz w:val="22"/>
          <w:szCs w:val="22"/>
          <w:u w:color="000000"/>
          <w:bdr w:val="nil"/>
        </w:rPr>
        <w:t xml:space="preserve">oitaisiin tarkastella. </w:t>
      </w:r>
    </w:p>
    <w:p w:rsidR="00A038F3" w:rsidRDefault="0062055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lastRenderedPageBreak/>
        <w:t xml:space="preserve">Sidosryhmät ovat laajalti sitä mieltä, ettei nykytilanne ole enää kestävä. Euroopan parlamentti on tehnyt selväksi, että omien varojen järjestelmän uudistaminen ja tulolähteiden monipuolistaminen ovat olennainen tekijä päätettäessä </w:t>
      </w:r>
      <w:r>
        <w:rPr>
          <w:noProof/>
          <w:sz w:val="22"/>
          <w:szCs w:val="22"/>
          <w:u w:color="000000"/>
          <w:bdr w:val="nil"/>
        </w:rPr>
        <w:t xml:space="preserve">tulevan rahoituskehyksen hyväksymisestä. </w:t>
      </w:r>
      <w:r>
        <w:rPr>
          <w:b/>
          <w:noProof/>
          <w:sz w:val="22"/>
          <w:szCs w:val="22"/>
          <w:u w:color="000000"/>
          <w:bdr w:val="nil"/>
        </w:rPr>
        <w:t>Työ olisi saatava valmiiksi nopeasti, jotta uusia omia varoja koskevia lopullisia päätöksiä voidaan valmistella osana tasapainoista sopimusta</w:t>
      </w:r>
      <w:r>
        <w:rPr>
          <w:noProof/>
          <w:sz w:val="22"/>
          <w:szCs w:val="22"/>
          <w:u w:color="000000"/>
          <w:bdr w:val="nil"/>
        </w:rPr>
        <w:t>.</w:t>
      </w:r>
    </w:p>
    <w:p w:rsidR="00A038F3" w:rsidRDefault="0062055D">
      <w:pPr>
        <w:pStyle w:val="Heading2"/>
      </w:pPr>
      <w:r>
        <w:t xml:space="preserve"> Nykyaikainen, tuloksiin suuntautunut talousarvio tulevaisuutta varten</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N</w:t>
      </w:r>
      <w:r>
        <w:rPr>
          <w:noProof/>
          <w:sz w:val="22"/>
          <w:szCs w:val="22"/>
          <w:u w:color="000000"/>
          <w:bdr w:val="nil"/>
        </w:rPr>
        <w:t>ykyaikaistamisen on oltava tulevan rahoituskehyksen keskeinen piirre. Tämä edellyttää, että menoluokkien välistä tasapainoa tarkistetaan ja ohjelmia suunnitellaan uudelleen, jotta niiden tuloksellisuus ja tuki politiikan painopisteille on mahdollisimman su</w:t>
      </w:r>
      <w:r>
        <w:rPr>
          <w:noProof/>
          <w:sz w:val="22"/>
          <w:szCs w:val="22"/>
          <w:u w:color="000000"/>
          <w:bdr w:val="nil"/>
        </w:rPr>
        <w:t>uri. Keskustelua talousarvion koosta ei voida käydä keskustelematta sen rakenteesta: rahoitus on hyödyllistä vain, jos se on kohdennettu oikein ja toteutettu tehokkaasti.</w:t>
      </w:r>
    </w:p>
    <w:p w:rsidR="00A038F3" w:rsidRDefault="0062055D">
      <w:pPr>
        <w:spacing w:before="120" w:after="120"/>
        <w:rPr>
          <w:rFonts w:eastAsia="Arial Unicode MS" w:cs="Arial Unicode MS"/>
          <w:b/>
          <w:noProof/>
          <w:color w:val="000000"/>
          <w:sz w:val="22"/>
          <w:szCs w:val="22"/>
          <w:u w:color="000000"/>
          <w:bdr w:val="nil"/>
        </w:rPr>
      </w:pPr>
      <w:r>
        <w:rPr>
          <w:noProof/>
          <w:sz w:val="22"/>
          <w:szCs w:val="22"/>
          <w:u w:color="000000"/>
          <w:bdr w:val="nil"/>
        </w:rPr>
        <w:t xml:space="preserve">Nykyaikainen talousarvio merkitsee uutta tasapainoa menoalojen välillä. </w:t>
      </w:r>
      <w:r>
        <w:rPr>
          <w:b/>
          <w:noProof/>
          <w:sz w:val="22"/>
          <w:szCs w:val="22"/>
          <w:u w:color="000000"/>
          <w:bdr w:val="nil"/>
        </w:rPr>
        <w:t>Eurooppa-neuv</w:t>
      </w:r>
      <w:r>
        <w:rPr>
          <w:b/>
          <w:noProof/>
          <w:sz w:val="22"/>
          <w:szCs w:val="22"/>
          <w:u w:color="000000"/>
          <w:bdr w:val="nil"/>
        </w:rPr>
        <w:t xml:space="preserve">oston on tämän vuoksi varmistettava, että komission ehdottama tasapaino säilyy lopullisessa sopimuksessa ja että uusien painopisteiden painoarvoa lisätään.  </w:t>
      </w:r>
    </w:p>
    <w:p w:rsidR="00A038F3" w:rsidRDefault="0062055D">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6432" behindDoc="1" locked="0" layoutInCell="1" allowOverlap="1">
                <wp:simplePos x="0" y="0"/>
                <wp:positionH relativeFrom="column">
                  <wp:posOffset>2730</wp:posOffset>
                </wp:positionH>
                <wp:positionV relativeFrom="paragraph">
                  <wp:posOffset>25482</wp:posOffset>
                </wp:positionV>
                <wp:extent cx="5717540" cy="3488212"/>
                <wp:effectExtent l="0" t="0" r="0" b="0"/>
                <wp:wrapNone/>
                <wp:docPr id="7" name="Rectangle 7"/>
                <wp:cNvGraphicFramePr/>
                <a:graphic xmlns:a="http://schemas.openxmlformats.org/drawingml/2006/main">
                  <a:graphicData uri="http://schemas.microsoft.com/office/word/2010/wordprocessingShape">
                    <wps:wsp>
                      <wps:cNvSpPr/>
                      <wps:spPr>
                        <a:xfrm>
                          <a:off x="0" y="0"/>
                          <a:ext cx="5717540" cy="3488212"/>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55DA" id="Rectangle 7" o:spid="_x0000_s1026" style="position:absolute;margin-left:.2pt;margin-top:2pt;width:450.2pt;height:27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" fillcolor="#f2f2f2" stroked="f" strokeweight="1pt">
                <v:textbox inset="1.27mm,1.27mm,1.27mm,1.27mm"/>
              </v:rect>
            </w:pict>
          </mc:Fallback>
        </mc:AlternateContent>
      </w:r>
      <w:r>
        <w:rPr>
          <w:b/>
          <w:bCs/>
          <w:noProof/>
          <w:color w:val="00A3A0"/>
          <w:sz w:val="22"/>
          <w:szCs w:val="22"/>
          <w:u w:color="000000"/>
          <w:bdr w:val="nil"/>
        </w:rPr>
        <w:t>Keskeisten toimintalohkojen kehitys EU:n talousarviossa</w:t>
      </w:r>
    </w:p>
    <w:p w:rsidR="00A038F3" w:rsidRDefault="0062055D">
      <w:pPr>
        <w:keepNext/>
        <w:pBdr>
          <w:top w:val="nil"/>
          <w:left w:val="nil"/>
          <w:bottom w:val="nil"/>
          <w:right w:val="nil"/>
          <w:between w:val="nil"/>
          <w:bar w:val="nil"/>
        </w:pBdr>
        <w:spacing w:before="120" w:after="120"/>
        <w:jc w:val="center"/>
        <w:rPr>
          <w:rFonts w:eastAsia="Calibri"/>
          <w:b/>
          <w:bCs/>
          <w:noProof/>
          <w:sz w:val="22"/>
          <w:szCs w:val="22"/>
          <w:bdr w:val="nil"/>
        </w:rPr>
      </w:pPr>
      <w:r>
        <w:rPr>
          <w:noProof/>
          <w:bdr w:val="nil"/>
          <w:lang w:val="fr-BE" w:eastAsia="fr-BE"/>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2830830</wp:posOffset>
                </wp:positionV>
                <wp:extent cx="2491740" cy="394965"/>
                <wp:effectExtent l="0" t="0" r="0" b="0"/>
                <wp:wrapNone/>
                <wp:docPr id="6" name="object 19"/>
                <wp:cNvGraphicFramePr/>
                <a:graphic xmlns:a="http://schemas.openxmlformats.org/drawingml/2006/main">
                  <a:graphicData uri="http://schemas.microsoft.com/office/word/2010/wordprocessingShape">
                    <wps:wsp>
                      <wps:cNvSpPr txBox="1"/>
                      <wps:spPr>
                        <a:xfrm>
                          <a:off x="0" y="0"/>
                          <a:ext cx="2491740" cy="394965"/>
                        </a:xfrm>
                        <a:prstGeom prst="rect">
                          <a:avLst/>
                        </a:prstGeom>
                      </wps:spPr>
                      <wps:txbx>
                        <w:txbxContent>
                          <w:p w:rsidR="00A038F3" w:rsidRDefault="0062055D">
                            <w:pPr>
                              <w:pStyle w:val="NormalWeb"/>
                              <w:spacing w:after="120"/>
                              <w:ind w:left="14"/>
                              <w:textAlignment w:val="baseline"/>
                              <w:rPr>
                                <w:color w:val="808080"/>
                                <w:sz w:val="14"/>
                                <w:szCs w:val="14"/>
                              </w:rPr>
                            </w:pPr>
                            <w:r>
                              <w:rPr>
                                <w:i/>
                                <w:color w:val="808080"/>
                                <w:sz w:val="14"/>
                                <w:szCs w:val="14"/>
                              </w:rPr>
                              <w:t>Lähde:</w:t>
                            </w:r>
                            <w:r>
                              <w:rPr>
                                <w:color w:val="808080"/>
                                <w:sz w:val="14"/>
                                <w:szCs w:val="14"/>
                              </w:rPr>
                              <w:t xml:space="preserve"> Euroopan komissio</w:t>
                            </w:r>
                          </w:p>
                          <w:p w:rsidR="00A038F3" w:rsidRDefault="0062055D">
                            <w:pPr>
                              <w:pStyle w:val="NormalWeb"/>
                              <w:ind w:left="14"/>
                              <w:jc w:val="left"/>
                              <w:textAlignment w:val="baseline"/>
                              <w:rPr>
                                <w:color w:val="808080"/>
                              </w:rPr>
                            </w:pPr>
                            <w:r>
                              <w:rPr>
                                <w:color w:val="808080"/>
                                <w:sz w:val="14"/>
                                <w:szCs w:val="14"/>
                              </w:rPr>
                              <w:t xml:space="preserve">*Mukautettu </w:t>
                            </w:r>
                            <w:r>
                              <w:rPr>
                                <w:color w:val="808080"/>
                                <w:sz w:val="14"/>
                                <w:szCs w:val="14"/>
                              </w:rPr>
                              <w:t>vuoden 1995 laajentumisen perusteella</w:t>
                            </w:r>
                          </w:p>
                        </w:txbxContent>
                      </wps:txbx>
                      <wps:bodyPr vert="horz" wrap="square" lIns="0" tIns="0" rIns="0" bIns="0" rtlCol="0">
                        <a:spAutoFit/>
                      </wps:bodyPr>
                    </wps:wsp>
                  </a:graphicData>
                </a:graphic>
                <wp14:sizeRelH relativeFrom="margin">
                  <wp14:pctWidth>0</wp14:pctWidth>
                </wp14:sizeRelH>
              </wp:anchor>
            </w:drawing>
          </mc:Choice>
          <mc:Fallback>
            <w:pict>
              <v:shape id="object 19" o:spid="_x0000_s1057" type="#_x0000_t202" style="position:absolute;left:0;text-align:left;margin-left:4.1pt;margin-top:222.9pt;width:196.2pt;height:3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" filled="f" stroked="f">
                <v:textbox style="mso-fit-shape-to-text:t" inset="0,0,0,0">
                  <w:txbxContent>
                    <w:p w:rsidR="00A038F3" w:rsidRDefault="0062055D">
                      <w:pPr>
                        <w:pStyle w:val="NormalWeb"/>
                        <w:spacing w:after="120"/>
                        <w:ind w:left="14"/>
                        <w:textAlignment w:val="baseline"/>
                        <w:rPr>
                          <w:color w:val="808080"/>
                          <w:sz w:val="14"/>
                          <w:szCs w:val="14"/>
                        </w:rPr>
                      </w:pPr>
                      <w:r>
                        <w:rPr>
                          <w:i/>
                          <w:color w:val="808080"/>
                          <w:sz w:val="14"/>
                          <w:szCs w:val="14"/>
                        </w:rPr>
                        <w:t>Lähde:</w:t>
                      </w:r>
                      <w:r>
                        <w:rPr>
                          <w:color w:val="808080"/>
                          <w:sz w:val="14"/>
                          <w:szCs w:val="14"/>
                        </w:rPr>
                        <w:t xml:space="preserve"> Euroopan komissio</w:t>
                      </w:r>
                    </w:p>
                    <w:p w:rsidR="00A038F3" w:rsidRDefault="0062055D">
                      <w:pPr>
                        <w:pStyle w:val="NormalWeb"/>
                        <w:ind w:left="14"/>
                        <w:jc w:val="left"/>
                        <w:textAlignment w:val="baseline"/>
                        <w:rPr>
                          <w:color w:val="808080"/>
                        </w:rPr>
                      </w:pPr>
                      <w:r>
                        <w:rPr>
                          <w:color w:val="808080"/>
                          <w:sz w:val="14"/>
                          <w:szCs w:val="14"/>
                        </w:rPr>
                        <w:t xml:space="preserve">*Mukautettu </w:t>
                      </w:r>
                      <w:r>
                        <w:rPr>
                          <w:color w:val="808080"/>
                          <w:sz w:val="14"/>
                          <w:szCs w:val="14"/>
                        </w:rPr>
                        <w:t>vuoden 1995 laajentumisen perusteella</w:t>
                      </w:r>
                    </w:p>
                  </w:txbxContent>
                </v:textbox>
              </v:shape>
            </w:pict>
          </mc:Fallback>
        </mc:AlternateContent>
      </w:r>
      <w:r>
        <w:rPr>
          <w:noProof/>
          <w:bdr w:val="nil"/>
          <w:lang w:val="fr-BE" w:eastAsia="fr-BE"/>
        </w:rPr>
        <w:drawing>
          <wp:inline distT="0" distB="0" distL="0" distR="0">
            <wp:extent cx="5756910" cy="294993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38F3" w:rsidRDefault="0062055D">
      <w:pPr>
        <w:spacing w:before="120" w:after="120"/>
        <w:rPr>
          <w:rFonts w:eastAsia="Arial Unicode MS" w:cs="Arial Unicode MS"/>
          <w:noProof/>
          <w:color w:val="000000"/>
          <w:sz w:val="22"/>
          <w:szCs w:val="22"/>
          <w:u w:color="000000"/>
          <w:bdr w:val="nil"/>
        </w:rPr>
      </w:pPr>
      <w:r>
        <w:rPr>
          <w:b/>
          <w:noProof/>
          <w:sz w:val="22"/>
          <w:szCs w:val="22"/>
          <w:u w:color="000000"/>
          <w:bdr w:val="nil"/>
        </w:rPr>
        <w:t>Eurooppa-neuvoston olisi myös tuettava koheesiopolitiikan ja yhteisen maatalouspolitiikan nykyaikaistamista</w:t>
      </w:r>
      <w:r>
        <w:rPr>
          <w:noProof/>
          <w:sz w:val="22"/>
          <w:szCs w:val="22"/>
          <w:u w:color="000000"/>
          <w:bdr w:val="nil"/>
        </w:rPr>
        <w:t>, sillä niillä on jatkossakin keskeinen rooli Euroopan tulevaisuuden muokkaamisessa. Komissio on ehdottanut, että näitä EU:n talousarvion keskeisiä osia nykyaikaistetaan siten, että ne kehittyvät jatkuvasti uusien painopisteiden – kuten ilmasto- ja ympäris</w:t>
      </w:r>
      <w:r>
        <w:rPr>
          <w:noProof/>
          <w:sz w:val="22"/>
          <w:szCs w:val="22"/>
          <w:u w:color="000000"/>
          <w:bdr w:val="nil"/>
        </w:rPr>
        <w:t xml:space="preserve">tötavoitteiden vahvistamisen – sekä muuttuvan taloudellisen ja sosiaalisen ympäristön mukaan. </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Seuraavassa rahoituskehyksessä on lisäksi painotettava voimakkaasti politiikan johdonmukaisuutta, rahoituksen ja poliittisten painopisteiden välisen yhteyden vah</w:t>
      </w:r>
      <w:r>
        <w:rPr>
          <w:noProof/>
          <w:sz w:val="22"/>
          <w:szCs w:val="22"/>
          <w:u w:color="000000"/>
          <w:bdr w:val="nil"/>
        </w:rPr>
        <w:t xml:space="preserve">vistamista sekä asianmukaisten olosuhteiden varmistamista, jotta ohjelmilla saadaan aikaan mahdollisimman suuri vaikutus. Sen on oltava nykyaikainen ja tuloksiin suuntautunut talousarvio. </w:t>
      </w:r>
    </w:p>
    <w:p w:rsidR="00A038F3" w:rsidRDefault="0062055D">
      <w:pPr>
        <w:spacing w:before="120" w:after="120"/>
        <w:rPr>
          <w:rFonts w:eastAsia="Arial Unicode MS" w:cs="Arial Unicode MS"/>
          <w:noProof/>
          <w:color w:val="000000"/>
          <w:sz w:val="22"/>
          <w:szCs w:val="22"/>
          <w:u w:color="000000"/>
          <w:bdr w:val="nil"/>
        </w:rPr>
      </w:pPr>
      <w:r>
        <w:rPr>
          <w:b/>
          <w:bCs/>
          <w:noProof/>
          <w:sz w:val="22"/>
          <w:szCs w:val="22"/>
          <w:u w:color="000000"/>
          <w:bdr w:val="nil"/>
        </w:rPr>
        <w:t>Eurooppa-neuvoston olisi ilmaistava vahva tuki toimenpiteille, joil</w:t>
      </w:r>
      <w:r>
        <w:rPr>
          <w:b/>
          <w:bCs/>
          <w:noProof/>
          <w:sz w:val="22"/>
          <w:szCs w:val="22"/>
          <w:u w:color="000000"/>
          <w:bdr w:val="nil"/>
        </w:rPr>
        <w:t>la edistetään talousarvion tulosten tehostamista ja lujitetaan ohjelmien ja unionin poliittisten painopisteiden välistä yhteyttä</w:t>
      </w:r>
      <w:r>
        <w:rPr>
          <w:noProof/>
          <w:sz w:val="22"/>
          <w:szCs w:val="22"/>
          <w:u w:color="000000"/>
          <w:bdr w:val="nil"/>
        </w:rPr>
        <w:t>. Tämä olisi saavutettava erityisesti seuraavin keinoin:</w:t>
      </w:r>
    </w:p>
    <w:p w:rsidR="00A038F3" w:rsidRDefault="0062055D">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noProof/>
          <w:sz w:val="22"/>
          <w:szCs w:val="22"/>
          <w:u w:color="000000"/>
          <w:bdr w:val="nil"/>
        </w:rPr>
        <w:lastRenderedPageBreak/>
        <w:t>Kunnianhimoinen lähestymistapa ilmastotoimiin</w:t>
      </w:r>
      <w:r>
        <w:rPr>
          <w:noProof/>
          <w:sz w:val="22"/>
          <w:szCs w:val="22"/>
          <w:u w:color="000000"/>
          <w:bdr w:val="nil"/>
        </w:rPr>
        <w:t>: tavoite, jonka mukaan vä</w:t>
      </w:r>
      <w:r>
        <w:rPr>
          <w:noProof/>
          <w:sz w:val="22"/>
          <w:szCs w:val="22"/>
          <w:u w:color="000000"/>
          <w:bdr w:val="nil"/>
        </w:rPr>
        <w:t>hintään 25 % menoista edistää ilmastotavoitteiden saavuttamista, on kunnianhimoinen, ja se voidaan toteuttaa uskottavasti alakohtaisten tavoitteiden kautta ja valtavirtaistamalla ilmastotoimet osaksi kaikkia asianomaisia rahoitusohjelmia. Lisäksi uskottava</w:t>
      </w:r>
      <w:r>
        <w:rPr>
          <w:noProof/>
          <w:sz w:val="22"/>
          <w:szCs w:val="22"/>
          <w:u w:color="000000"/>
          <w:bdr w:val="nil"/>
        </w:rPr>
        <w:t>t ilmastokestävyyden varmistamista koskevat säännökset ovat tärkeitä politiikan johdonmukaisuuden varmistamiseksi. EU:n rahoituksen kriittisen massan keskittäminen ilmastotoimiin ja uuden kasvihuonekaasupäästöihin liittyvän koheesiopolitiikan jakoperusteen</w:t>
      </w:r>
      <w:r>
        <w:rPr>
          <w:noProof/>
          <w:sz w:val="22"/>
          <w:szCs w:val="22"/>
          <w:u w:color="000000"/>
          <w:bdr w:val="nil"/>
        </w:rPr>
        <w:t xml:space="preserve"> käyttöönotto mahdollistavat myös sen, että EU:n talousarviolla voidaan tukea unionin poliittisia painopisteitä paremmin. Komission valittu puheenjohtaja ilmoitti oikeudenmukaisen siirtymän rahastosta, jolla parannetaan edelleen valmiuksia oikeudenmukaisee</w:t>
      </w:r>
      <w:r>
        <w:rPr>
          <w:noProof/>
          <w:sz w:val="22"/>
          <w:szCs w:val="22"/>
          <w:u w:color="000000"/>
          <w:bdr w:val="nil"/>
        </w:rPr>
        <w:t>n ja tehokkaaseen ilmastosiirtymään.</w:t>
      </w:r>
      <w:r>
        <w:rPr>
          <w:b/>
          <w:noProof/>
          <w:sz w:val="22"/>
          <w:szCs w:val="22"/>
          <w:u w:color="000000"/>
          <w:bdr w:val="nil"/>
        </w:rPr>
        <w:t xml:space="preserve"> </w:t>
      </w:r>
    </w:p>
    <w:p w:rsidR="00A038F3" w:rsidRDefault="0062055D">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noProof/>
          <w:sz w:val="22"/>
          <w:szCs w:val="22"/>
          <w:u w:color="000000"/>
          <w:bdr w:val="nil"/>
        </w:rPr>
        <w:t>Kattavat määrärahat muuttoliikkeen aiheuttamiin haasteisiin</w:t>
      </w:r>
      <w:r>
        <w:rPr>
          <w:noProof/>
          <w:sz w:val="22"/>
          <w:szCs w:val="22"/>
          <w:u w:color="000000"/>
          <w:bdr w:val="nil"/>
        </w:rPr>
        <w:t xml:space="preserve">: tämä edellyttää huomattavasti lisää resursseja sekä sisäisille että ulkoisille välineille, vahvaa tukea niille jäsenvaltioille ja alueille, joihin kohdistuu </w:t>
      </w:r>
      <w:r>
        <w:rPr>
          <w:noProof/>
          <w:sz w:val="22"/>
          <w:szCs w:val="22"/>
          <w:u w:color="000000"/>
          <w:bdr w:val="nil"/>
        </w:rPr>
        <w:t>eniten haasteita ja painetta, ja reagointikyvyn parantamista, jotta varat voidaan kohdentaa nopeasti sinne, missä niitä eniten tarvitaan.</w:t>
      </w:r>
      <w:r>
        <w:rPr>
          <w:b/>
          <w:noProof/>
          <w:sz w:val="22"/>
          <w:szCs w:val="22"/>
          <w:u w:color="000000"/>
          <w:bdr w:val="nil"/>
        </w:rPr>
        <w:t xml:space="preserve"> </w:t>
      </w:r>
    </w:p>
    <w:p w:rsidR="00A038F3" w:rsidRDefault="0062055D">
      <w:pPr>
        <w:numPr>
          <w:ilvl w:val="0"/>
          <w:numId w:val="20"/>
        </w:numPr>
        <w:pBdr>
          <w:top w:val="nil"/>
          <w:left w:val="nil"/>
          <w:bottom w:val="nil"/>
          <w:right w:val="nil"/>
          <w:between w:val="nil"/>
          <w:bar w:val="nil"/>
        </w:pBdr>
        <w:spacing w:before="120" w:after="120"/>
        <w:rPr>
          <w:rFonts w:eastAsia="Arial Unicode MS"/>
          <w:b/>
          <w:noProof/>
          <w:color w:val="000000"/>
          <w:sz w:val="22"/>
          <w:szCs w:val="22"/>
          <w:u w:color="000000"/>
          <w:bdr w:val="nil"/>
        </w:rPr>
      </w:pPr>
      <w:r>
        <w:rPr>
          <w:noProof/>
          <w:sz w:val="22"/>
          <w:szCs w:val="22"/>
          <w:u w:color="000000"/>
          <w:bdr w:val="nil"/>
        </w:rPr>
        <w:t xml:space="preserve">Talouspolitiikan eurooppalaisessa ohjausjaksossa sovittujen </w:t>
      </w:r>
      <w:r>
        <w:rPr>
          <w:b/>
          <w:noProof/>
          <w:sz w:val="22"/>
          <w:szCs w:val="22"/>
          <w:u w:color="000000"/>
          <w:bdr w:val="nil"/>
        </w:rPr>
        <w:t>keskeisten kansallisten uudistusten ja investointipriorit</w:t>
      </w:r>
      <w:r>
        <w:rPr>
          <w:b/>
          <w:noProof/>
          <w:sz w:val="22"/>
          <w:szCs w:val="22"/>
          <w:u w:color="000000"/>
          <w:bdr w:val="nil"/>
        </w:rPr>
        <w:t>eettien täysipainoinen tukeminen EU:n talousarviosta</w:t>
      </w:r>
      <w:r>
        <w:rPr>
          <w:noProof/>
          <w:sz w:val="22"/>
          <w:szCs w:val="22"/>
          <w:u w:color="000000"/>
          <w:bdr w:val="nil"/>
        </w:rPr>
        <w:t>. Myös koheesiopolitiikan rahoituksen ja talouspolitiikan eurooppalaisen ohjausjakson välinen vahva yhteys olisi säilytettävä talousarvion tehokkaan täytäntöönpanon varmistamiseksi. Uusilla välineillä, ku</w:t>
      </w:r>
      <w:r>
        <w:rPr>
          <w:noProof/>
          <w:sz w:val="22"/>
          <w:szCs w:val="22"/>
          <w:u w:color="000000"/>
          <w:bdr w:val="nil"/>
        </w:rPr>
        <w:t>ten euroalueen lähentymistä ja kilpailukykyä edistävällä talousarviovälineellä, edistetään keskeisiä rakenneuudistuksia ja investointeja.</w:t>
      </w:r>
      <w:r>
        <w:rPr>
          <w:b/>
          <w:noProof/>
          <w:sz w:val="22"/>
          <w:szCs w:val="22"/>
          <w:u w:color="000000"/>
          <w:bdr w:val="nil"/>
        </w:rPr>
        <w:t xml:space="preserve"> </w:t>
      </w:r>
    </w:p>
    <w:p w:rsidR="00A038F3" w:rsidRDefault="0062055D">
      <w:pPr>
        <w:numPr>
          <w:ilvl w:val="0"/>
          <w:numId w:val="20"/>
        </w:numPr>
        <w:pBdr>
          <w:top w:val="nil"/>
          <w:left w:val="nil"/>
          <w:bottom w:val="nil"/>
          <w:right w:val="nil"/>
          <w:between w:val="nil"/>
          <w:bar w:val="nil"/>
        </w:pBdr>
        <w:spacing w:before="120" w:after="120"/>
        <w:rPr>
          <w:rFonts w:eastAsia="Arial Unicode MS"/>
          <w:noProof/>
          <w:sz w:val="22"/>
          <w:szCs w:val="22"/>
          <w:u w:color="000000"/>
          <w:bdr w:val="nil"/>
        </w:rPr>
      </w:pPr>
      <w:r>
        <w:rPr>
          <w:b/>
          <w:noProof/>
          <w:sz w:val="22"/>
          <w:szCs w:val="22"/>
          <w:u w:color="000000"/>
          <w:bdr w:val="nil"/>
        </w:rPr>
        <w:t>Lisätuki Euroopan sosiaalisten oikeuksien pilarin toteuttamiseen</w:t>
      </w:r>
      <w:r>
        <w:rPr>
          <w:noProof/>
          <w:sz w:val="22"/>
          <w:szCs w:val="22"/>
          <w:u w:color="000000"/>
          <w:bdr w:val="nil"/>
        </w:rPr>
        <w:t xml:space="preserve"> laajentamalla Euroopan sosiaalirahasto plussaa, joss</w:t>
      </w:r>
      <w:r>
        <w:rPr>
          <w:noProof/>
          <w:sz w:val="22"/>
          <w:szCs w:val="22"/>
          <w:u w:color="000000"/>
          <w:bdr w:val="nil"/>
        </w:rPr>
        <w:t xml:space="preserve">a keskitytään ihmisiin ja sosiaaliseen yhteenkuuluvuuteen tehtäviin investointeihin. </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Lisäksi tulevaan rahoituskehykseen sisältyy keskeisesti tehokkaampi keinoja </w:t>
      </w:r>
      <w:r>
        <w:rPr>
          <w:b/>
          <w:noProof/>
          <w:sz w:val="22"/>
          <w:szCs w:val="22"/>
          <w:u w:color="000000"/>
          <w:bdr w:val="nil"/>
        </w:rPr>
        <w:t xml:space="preserve">EU:n talousarvion suojaamiseksi tapauksissa, joissa oikeusvaltioperiaatteen noudattamisessa </w:t>
      </w:r>
      <w:r>
        <w:rPr>
          <w:b/>
          <w:noProof/>
          <w:sz w:val="22"/>
          <w:szCs w:val="22"/>
          <w:u w:color="000000"/>
          <w:bdr w:val="nil"/>
        </w:rPr>
        <w:t>esiintyy yleisiä puutteita</w:t>
      </w:r>
      <w:r>
        <w:rPr>
          <w:noProof/>
          <w:sz w:val="22"/>
          <w:szCs w:val="22"/>
          <w:u w:color="000000"/>
          <w:bdr w:val="nil"/>
        </w:rPr>
        <w:t xml:space="preserve">. Kyseessä on suojamekanismi, joka kattaa kaikki menoalat ja jolla varmistetaan, että EU:n talousarvio käytetään tehokkaasti. Se ei ole tiettyihin jäsenvaltioihin kohdistettu seuraamus. </w:t>
      </w:r>
    </w:p>
    <w:p w:rsidR="00A038F3" w:rsidRDefault="0062055D">
      <w:pPr>
        <w:pStyle w:val="Heading2"/>
      </w:pPr>
      <w:r>
        <w:t xml:space="preserve">Päätelmät – reitti sopimukseen </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Neuvottelut</w:t>
      </w:r>
      <w:r>
        <w:rPr>
          <w:noProof/>
          <w:sz w:val="22"/>
          <w:szCs w:val="22"/>
          <w:u w:color="000000"/>
          <w:bdr w:val="nil"/>
        </w:rPr>
        <w:t xml:space="preserve"> tulevasta rahoituskehyksestä ovat lähellä ratkaisevaa vaihetta. Tekninen työ on edennyt komission toukokuussa 2018 esittämien ehdotusten jälkeen ennennäkemättömällä vauhdilla. Se tarjoaa vankan perustan työn loppuvaiheelle. Aikaa on kuitenkin enää hyvin v</w:t>
      </w:r>
      <w:r>
        <w:rPr>
          <w:noProof/>
          <w:sz w:val="22"/>
          <w:szCs w:val="22"/>
          <w:u w:color="000000"/>
          <w:bdr w:val="nil"/>
        </w:rPr>
        <w:t xml:space="preserve">ähän. Uusien ohjelmien on määrä käynnistyä 1. tammikuuta 2021, mutta monia toimia on vielä toteuttamatta. Jos Eurooppa-neuvostossa ei päästä sopimukseen nopeasti, keskeiset investoinnit ja hankkeet voivat viivästyä jopa enemmän kuin kuluvan rahoituskauden </w:t>
      </w:r>
      <w:r>
        <w:rPr>
          <w:noProof/>
          <w:sz w:val="22"/>
          <w:szCs w:val="22"/>
          <w:u w:color="000000"/>
          <w:bdr w:val="nil"/>
        </w:rPr>
        <w:t>alussa. Tällä voi olla todellinen vaikutus EU:n rahoituksen saajiin kaikkialla unionissa.</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Poliittinen tavoite, jonka mukaan Eurooppa-neuvostossa olisi saatava aikaan sopimus vuoden loppuun mennessä, on haastava, mutta saavutettavissa. Seuraava vaihe on, </w:t>
      </w:r>
      <w:r>
        <w:rPr>
          <w:noProof/>
          <w:sz w:val="22"/>
          <w:szCs w:val="22"/>
          <w:u w:color="000000"/>
          <w:bdr w:val="nil"/>
        </w:rPr>
        <w:t xml:space="preserve">että lokakuussa kokoontuva Eurooppa-neuvosto antaa poliittista ohjausta tässä tiedonannossa esitetyissä avainkysymyksissä. Nämä kysymykset liittyvät tiiviisti toisiinsa. Tärkeintä on saada aikaan oikeudenmukainen ja tasapainoinen paketti, jossa yhdistyvät </w:t>
      </w:r>
      <w:r>
        <w:rPr>
          <w:noProof/>
          <w:sz w:val="22"/>
          <w:szCs w:val="22"/>
          <w:u w:color="000000"/>
          <w:bdr w:val="nil"/>
        </w:rPr>
        <w:t>seuraavat:</w:t>
      </w:r>
    </w:p>
    <w:p w:rsidR="00A038F3" w:rsidRDefault="0062055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rahoituksen kokonaistaso, joka on suhteessa unionin yhteisiin painopisteisiin;</w:t>
      </w:r>
    </w:p>
    <w:p w:rsidR="00A038F3" w:rsidRDefault="0062055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nykyaikainen talousarvio, jossa eri politiikat ovat sopivassa tasapainossa ja EU:n lisäarvoa painotetaan voimakkaasti;</w:t>
      </w:r>
    </w:p>
    <w:p w:rsidR="00A038F3" w:rsidRDefault="0062055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aiempaa läpinäkyvämpi lähestymistapa EU:n talou</w:t>
      </w:r>
      <w:r>
        <w:rPr>
          <w:noProof/>
          <w:sz w:val="22"/>
          <w:szCs w:val="22"/>
          <w:u w:color="000000"/>
          <w:bdr w:val="nil"/>
        </w:rPr>
        <w:t>sarvion rahoittamiseen ja uusien tulolähteiden käyttöönotto, jotta voidaan tukea painopisteitä ja vähentää kansallisiin maksuosuuksiin kohdistuvaa painetta, ja</w:t>
      </w:r>
    </w:p>
    <w:p w:rsidR="00A038F3" w:rsidRDefault="0062055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toimintapolitiikkojen johdonmukaisuuden parantaminen vahvistamalla rahoituksen ja poliittisten p</w:t>
      </w:r>
      <w:r>
        <w:rPr>
          <w:noProof/>
          <w:sz w:val="22"/>
          <w:szCs w:val="22"/>
          <w:u w:color="000000"/>
          <w:bdr w:val="nil"/>
        </w:rPr>
        <w:t>ainopisteiden välistä yhteyttä ja lujittamalla talousarvion suojaamiseen käytettäviä keinoja.</w:t>
      </w:r>
    </w:p>
    <w:p w:rsidR="00A038F3" w:rsidRDefault="0062055D">
      <w:pPr>
        <w:spacing w:before="120" w:after="120"/>
        <w:rPr>
          <w:rFonts w:eastAsia="Arial Unicode MS" w:cs="Arial Unicode MS"/>
          <w:noProof/>
          <w:color w:val="000000"/>
          <w:sz w:val="22"/>
          <w:szCs w:val="22"/>
          <w:u w:color="000000"/>
          <w:bdr w:val="nil"/>
        </w:rPr>
      </w:pPr>
      <w:r>
        <w:rPr>
          <w:b/>
          <w:noProof/>
          <w:sz w:val="22"/>
          <w:szCs w:val="22"/>
          <w:u w:color="000000"/>
          <w:bdr w:val="nil"/>
        </w:rPr>
        <w:t>Komissio kehottaa Eurooppa-neuvostoa esittämään näitä seikkoja koskevat selkeät suuntaviivat ja ottamaan kaikilta osin huomioon Euroopan parlamentin näkemykset.</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L</w:t>
      </w:r>
      <w:r>
        <w:rPr>
          <w:noProof/>
          <w:sz w:val="22"/>
          <w:szCs w:val="22"/>
          <w:u w:color="000000"/>
          <w:bdr w:val="nil"/>
        </w:rPr>
        <w:t>isäksi Euroopan parlamentin ja neuvoston olisi jatkettava alakohtaisiin rahoitusohjelmiin liittyvää työtä mahdollisimman pian jo saavutetun huomattavan edistyksen pohjalta.</w:t>
      </w:r>
    </w:p>
    <w:p w:rsidR="00A038F3" w:rsidRDefault="0062055D">
      <w:pPr>
        <w:spacing w:before="120" w:after="120"/>
        <w:rPr>
          <w:rFonts w:eastAsia="Arial Unicode MS" w:cs="Arial Unicode MS"/>
          <w:noProof/>
          <w:color w:val="000000"/>
          <w:sz w:val="22"/>
          <w:szCs w:val="22"/>
          <w:u w:color="000000"/>
          <w:bdr w:val="nil"/>
        </w:rPr>
      </w:pPr>
      <w:r>
        <w:rPr>
          <w:noProof/>
          <w:sz w:val="22"/>
          <w:szCs w:val="22"/>
          <w:u w:color="000000"/>
          <w:bdr w:val="nil"/>
        </w:rPr>
        <w:t>Komissio on edelleen täysin sitoutunut tekemään tiivistä yhteistyötä Euroopan parla</w:t>
      </w:r>
      <w:r>
        <w:rPr>
          <w:noProof/>
          <w:sz w:val="22"/>
          <w:szCs w:val="22"/>
          <w:u w:color="000000"/>
          <w:bdr w:val="nil"/>
        </w:rPr>
        <w:t xml:space="preserve">mentin, Eurooppa-neuvoston ja neuvoston kanssa, jotta nämä tärkeät neuvottelut saadaan nopeasti ja onnistuneesti päätökseen. </w:t>
      </w:r>
    </w:p>
    <w:sectPr w:rsidR="00A038F3">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F3" w:rsidRDefault="0062055D">
      <w:pPr>
        <w:spacing w:after="0"/>
      </w:pPr>
      <w:r>
        <w:separator/>
      </w:r>
    </w:p>
  </w:endnote>
  <w:endnote w:type="continuationSeparator" w:id="0">
    <w:p w:rsidR="00A038F3" w:rsidRDefault="00620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5D" w:rsidRPr="0062055D" w:rsidRDefault="0062055D" w:rsidP="0062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5D" w:rsidRPr="0062055D" w:rsidRDefault="0062055D" w:rsidP="0062055D">
    <w:pPr>
      <w:pStyle w:val="FooterCoverPage"/>
      <w:rPr>
        <w:rFonts w:ascii="Arial" w:hAnsi="Arial" w:cs="Arial"/>
        <w:b/>
        <w:sz w:val="48"/>
      </w:rPr>
    </w:pPr>
    <w:r w:rsidRPr="0062055D">
      <w:rPr>
        <w:rFonts w:ascii="Arial" w:hAnsi="Arial" w:cs="Arial"/>
        <w:b/>
        <w:sz w:val="48"/>
      </w:rPr>
      <w:t>FI</w:t>
    </w:r>
    <w:r w:rsidRPr="0062055D">
      <w:rPr>
        <w:rFonts w:ascii="Arial" w:hAnsi="Arial" w:cs="Arial"/>
        <w:b/>
        <w:sz w:val="48"/>
      </w:rPr>
      <w:tab/>
    </w:r>
    <w:r w:rsidRPr="0062055D">
      <w:rPr>
        <w:rFonts w:ascii="Arial" w:hAnsi="Arial" w:cs="Arial"/>
        <w:b/>
        <w:sz w:val="48"/>
      </w:rPr>
      <w:tab/>
    </w:r>
    <w:r w:rsidRPr="0062055D">
      <w:tab/>
    </w:r>
    <w:r w:rsidRPr="0062055D">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5D" w:rsidRPr="0062055D" w:rsidRDefault="0062055D" w:rsidP="0062055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F3" w:rsidRDefault="0062055D">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F3" w:rsidRDefault="0062055D">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F3" w:rsidRDefault="00A03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F3" w:rsidRDefault="0062055D">
      <w:pPr>
        <w:spacing w:after="0"/>
      </w:pPr>
      <w:r>
        <w:separator/>
      </w:r>
    </w:p>
  </w:footnote>
  <w:footnote w:type="continuationSeparator" w:id="0">
    <w:p w:rsidR="00A038F3" w:rsidRDefault="00620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5D" w:rsidRPr="0062055D" w:rsidRDefault="0062055D" w:rsidP="0062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5D" w:rsidRPr="0062055D" w:rsidRDefault="0062055D" w:rsidP="0062055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5D" w:rsidRPr="0062055D" w:rsidRDefault="0062055D" w:rsidP="0062055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F3" w:rsidRDefault="00A038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F3" w:rsidRDefault="00A038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F3" w:rsidRDefault="00A0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6A12A82"/>
    <w:multiLevelType w:val="hybridMultilevel"/>
    <w:tmpl w:val="9CBC4A8C"/>
    <w:lvl w:ilvl="0" w:tplc="6BBEB886">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6"/>
  </w:num>
  <w:num w:numId="6">
    <w:abstractNumId w:val="18"/>
  </w:num>
  <w:num w:numId="7">
    <w:abstractNumId w:val="1"/>
  </w:num>
  <w:num w:numId="8">
    <w:abstractNumId w:val="6"/>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9"/>
  </w:num>
  <w:num w:numId="17">
    <w:abstractNumId w:val="9"/>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3689DE-8292-4BA4-8168-ABCC10C1C9CA"/>
    <w:docVar w:name="LW_COVERPAGE_TYPE" w:val="1"/>
    <w:docVar w:name="LW_CROSSREFERENCE" w:val="&lt;UNUSED&gt;"/>
    <w:docVar w:name="LW_DocType" w:val="5856595BEDB84307A248F84790E949E3"/>
    <w:docVar w:name="LW_EMISSION" w:val="9.10.2019"/>
    <w:docVar w:name="LW_EMISSION_ISODATE" w:val="2019-10-09"/>
    <w:docVar w:name="LW_EMISSION_LOCATION" w:val="BRX"/>
    <w:docVar w:name="LW_EMISSION_PREFIX" w:val="Bryssel "/>
    <w:docVar w:name="LW_EMISSION_SUFFIX" w:val=" "/>
    <w:docVar w:name="LW_ID_DOCTYPE_NONLW" w:val="CP-009"/>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Unionin rahoituskehys vuosiksi 2021-2027: päätösten aika_x000d__x000d__x000d__x000d__x000d__x000d__x000b__x000d__x000d__x000d__x000d__x000d__x000d__x000b__x000d__x000d__x000d__x000d__x000d__x000d__x000b_&lt;FMT:Italic&gt;Euroopan komission panos Eurooppa-neuvoston kokoukseen_x000d__x000d__x000d__x000d__x000d__x000d__x000b_17. ja 18. lokakuuta 2019&lt;/FMT&gt;"/>
    <w:docVar w:name="LW_TYPE.DOC.CP" w:val="KOMISSION TIEDONANTO"/>
    <w:docVar w:name="LW_TYPE.DOC.CP.USERTEXT" w:val="EUROOPAN PARLAMENTILLE, EUROOPPA-NEUVOSTOLLE JA NEUVOSTOLLE"/>
  </w:docVars>
  <w:rsids>
    <w:rsidRoot w:val="00A038F3"/>
    <w:rsid w:val="0062055D"/>
    <w:rsid w:val="00A0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B5B80C-004D-4B8C-9C56-ABCAF25E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i-FI"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00A3A0"/>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ind w:left="357" w:hanging="357"/>
      <w:jc w:val="left"/>
      <w:outlineLvl w:val="1"/>
    </w:pPr>
    <w:rPr>
      <w:rFonts w:eastAsia="Arial Unicode MS" w:cs="Arial Unicode MS"/>
      <w:b/>
      <w:bCs/>
      <w:noProof/>
      <w:color w:val="00A3A0"/>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basedOn w:val="DefaultParagraphFont"/>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SPOSMN\AppData\Local\Microsoft\Windows\INetCache\Content.Outlook\NAPOMI70\CHart%20for%20the%20COmmunication%20(0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t1.cec.eu.int\BUDG\B\B01\B1-RESTRICTED\Modelling%20post%202020\Model\Model%20of%20proposal\Proposal_outpu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22222222222224E-2"/>
          <c:y val="7.4752435606566123E-2"/>
          <c:w val="0.88255555555555554"/>
          <c:h val="0.71459762444948616"/>
        </c:manualLayout>
      </c:layout>
      <c:barChart>
        <c:barDir val="col"/>
        <c:grouping val="clustered"/>
        <c:varyColors val="0"/>
        <c:ser>
          <c:idx val="0"/>
          <c:order val="0"/>
          <c:tx>
            <c:v>Member States benefitting from corrections</c:v>
          </c:tx>
          <c:spPr>
            <a:solidFill>
              <a:srgbClr val="00A3A0"/>
            </a:solidFill>
          </c:spPr>
          <c:invertIfNegative val="0"/>
          <c:dLbls>
            <c:dLbl>
              <c:idx val="1"/>
              <c:layout/>
              <c:tx>
                <c:rich>
                  <a:bodyPr/>
                  <a:lstStyle/>
                  <a:p>
                    <a:r>
                      <a:rPr lang="en-US"/>
                      <a:t>0.70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D19-4E3E-A1CC-EA54B92704CB}"/>
                </c:ext>
              </c:extLst>
            </c:dLbl>
            <c:dLbl>
              <c:idx val="3"/>
              <c:layout/>
              <c:tx>
                <c:rich>
                  <a:bodyPr/>
                  <a:lstStyle/>
                  <a:p>
                    <a:r>
                      <a:rPr lang="en-US"/>
                      <a:t>0.91</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0.70176615714983015</c:v>
              </c:pt>
              <c:pt idx="3">
                <c:v>0.90731156543552838</c:v>
              </c:pt>
            </c:numLit>
          </c:val>
          <c:extLst>
            <c:ext xmlns:c16="http://schemas.microsoft.com/office/drawing/2014/chart" uri="{C3380CC4-5D6E-409C-BE32-E72D297353CC}">
              <c16:uniqueId val="{00000002-DD19-4E3E-A1CC-EA54B92704CB}"/>
            </c:ext>
          </c:extLst>
        </c:ser>
        <c:ser>
          <c:idx val="1"/>
          <c:order val="1"/>
          <c:tx>
            <c:v>Member States below average EU GNI/capita</c:v>
          </c:tx>
          <c:spPr>
            <a:solidFill>
              <a:srgbClr val="134390"/>
            </a:solidFill>
          </c:spPr>
          <c:invertIfNegative val="0"/>
          <c:dLbls>
            <c:dLbl>
              <c:idx val="1"/>
              <c:layout/>
              <c:tx>
                <c:rich>
                  <a:bodyPr/>
                  <a:lstStyle/>
                  <a:p>
                    <a:r>
                      <a:rPr lang="en-US"/>
                      <a:t>0.85</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D19-4E3E-A1CC-EA54B92704CB}"/>
                </c:ext>
              </c:extLst>
            </c:dLbl>
            <c:dLbl>
              <c:idx val="3"/>
              <c:layout/>
              <c:tx>
                <c:rich>
                  <a:bodyPr/>
                  <a:lstStyle/>
                  <a:p>
                    <a:r>
                      <a:rPr lang="en-US"/>
                      <a:t>0.90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0.8462892413161317</c:v>
              </c:pt>
              <c:pt idx="3">
                <c:v>0.90342980924154515</c:v>
              </c:pt>
            </c:numLit>
          </c:val>
          <c:extLst>
            <c:ext xmlns:c16="http://schemas.microsoft.com/office/drawing/2014/chart" uri="{C3380CC4-5D6E-409C-BE32-E72D297353CC}">
              <c16:uniqueId val="{00000005-DD19-4E3E-A1CC-EA54B92704CB}"/>
            </c:ext>
          </c:extLst>
        </c:ser>
        <c:dLbls>
          <c:showLegendKey val="0"/>
          <c:showVal val="0"/>
          <c:showCatName val="0"/>
          <c:showSerName val="0"/>
          <c:showPercent val="0"/>
          <c:showBubbleSize val="0"/>
        </c:dLbls>
        <c:gapWidth val="17"/>
        <c:overlap val="-21"/>
        <c:axId val="91278336"/>
        <c:axId val="91288320"/>
      </c:barChart>
      <c:lineChart>
        <c:grouping val="standard"/>
        <c:varyColors val="0"/>
        <c:ser>
          <c:idx val="2"/>
          <c:order val="2"/>
          <c:tx>
            <c:v>2020 average EU28: 0,81</c:v>
          </c:tx>
          <c:spPr>
            <a:ln>
              <a:solidFill>
                <a:srgbClr val="C1D341"/>
              </a:solidFill>
              <a:prstDash val="sysDash"/>
            </a:ln>
          </c:spPr>
          <c:marker>
            <c:symbol val="none"/>
          </c:marker>
          <c:val>
            <c:numLit>
              <c:formatCode>_(* #,##0.00_);_(* \(#,##0.00\);_(* "-"??_);_(@_)</c:formatCode>
              <c:ptCount val="5"/>
              <c:pt idx="0">
                <c:v>0.81349251913648324</c:v>
              </c:pt>
              <c:pt idx="1">
                <c:v>0.81349251913648324</c:v>
              </c:pt>
              <c:pt idx="2">
                <c:v>0.81349251913648324</c:v>
              </c:pt>
            </c:numLit>
          </c:val>
          <c:smooth val="0"/>
          <c:extLst>
            <c:ext xmlns:c16="http://schemas.microsoft.com/office/drawing/2014/chart" uri="{C3380CC4-5D6E-409C-BE32-E72D297353CC}">
              <c16:uniqueId val="{00000006-DD19-4E3E-A1CC-EA54B92704CB}"/>
            </c:ext>
          </c:extLst>
        </c:ser>
        <c:ser>
          <c:idx val="3"/>
          <c:order val="3"/>
          <c:tx>
            <c:v>2027 average EU27: 0,91</c:v>
          </c:tx>
          <c:spPr>
            <a:ln>
              <a:solidFill>
                <a:srgbClr val="C1D341"/>
              </a:solidFill>
              <a:prstDash val="sysDash"/>
            </a:ln>
          </c:spPr>
          <c:marker>
            <c:symbol val="none"/>
          </c:marker>
          <c:val>
            <c:numLit>
              <c:formatCode>General</c:formatCode>
              <c:ptCount val="5"/>
              <c:pt idx="2" formatCode="_(* #,##0.00_);_(* \(#,##0.00\);_(* &quot;-&quot;??_);_(@_)">
                <c:v>0.91151599880231593</c:v>
              </c:pt>
              <c:pt idx="3" formatCode="_(* #,##0.00_);_(* \(#,##0.00\);_(* &quot;-&quot;??_);_(@_)">
                <c:v>0.91151599880231593</c:v>
              </c:pt>
              <c:pt idx="4" formatCode="_(* #,##0.00_);_(* \(#,##0.00\);_(* &quot;-&quot;??_);_(@_)">
                <c:v>0.91151599880231593</c:v>
              </c:pt>
            </c:numLit>
          </c:val>
          <c:smooth val="0"/>
          <c:extLst>
            <c:ext xmlns:c16="http://schemas.microsoft.com/office/drawing/2014/chart" uri="{C3380CC4-5D6E-409C-BE32-E72D297353CC}">
              <c16:uniqueId val="{00000007-DD19-4E3E-A1CC-EA54B92704CB}"/>
            </c:ext>
          </c:extLst>
        </c:ser>
        <c:dLbls>
          <c:showLegendKey val="0"/>
          <c:showVal val="0"/>
          <c:showCatName val="0"/>
          <c:showSerName val="0"/>
          <c:showPercent val="0"/>
          <c:showBubbleSize val="0"/>
        </c:dLbls>
        <c:marker val="1"/>
        <c:smooth val="0"/>
        <c:axId val="91278336"/>
        <c:axId val="91288320"/>
      </c:lineChart>
      <c:catAx>
        <c:axId val="91278336"/>
        <c:scaling>
          <c:orientation val="minMax"/>
        </c:scaling>
        <c:delete val="0"/>
        <c:axPos val="b"/>
        <c:numFmt formatCode="General" sourceLinked="1"/>
        <c:majorTickMark val="out"/>
        <c:minorTickMark val="cross"/>
        <c:tickLblPos val="low"/>
        <c:spPr>
          <a:ln cap="rnd">
            <a:solidFill>
              <a:schemeClr val="bg1">
                <a:lumMod val="50000"/>
              </a:schemeClr>
            </a:solidFill>
          </a:ln>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fr-FR"/>
          </a:p>
        </c:txPr>
        <c:crossAx val="91288320"/>
        <c:crosses val="autoZero"/>
        <c:auto val="1"/>
        <c:lblAlgn val="ctr"/>
        <c:lblOffset val="100"/>
        <c:tickLblSkip val="1"/>
        <c:noMultiLvlLbl val="0"/>
      </c:catAx>
      <c:valAx>
        <c:axId val="91288320"/>
        <c:scaling>
          <c:orientation val="minMax"/>
        </c:scaling>
        <c:delete val="1"/>
        <c:axPos val="l"/>
        <c:numFmt formatCode="_(* #,##0.00_);_(* \(#,##0.00\);_(* &quot;-&quot;??_);_(@_)" sourceLinked="1"/>
        <c:majorTickMark val="out"/>
        <c:minorTickMark val="none"/>
        <c:tickLblPos val="nextTo"/>
        <c:crossAx val="91278336"/>
        <c:crosses val="autoZero"/>
        <c:crossBetween val="midCat"/>
      </c:valAx>
      <c:spPr>
        <a:noFill/>
        <a:ln w="25400">
          <a:noFill/>
        </a:ln>
      </c:spPr>
    </c:plotArea>
    <c:legend>
      <c:legendPos val="b"/>
      <c:legendEntry>
        <c:idx val="0"/>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2"/>
        <c:delete val="1"/>
      </c:legendEntry>
      <c:legendEntry>
        <c:idx val="3"/>
        <c:delete val="1"/>
      </c:legendEntry>
      <c:layout>
        <c:manualLayout>
          <c:xMode val="edge"/>
          <c:yMode val="edge"/>
          <c:x val="1.1332239720035E-2"/>
          <c:y val="0.86692050680294486"/>
          <c:w val="0.98866776027996506"/>
          <c:h val="0.110795370634381"/>
        </c:manualLayout>
      </c:layout>
      <c:overlay val="0"/>
      <c:txPr>
        <a:bodyPr/>
        <a:lstStyle/>
        <a:p>
          <a:pPr>
            <a:defRPr>
              <a:solidFill>
                <a:schemeClr val="accent5">
                  <a:lumMod val="50000"/>
                </a:schemeClr>
              </a:solidFill>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55797321794348E-2"/>
          <c:y val="9.7567583983756409E-2"/>
          <c:w val="0.88655896100636822"/>
          <c:h val="0.75718243644957528"/>
        </c:manualLayout>
      </c:layout>
      <c:lineChart>
        <c:grouping val="standard"/>
        <c:varyColors val="0"/>
        <c:ser>
          <c:idx val="0"/>
          <c:order val="0"/>
          <c:tx>
            <c:strRef>
              <c:f>Charts_prop!$A$32</c:f>
              <c:strCache>
                <c:ptCount val="1"/>
                <c:pt idx="0">
                  <c:v>Common Agriclutural Policy and Fisheries</c:v>
                </c:pt>
              </c:strCache>
            </c:strRef>
          </c:tx>
          <c:spPr>
            <a:ln w="28575" cap="rnd">
              <a:solidFill>
                <a:srgbClr val="C1D341"/>
              </a:solidFill>
              <a:prstDash val="sysDot"/>
              <a:round/>
            </a:ln>
            <a:effectLst/>
          </c:spPr>
          <c:marker>
            <c:symbol val="circle"/>
            <c:size val="5"/>
            <c:spPr>
              <a:solidFill>
                <a:srgbClr val="C1D341"/>
              </a:solidFill>
              <a:ln w="9525">
                <a:solidFill>
                  <a:srgbClr val="C1D34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1-C09B-4686-8E20-CDAB33E630C4}"/>
                </c:ext>
              </c:extLst>
            </c:dLbl>
            <c:dLbl>
              <c:idx val="2"/>
              <c:layout>
                <c:manualLayout>
                  <c:x val="-0.16225509865535503"/>
                  <c:y val="-8.5079375842282381E-2"/>
                </c:manualLayout>
              </c:layout>
              <c:tx>
                <c:rich>
                  <a:bodyPr rot="0" spcFirstLastPara="1" vertOverflow="ellipsis" vert="horz" wrap="square" anchor="ctr" anchorCtr="0"/>
                  <a:lstStyle/>
                  <a:p>
                    <a:pPr algn="l">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r>
                      <a:rPr lang="en-US" b="0">
                        <a:solidFill>
                          <a:srgbClr val="C1D341"/>
                        </a:solidFill>
                      </a:rPr>
                      <a:t>Yhteinen</a:t>
                    </a:r>
                    <a:r>
                      <a:rPr lang="en-US" b="0" baseline="0">
                        <a:solidFill>
                          <a:srgbClr val="C1D341"/>
                        </a:solidFill>
                      </a:rPr>
                      <a:t> maatalouspolitiikka ja kalastus</a:t>
                    </a:r>
                    <a:endParaRPr lang="en-US" b="0">
                      <a:solidFill>
                        <a:srgbClr val="C1D341"/>
                      </a:solidFill>
                    </a:endParaRP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6598279285241562"/>
                      <c:h val="0.1020021528525296"/>
                    </c:manualLayout>
                  </c15:layout>
                </c:ext>
                <c:ext xmlns:c16="http://schemas.microsoft.com/office/drawing/2014/chart" uri="{C3380CC4-5D6E-409C-BE32-E72D297353CC}">
                  <c16:uniqueId val="{00000002-C09B-4686-8E20-CDAB33E630C4}"/>
                </c:ext>
              </c:extLst>
            </c:dLbl>
            <c:dLbl>
              <c:idx val="3"/>
              <c:delete val="1"/>
              <c:extLst>
                <c:ext xmlns:c15="http://schemas.microsoft.com/office/drawing/2012/chart" uri="{CE6537A1-D6FC-4f65-9D91-7224C49458BB}"/>
                <c:ext xmlns:c16="http://schemas.microsoft.com/office/drawing/2014/chart" uri="{C3380CC4-5D6E-409C-BE32-E72D297353CC}">
                  <c16:uniqueId val="{00000003-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4-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Charts_prop!$B$32:$H$32</c:f>
              <c:numCache>
                <c:formatCode>0%</c:formatCode>
                <c:ptCount val="7"/>
                <c:pt idx="0">
                  <c:v>0.58076624713997127</c:v>
                </c:pt>
                <c:pt idx="1">
                  <c:v>0.47055617043296982</c:v>
                </c:pt>
                <c:pt idx="2">
                  <c:v>0.4500975267048094</c:v>
                </c:pt>
                <c:pt idx="3">
                  <c:v>0.46162690878926743</c:v>
                </c:pt>
                <c:pt idx="4">
                  <c:v>0.41072092093916729</c:v>
                </c:pt>
                <c:pt idx="5">
                  <c:v>0.37252226596254806</c:v>
                </c:pt>
                <c:pt idx="6" formatCode="0.0%">
                  <c:v>0.29096550578121444</c:v>
                </c:pt>
              </c:numCache>
            </c:numRef>
          </c:val>
          <c:smooth val="0"/>
          <c:extLst>
            <c:ext xmlns:c16="http://schemas.microsoft.com/office/drawing/2014/chart" uri="{C3380CC4-5D6E-409C-BE32-E72D297353CC}">
              <c16:uniqueId val="{00000007-C09B-4686-8E20-CDAB33E630C4}"/>
            </c:ext>
          </c:extLst>
        </c:ser>
        <c:ser>
          <c:idx val="1"/>
          <c:order val="1"/>
          <c:tx>
            <c:strRef>
              <c:f>Charts_prop!$A$33</c:f>
              <c:strCache>
                <c:ptCount val="1"/>
                <c:pt idx="0">
                  <c:v>Economic, Social and Territorial Cohesion</c:v>
                </c:pt>
              </c:strCache>
            </c:strRef>
          </c:tx>
          <c:spPr>
            <a:ln w="28575" cap="rnd">
              <a:solidFill>
                <a:srgbClr val="24AA63"/>
              </a:solidFill>
              <a:prstDash val="sysDot"/>
              <a:round/>
            </a:ln>
            <a:effectLst/>
          </c:spPr>
          <c:marker>
            <c:symbol val="circle"/>
            <c:size val="5"/>
            <c:spPr>
              <a:solidFill>
                <a:srgbClr val="24AA63"/>
              </a:solidFill>
              <a:ln w="9525">
                <a:solidFill>
                  <a:srgbClr val="24AA6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0A-C09B-4686-8E20-CDAB33E630C4}"/>
                </c:ext>
              </c:extLst>
            </c:dLbl>
            <c:dLbl>
              <c:idx val="3"/>
              <c:layout>
                <c:manualLayout>
                  <c:x val="-0.31236270846686853"/>
                  <c:y val="-6.870244018206012E-2"/>
                </c:manualLayout>
              </c:layout>
              <c:tx>
                <c:rich>
                  <a:bodyPr rot="0" spcFirstLastPara="1" vertOverflow="ellipsis" vert="horz" wrap="square" anchor="ctr" anchorCtr="0"/>
                  <a:lstStyle/>
                  <a:p>
                    <a:pPr algn="l">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r>
                      <a:rPr lang="en-US" sz="900" b="0" i="0" u="none" strike="noStrike" baseline="0"/>
                      <a:t>Taloudellinen, sosiaalinen ja alueellinen yhteenkuuluvuus</a:t>
                    </a:r>
                    <a:endParaRPr lang="en-US" b="0">
                      <a:solidFill>
                        <a:srgbClr val="24AA63"/>
                      </a:solidFill>
                    </a:endParaRP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1302660628705329"/>
                      <c:h val="0.1020021528525296"/>
                    </c:manualLayout>
                  </c15:layout>
                </c:ext>
                <c:ext xmlns:c16="http://schemas.microsoft.com/office/drawing/2014/chart" uri="{C3380CC4-5D6E-409C-BE32-E72D297353CC}">
                  <c16:uniqueId val="{0000000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Charts_prop!$B$33:$H$33</c:f>
              <c:numCache>
                <c:formatCode>0%</c:formatCode>
                <c:ptCount val="7"/>
                <c:pt idx="0">
                  <c:v>0.21703177477509197</c:v>
                </c:pt>
                <c:pt idx="1">
                  <c:v>0.32484802501579135</c:v>
                </c:pt>
                <c:pt idx="2">
                  <c:v>0.33115086000821514</c:v>
                </c:pt>
                <c:pt idx="3">
                  <c:v>0.32301787199852144</c:v>
                </c:pt>
                <c:pt idx="4">
                  <c:v>0.34940343068668822</c:v>
                </c:pt>
                <c:pt idx="5">
                  <c:v>0.33300310918734372</c:v>
                </c:pt>
                <c:pt idx="6" formatCode="0.0%">
                  <c:v>0.29154127912183131</c:v>
                </c:pt>
              </c:numCache>
            </c:numRef>
          </c:val>
          <c:smooth val="0"/>
          <c:extLst>
            <c:ext xmlns:c16="http://schemas.microsoft.com/office/drawing/2014/chart" uri="{C3380CC4-5D6E-409C-BE32-E72D297353CC}">
              <c16:uniqueId val="{0000000F-C09B-4686-8E20-CDAB33E630C4}"/>
            </c:ext>
          </c:extLst>
        </c:ser>
        <c:ser>
          <c:idx val="2"/>
          <c:order val="2"/>
          <c:tx>
            <c:strRef>
              <c:f>Charts_prop!$A$34</c:f>
              <c:strCache>
                <c:ptCount val="1"/>
                <c:pt idx="0">
                  <c:v>Modernisation</c:v>
                </c:pt>
              </c:strCache>
            </c:strRef>
          </c:tx>
          <c:spPr>
            <a:ln w="28575" cap="rnd">
              <a:solidFill>
                <a:srgbClr val="00A3A0"/>
              </a:solidFill>
              <a:prstDash val="sysDot"/>
              <a:round/>
            </a:ln>
            <a:effectLst/>
          </c:spPr>
          <c:marker>
            <c:symbol val="circle"/>
            <c:size val="5"/>
            <c:spPr>
              <a:solidFill>
                <a:srgbClr val="00A3A0"/>
              </a:solidFill>
              <a:ln w="9525">
                <a:solidFill>
                  <a:srgbClr val="00A3A0"/>
                </a:solidFill>
              </a:ln>
              <a:effectLst/>
            </c:spPr>
          </c:marker>
          <c:dLbls>
            <c:dLbl>
              <c:idx val="0"/>
              <c:layout>
                <c:manualLayout>
                  <c:x val="0.12762019903038258"/>
                  <c:y val="-0.13481264249934313"/>
                </c:manualLayout>
              </c:layout>
              <c:tx>
                <c:rich>
                  <a:bodyPr rot="0" spcFirstLastPara="1" vertOverflow="ellipsis" vert="horz" wrap="square" anchor="ctr" anchorCtr="0"/>
                  <a:lstStyle/>
                  <a:p>
                    <a:pPr algn="l">
                      <a:defRPr sz="900" b="0" i="0" u="none" strike="noStrike" kern="1200" baseline="0">
                        <a:solidFill>
                          <a:srgbClr val="00A3A0"/>
                        </a:solidFill>
                        <a:latin typeface="Times New Roman" panose="02020603050405020304" pitchFamily="18" charset="0"/>
                        <a:ea typeface="+mn-ea"/>
                        <a:cs typeface="Times New Roman" panose="02020603050405020304" pitchFamily="18" charset="0"/>
                      </a:defRPr>
                    </a:pPr>
                    <a:r>
                      <a:rPr lang="en-US" b="0">
                        <a:solidFill>
                          <a:srgbClr val="00A3A0"/>
                        </a:solidFill>
                      </a:rPr>
                      <a:t>Uudet,</a:t>
                    </a:r>
                    <a:r>
                      <a:rPr lang="en-US" b="0" baseline="0">
                        <a:solidFill>
                          <a:srgbClr val="00A3A0"/>
                        </a:solidFill>
                      </a:rPr>
                      <a:t> vahvi</a:t>
                    </a:r>
                    <a:r>
                      <a:rPr lang="en-US" b="0">
                        <a:solidFill>
                          <a:srgbClr val="00A3A0"/>
                        </a:solidFill>
                      </a:rPr>
                      <a:t>stetut painopisteet</a:t>
                    </a: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3119347010809617"/>
                      <c:h val="0.13793343108752956"/>
                    </c:manualLayout>
                  </c15:layout>
                </c:ext>
                <c:ext xmlns:c16="http://schemas.microsoft.com/office/drawing/2014/chart" uri="{C3380CC4-5D6E-409C-BE32-E72D297353CC}">
                  <c16:uniqueId val="{00000010-C09B-4686-8E20-CDAB33E630C4}"/>
                </c:ext>
              </c:extLst>
            </c:dLbl>
            <c:dLbl>
              <c:idx val="1"/>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09B-4686-8E20-CDAB33E630C4}"/>
                </c:ext>
              </c:extLst>
            </c:dLbl>
            <c:dLbl>
              <c:idx val="2"/>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09B-4686-8E20-CDAB33E630C4}"/>
                </c:ext>
              </c:extLst>
            </c:dLbl>
            <c:dLbl>
              <c:idx val="3"/>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09B-4686-8E20-CDAB33E630C4}"/>
                </c:ext>
              </c:extLst>
            </c:dLbl>
            <c:dLbl>
              <c:idx val="4"/>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09B-4686-8E20-CDAB33E630C4}"/>
                </c:ext>
              </c:extLst>
            </c:dLbl>
            <c:dLbl>
              <c:idx val="5"/>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Charts_prop!$B$34:$H$34</c:f>
              <c:numCache>
                <c:formatCode>0%</c:formatCode>
                <c:ptCount val="7"/>
                <c:pt idx="0">
                  <c:v>0.10949175438537738</c:v>
                </c:pt>
                <c:pt idx="1">
                  <c:v>0.15767278004187713</c:v>
                </c:pt>
                <c:pt idx="2">
                  <c:v>0.17157517412276468</c:v>
                </c:pt>
                <c:pt idx="3">
                  <c:v>0.16715635880104715</c:v>
                </c:pt>
                <c:pt idx="4">
                  <c:v>0.18485886751484037</c:v>
                </c:pt>
                <c:pt idx="5">
                  <c:v>0.23209005387851395</c:v>
                </c:pt>
                <c:pt idx="6">
                  <c:v>0.35083176271872446</c:v>
                </c:pt>
              </c:numCache>
            </c:numRef>
          </c:val>
          <c:smooth val="0"/>
          <c:extLst>
            <c:ext xmlns:c16="http://schemas.microsoft.com/office/drawing/2014/chart" uri="{C3380CC4-5D6E-409C-BE32-E72D297353CC}">
              <c16:uniqueId val="{00000017-C09B-4686-8E20-CDAB33E630C4}"/>
            </c:ext>
          </c:extLst>
        </c:ser>
        <c:ser>
          <c:idx val="3"/>
          <c:order val="3"/>
          <c:tx>
            <c:strRef>
              <c:f>Charts_prop!$A$35</c:f>
              <c:strCache>
                <c:ptCount val="1"/>
                <c:pt idx="0">
                  <c:v>Administration</c:v>
                </c:pt>
              </c:strCache>
            </c:strRef>
          </c:tx>
          <c:spPr>
            <a:ln w="28575" cap="rnd">
              <a:solidFill>
                <a:srgbClr val="134390"/>
              </a:solidFill>
              <a:prstDash val="sysDot"/>
              <a:round/>
            </a:ln>
            <a:effectLst/>
          </c:spPr>
          <c:marker>
            <c:symbol val="circle"/>
            <c:size val="5"/>
            <c:spPr>
              <a:solidFill>
                <a:srgbClr val="134390"/>
              </a:solidFill>
              <a:ln w="9525">
                <a:solidFill>
                  <a:srgbClr val="13439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1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1A-C09B-4686-8E20-CDAB33E630C4}"/>
                </c:ext>
              </c:extLst>
            </c:dLbl>
            <c:dLbl>
              <c:idx val="3"/>
              <c:layout>
                <c:manualLayout>
                  <c:x val="-0.3114610094651471"/>
                  <c:y val="-3.9846757583719687E-2"/>
                </c:manualLayout>
              </c:layout>
              <c:tx>
                <c:rich>
                  <a:bodyPr rot="0" spcFirstLastPara="1" vertOverflow="ellipsis" vert="horz" wrap="square" anchor="ctr" anchorCtr="0"/>
                  <a:lstStyle/>
                  <a:p>
                    <a:pPr algn="l">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r>
                      <a:rPr lang="en-US">
                        <a:solidFill>
                          <a:srgbClr val="134390"/>
                        </a:solidFill>
                      </a:rPr>
                      <a:t>Hallinto</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1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1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Charts_prop!$B$35:$H$35</c:f>
              <c:numCache>
                <c:formatCode>0%</c:formatCode>
                <c:ptCount val="7"/>
                <c:pt idx="0">
                  <c:v>9.2710223699559419E-2</c:v>
                </c:pt>
                <c:pt idx="1">
                  <c:v>4.6923024509361581E-2</c:v>
                </c:pt>
                <c:pt idx="2">
                  <c:v>4.7176439164210729E-2</c:v>
                </c:pt>
                <c:pt idx="3">
                  <c:v>4.8198860411163898E-2</c:v>
                </c:pt>
                <c:pt idx="4">
                  <c:v>5.5016780859304192E-2</c:v>
                </c:pt>
                <c:pt idx="5">
                  <c:v>6.2384570971594139E-2</c:v>
                </c:pt>
                <c:pt idx="6">
                  <c:v>6.6661452378229832E-2</c:v>
                </c:pt>
              </c:numCache>
            </c:numRef>
          </c:val>
          <c:smooth val="0"/>
          <c:extLst>
            <c:ext xmlns:c16="http://schemas.microsoft.com/office/drawing/2014/chart" uri="{C3380CC4-5D6E-409C-BE32-E72D297353CC}">
              <c16:uniqueId val="{0000001F-C09B-4686-8E20-CDAB33E630C4}"/>
            </c:ext>
          </c:extLst>
        </c:ser>
        <c:dLbls>
          <c:showLegendKey val="0"/>
          <c:showVal val="1"/>
          <c:showCatName val="0"/>
          <c:showSerName val="0"/>
          <c:showPercent val="0"/>
          <c:showBubbleSize val="0"/>
        </c:dLbls>
        <c:marker val="1"/>
        <c:smooth val="0"/>
        <c:axId val="108713856"/>
        <c:axId val="108715392"/>
      </c:lineChart>
      <c:catAx>
        <c:axId val="1087138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8715392"/>
        <c:crosses val="autoZero"/>
        <c:auto val="1"/>
        <c:lblAlgn val="ctr"/>
        <c:lblOffset val="100"/>
        <c:noMultiLvlLbl val="0"/>
      </c:catAx>
      <c:valAx>
        <c:axId val="108715392"/>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871385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0.25708</cdr:x>
      <cdr:y>0.85771</cdr:y>
    </cdr:from>
    <cdr:to>
      <cdr:x>0.78035</cdr:x>
      <cdr:y>0.9403</cdr:y>
    </cdr:to>
    <cdr:sp macro="" textlink="">
      <cdr:nvSpPr>
        <cdr:cNvPr id="2" name="Text Box 2"/>
        <cdr:cNvSpPr txBox="1">
          <a:spLocks xmlns:a="http://schemas.openxmlformats.org/drawingml/2006/main" noChangeArrowheads="1"/>
        </cdr:cNvSpPr>
      </cdr:nvSpPr>
      <cdr:spPr bwMode="auto">
        <a:xfrm xmlns:a="http://schemas.openxmlformats.org/drawingml/2006/main">
          <a:off x="1175384" y="2736850"/>
          <a:ext cx="2392361" cy="2635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fr-BE" sz="950">
              <a:solidFill>
                <a:srgbClr val="808080"/>
              </a:solidFill>
              <a:effectLst/>
              <a:uFill>
                <a:solidFill>
                  <a:srgbClr val="000000"/>
                </a:solidFill>
              </a:uFill>
              <a:latin typeface="Times New Roman" panose="02020603050405020304" pitchFamily="18" charset="0"/>
              <a:ea typeface="Arial Unicode MS"/>
            </a:rPr>
            <a:t>Jäsenvaltiot, jotka hyötyvät korjauksista</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dr:relSizeAnchor xmlns:cdr="http://schemas.openxmlformats.org/drawingml/2006/chartDrawing">
    <cdr:from>
      <cdr:x>0.25662</cdr:x>
      <cdr:y>0.91062</cdr:y>
    </cdr:from>
    <cdr:to>
      <cdr:x>0.78613</cdr:x>
      <cdr:y>0.99321</cdr:y>
    </cdr:to>
    <cdr:sp macro="" textlink="">
      <cdr:nvSpPr>
        <cdr:cNvPr id="3" name="Text Box 2"/>
        <cdr:cNvSpPr txBox="1">
          <a:spLocks xmlns:a="http://schemas.openxmlformats.org/drawingml/2006/main" noChangeArrowheads="1"/>
        </cdr:cNvSpPr>
      </cdr:nvSpPr>
      <cdr:spPr bwMode="auto">
        <a:xfrm xmlns:a="http://schemas.openxmlformats.org/drawingml/2006/main">
          <a:off x="1173267" y="2905675"/>
          <a:ext cx="2420919" cy="26353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en-IE" sz="900">
              <a:solidFill>
                <a:srgbClr val="808080"/>
              </a:solidFill>
              <a:effectLst/>
              <a:uFill>
                <a:solidFill>
                  <a:srgbClr val="000000"/>
                </a:solidFill>
              </a:uFill>
              <a:latin typeface="Times New Roman" panose="02020603050405020304" pitchFamily="18" charset="0"/>
              <a:ea typeface="Arial Unicode MS"/>
            </a:rPr>
            <a:t>Jäsenvaltiot, joiden BKTL/asukas on</a:t>
          </a:r>
          <a:r>
            <a:rPr lang="en-IE" sz="900" baseline="0">
              <a:solidFill>
                <a:srgbClr val="808080"/>
              </a:solidFill>
              <a:effectLst/>
              <a:uFill>
                <a:solidFill>
                  <a:srgbClr val="000000"/>
                </a:solidFill>
              </a:uFill>
              <a:latin typeface="Times New Roman" panose="02020603050405020304" pitchFamily="18" charset="0"/>
              <a:ea typeface="Arial Unicode MS"/>
            </a:rPr>
            <a:t> alle EU:n keskiarvon</a:t>
          </a:r>
          <a:endParaRPr lang="en-IE" sz="900">
            <a:solidFill>
              <a:srgbClr val="000000"/>
            </a:solidFill>
            <a:effectLst/>
            <a:uFill>
              <a:solidFill>
                <a:srgbClr val="000000"/>
              </a:solidFill>
            </a:uFill>
            <a:latin typeface="Times New Roman" panose="02020603050405020304" pitchFamily="18" charset="0"/>
            <a:ea typeface="Arial Unicode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0.00797</cdr:x>
      <cdr:y>0.92645</cdr:y>
    </cdr:from>
    <cdr:to>
      <cdr:x>0.17795</cdr:x>
      <cdr:y>0.96916</cdr:y>
    </cdr:to>
    <cdr:sp macro="" textlink="">
      <cdr:nvSpPr>
        <cdr:cNvPr id="2" name="TextBox 1"/>
        <cdr:cNvSpPr txBox="1"/>
      </cdr:nvSpPr>
      <cdr:spPr>
        <a:xfrm xmlns:a="http://schemas.openxmlformats.org/drawingml/2006/main">
          <a:off x="57151" y="3719513"/>
          <a:ext cx="12192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10.0.39616.0</Version>
    <Date>2019-10-02T10:30:58</Date>
    <Language>EN</Language>
  </Created>
  <Edited>
    <Version>10.0.39616.0</Version>
    <Date>2019-10-11T17:32:17</Date>
  </Edited>
  <DocumentModel>
    <Id>6cbda13a-4db2-46c6-876a-ef72275827ef</Id>
    <Name>Report</Name>
  </DocumentModel>
  <DocumentDate>2019-10-02T10:30:58</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1555</Words>
  <Characters>13317</Characters>
  <Application>Microsoft Office Word</Application>
  <DocSecurity>0</DocSecurity>
  <PresentationFormat>Microsoft Word 14.0</PresentationFormat>
  <Lines>184</Lines>
  <Paragraphs>49</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41</cp:revision>
  <cp:lastPrinted>2019-10-03T08:28:00Z</cp:lastPrinted>
  <dcterms:created xsi:type="dcterms:W3CDTF">2019-10-03T13:45:00Z</dcterms:created>
  <dcterms:modified xsi:type="dcterms:W3CDTF">2019-10-11T15:32:00Z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ELDocType">
    <vt:lpwstr>rep.dot</vt:lpwstr>
  </property>
</Properties>
</file>