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C3228B-B8A8-48AB-9B35-F1E3A76ED04B"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spacing w:before="0" w:after="240"/>
        <w:rPr>
          <w:rFonts w:eastAsia="Arial Unicode MS"/>
          <w:noProof/>
        </w:rPr>
      </w:pPr>
      <w:r>
        <w:rPr>
          <w:noProof/>
        </w:rPr>
        <w:t>Formålet med den internationale konvention om bevarelse af tunfiskebestanden i Atlanterhavet (ICCAT-konventionen) er at fremme samarbejdet om bevarelsen af bestandene af tun og tunlignende arter i Atlanterhavet på et niveau, som muliggør bæredygtig fangst af størst mulige mængder med henblik på konsum og andre formål. Konventionen trådte i kraft den 21. marts 1969. Unionen er part i ICCAT og har godkendt konventionen ved Rådets afgørelse af 9. juni 1986</w:t>
      </w:r>
      <w:r>
        <w:rPr>
          <w:rStyle w:val="FootnoteReference"/>
          <w:noProof/>
        </w:rPr>
        <w:footnoteReference w:id="1"/>
      </w:r>
      <w:r>
        <w:rPr>
          <w:noProof/>
        </w:rPr>
        <w:t>.</w:t>
      </w:r>
    </w:p>
    <w:p>
      <w:pPr>
        <w:spacing w:before="0" w:after="240"/>
        <w:rPr>
          <w:rFonts w:eastAsia="Arial Unicode MS"/>
          <w:noProof/>
        </w:rPr>
      </w:pPr>
      <w:r>
        <w:rPr>
          <w:noProof/>
        </w:rPr>
        <w:t xml:space="preserve">Den Internationale Kommission for Bevarelse af Tunfiskebestanden i Atlanterhavet (ICCAT-Kommissionen) er et organ, der er oprettet ved ICCAT-konventionen med henblik på bevarelse og forvaltning af det fiskeri, der hører under dens kompetenceområde. ICCAT-Kommissionen har beføjelse til at vedtage henstillinger, der er bindende for de kontraherende parter. Som kontraherende part i ICCAT-konventionen er Unionen medlem af ICCAT-Kommissionen, hvor den har medbestemmelses- og stemmeret. </w:t>
      </w:r>
    </w:p>
    <w:p>
      <w:pPr>
        <w:spacing w:before="0" w:after="240"/>
        <w:rPr>
          <w:rFonts w:eastAsia="Arial Unicode MS"/>
          <w:noProof/>
        </w:rPr>
      </w:pPr>
      <w:r>
        <w:rPr>
          <w:noProof/>
        </w:rPr>
        <w:t>For at forbedre ICCAT-Kommissionens effektivitet og styrke bevarelsen og forvaltningen af de arter, der hører under dens kompetenceområde, er medlemmerne blevet enige om, at det er nødvendigt at ændre konventionen. Den 13. maj 2013 bemyndigede Rådet Europa-Kommissionen til på Unionens vegne at føre forhandlinger om en ændring af konventionen</w:t>
      </w:r>
      <w:r>
        <w:rPr>
          <w:rStyle w:val="FootnoteReference"/>
          <w:noProof/>
        </w:rPr>
        <w:footnoteReference w:id="2"/>
      </w:r>
      <w:r>
        <w:rPr>
          <w:noProof/>
        </w:rPr>
        <w:t xml:space="preserve">. </w:t>
      </w:r>
    </w:p>
    <w:p>
      <w:pPr>
        <w:spacing w:before="0" w:after="240"/>
        <w:rPr>
          <w:rFonts w:eastAsia="Arial Unicode MS"/>
          <w:noProof/>
        </w:rPr>
      </w:pPr>
      <w:r>
        <w:rPr>
          <w:noProof/>
        </w:rPr>
        <w:t>Fra 2013 til 2018 har der fundet drøftelser sted i ICCAT-Kommissionen om, hvilke ændringer der skal foretages i konventionen. Som følge heraf er der udarbejdet en protokol om ændring af konventionen. De vigtigste ændringer vil, når de er trådt i kraft:</w:t>
      </w:r>
    </w:p>
    <w:p>
      <w:pPr>
        <w:pStyle w:val="Point0"/>
        <w:rPr>
          <w:noProof/>
        </w:rPr>
      </w:pPr>
      <w:r>
        <w:t>(1)</w:t>
      </w:r>
      <w:r>
        <w:tab/>
      </w:r>
      <w:r>
        <w:rPr>
          <w:noProof/>
        </w:rPr>
        <w:t>udvide anvendelsesområdet for konventionen til at omfatte bevarelse og forvaltning af bestandene af hajer og rokker</w:t>
      </w:r>
    </w:p>
    <w:p>
      <w:pPr>
        <w:pStyle w:val="Point0"/>
        <w:rPr>
          <w:noProof/>
        </w:rPr>
      </w:pPr>
      <w:r>
        <w:t>(2)</w:t>
      </w:r>
      <w:r>
        <w:tab/>
      </w:r>
      <w:r>
        <w:rPr>
          <w:noProof/>
        </w:rPr>
        <w:t>præcisere reglerne om afstemning og beslutningsdygtighed i ICCAT-Kommissionen, navnlig om det krævede flertal i tilfælde, hvor der ikke kan opnås konsensus</w:t>
      </w:r>
    </w:p>
    <w:p>
      <w:pPr>
        <w:pStyle w:val="Point0"/>
        <w:rPr>
          <w:noProof/>
        </w:rPr>
      </w:pPr>
      <w:r>
        <w:t>(3)</w:t>
      </w:r>
      <w:r>
        <w:tab/>
      </w:r>
      <w:r>
        <w:rPr>
          <w:noProof/>
        </w:rPr>
        <w:t>fastlægge de principper, som ICCAT-Kommissionen og dens medlemmer skal følge i deres foranstaltninger i henhold til ICCAT-konventionen</w:t>
      </w:r>
    </w:p>
    <w:p>
      <w:pPr>
        <w:pStyle w:val="Point0"/>
        <w:rPr>
          <w:noProof/>
        </w:rPr>
      </w:pPr>
      <w:r>
        <w:t>(4)</w:t>
      </w:r>
      <w:r>
        <w:tab/>
      </w:r>
      <w:r>
        <w:rPr>
          <w:noProof/>
        </w:rPr>
        <w:t>nedbringe den tid, der skal gå, før henstillinger vedtaget af ICCAT-Kommissionen får virkning, fra seks til fire måneder efter meddelelsen af henstillingerne til ICCAT-medlemmerne</w:t>
      </w:r>
    </w:p>
    <w:p>
      <w:pPr>
        <w:pStyle w:val="Point0"/>
        <w:rPr>
          <w:noProof/>
        </w:rPr>
      </w:pPr>
      <w:r>
        <w:t>(5)</w:t>
      </w:r>
      <w:r>
        <w:tab/>
      </w:r>
      <w:r>
        <w:rPr>
          <w:noProof/>
        </w:rPr>
        <w:t xml:space="preserve">præcisere bestemmelserne om proceduren for indsigelse mod henstillinger vedtaget af ICCAT-Kommissionen </w:t>
      </w:r>
    </w:p>
    <w:p>
      <w:pPr>
        <w:pStyle w:val="Point0"/>
        <w:rPr>
          <w:noProof/>
        </w:rPr>
      </w:pPr>
      <w:r>
        <w:t>(6)</w:t>
      </w:r>
      <w:r>
        <w:tab/>
      </w:r>
      <w:r>
        <w:rPr>
          <w:noProof/>
        </w:rPr>
        <w:t>muliggøre øget deltagelse af samarbejdende ikkekontraherende parter og fiskerienheder i ICCAT-Kommissionens arbejde og</w:t>
      </w:r>
    </w:p>
    <w:p>
      <w:pPr>
        <w:pStyle w:val="Point0"/>
        <w:rPr>
          <w:noProof/>
        </w:rPr>
      </w:pPr>
      <w:r>
        <w:lastRenderedPageBreak/>
        <w:t>(7)</w:t>
      </w:r>
      <w:r>
        <w:tab/>
      </w:r>
      <w:r>
        <w:rPr>
          <w:noProof/>
        </w:rPr>
        <w:t xml:space="preserve">indføre en ICCAT-tvistbilæggelsesordning, der er frivillig, men hvis udfald bliver endeligt og bindende for de parter, der gør brug af ordningen. </w:t>
      </w:r>
    </w:p>
    <w:p>
      <w:pPr>
        <w:spacing w:before="0" w:after="240"/>
        <w:rPr>
          <w:rFonts w:eastAsia="Arial Unicode MS"/>
          <w:noProof/>
        </w:rPr>
      </w:pPr>
      <w:r>
        <w:rPr>
          <w:noProof/>
        </w:rPr>
        <w:t>Ændringen af konventionen er også en anledning til at fjerne mindre forskelle mellem den engelske, den franske og den spanske sprogudgave af konventionen, idet hver af disse versioner har samme gyldighed. Protokollen omfatter derfor alle bestemmelser, der skal ændres i en eller flere af de tre sprogudgaver.</w:t>
      </w:r>
    </w:p>
    <w:p>
      <w:pPr>
        <w:spacing w:before="0" w:after="240"/>
        <w:rPr>
          <w:rFonts w:eastAsia="Arial Unicode MS"/>
          <w:noProof/>
        </w:rPr>
      </w:pPr>
      <w:r>
        <w:rPr>
          <w:noProof/>
        </w:rPr>
        <w:t xml:space="preserve">Protokollen vil blive vedtaget af de kontraherende parter på det 28. ordinære møde i ICCAT-Kommissionen fra den 18. til den 25. november 2019. </w:t>
      </w:r>
    </w:p>
    <w:p>
      <w:pPr>
        <w:spacing w:before="0" w:after="240"/>
        <w:rPr>
          <w:rFonts w:eastAsia="Arial Unicode MS"/>
          <w:noProof/>
        </w:rPr>
      </w:pPr>
      <w:r>
        <w:rPr>
          <w:noProof/>
        </w:rPr>
        <w:t>Nærværende forslag vedrører Rådets afgørelse om bemyndigelse til undertegnelse på Unionens vegne og om midlertidig anvendelse af protokollen. I henhold til protokollens artikel 13 træder protokollen i kraft for hver kontraherende part, der accepterer den, på den halvfemsindstyvende dag, efter at tre fjerdedele af de kontraherende parter har deponeret et acceptinstrument hos generaldirektøren for De Forenede Nationers Fødevare- og Landbrugsorganisation, og derefter for hver øvrig kontraherende part, når denne har accepteret protokollen. Det er derfor nødvendigt at fastsætte, at protokollen anvendes midlertidigt, hvis den træder i kraft, inden Unionen har afsluttet sine interne ratifikationsprocedurer. En sådan midlertidig anvendelse er også i overensstemmelse med Rådets afgørelse om bemyndigelse af Kommissionen til at føre forhandlinger om en ændring af konventionen.</w:t>
      </w:r>
    </w:p>
    <w:p>
      <w:pPr>
        <w:spacing w:before="0" w:after="240"/>
        <w:rPr>
          <w:rFonts w:eastAsia="Arial Unicode MS"/>
          <w:noProof/>
        </w:rPr>
      </w:pPr>
      <w:r>
        <w:rPr>
          <w:noProof/>
        </w:rPr>
        <w:t xml:space="preserve">Protokollen indgår i en større pakke, som også omfatter: </w:t>
      </w:r>
    </w:p>
    <w:p>
      <w:pPr>
        <w:pStyle w:val="Point0"/>
        <w:rPr>
          <w:noProof/>
        </w:rPr>
      </w:pPr>
      <w:r>
        <w:t>(1)</w:t>
      </w:r>
      <w:r>
        <w:tab/>
      </w:r>
      <w:r>
        <w:rPr>
          <w:i/>
          <w:noProof/>
        </w:rPr>
        <w:t>en ICCAT-resolution om fiskerienheders deltagelse i henhold til den ændrede ICCAT-konvention.</w:t>
      </w:r>
      <w:r>
        <w:rPr>
          <w:noProof/>
        </w:rPr>
        <w:t xml:space="preserve"> Denne resolution præciserer konventionens ændringer om ikkekontraherende parters deltagelse, navnlig den omstændighed, at Taiwan skal være omfattet af det bilag 2 om fiskerienheder, som tilføjes til konventionen i henhold til protokollens artikel 11, og</w:t>
      </w:r>
    </w:p>
    <w:p>
      <w:pPr>
        <w:pStyle w:val="Point0"/>
        <w:rPr>
          <w:noProof/>
        </w:rPr>
      </w:pPr>
      <w:r>
        <w:t>(2)</w:t>
      </w:r>
      <w:r>
        <w:tab/>
      </w:r>
      <w:r>
        <w:rPr>
          <w:noProof/>
        </w:rPr>
        <w:t>en ICCAT-henstilling om fisk, der anses for at være tun eller tunlignende arter eller pelagiske og stærkt vandrende hajer og rokker, der forekommer på det åbne hav. I henstillingen præciseres det, hvilke arter der er omfattet af konventionen, idet navnlig "ICCAT-arter" defineres udtrykkeligt som omfattende pelagiske og stærkt vandrende hajer og rokker (</w:t>
      </w:r>
      <w:r>
        <w:rPr>
          <w:iCs/>
          <w:noProof/>
        </w:rPr>
        <w:t>Elasmobranchii</w:t>
      </w:r>
      <w:r>
        <w:rPr>
          <w:noProof/>
        </w:rPr>
        <w:t xml:space="preserve">), der forekommer på det åbne hav. </w:t>
      </w:r>
    </w:p>
    <w:p>
      <w:pPr>
        <w:spacing w:before="0" w:after="240"/>
        <w:rPr>
          <w:rFonts w:eastAsia="Arial Unicode MS"/>
          <w:noProof/>
        </w:rPr>
      </w:pPr>
      <w:r>
        <w:rPr>
          <w:noProof/>
        </w:rPr>
        <w:t>Resolutionen og henstillingen skal vedtages af ICCAT-Kommissionen sideløbende med, at de kontraherende parter vedtager protokollen. I overensstemmelse med ICCAT-konventionens artikel VIII, stk. 2, får henstillingen virkning seks måneder efter, at de kontraherende parter har fået meddelelse herom. En henstilling er ikke bindende for kontraherende parter, som har indgivet og bekræftet en indsigelse mod den pågældende henstilling. Hvis indsigelsen støttes af et flertal af de kontraherende parter, får henstillingen ikke virkning.</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Sammenhæng med de gældende regler på samme område</w:t>
      </w:r>
    </w:p>
    <w:p>
      <w:pPr>
        <w:pBdr>
          <w:top w:val="nil"/>
          <w:left w:val="nil"/>
          <w:bottom w:val="nil"/>
          <w:right w:val="nil"/>
          <w:between w:val="nil"/>
          <w:bar w:val="nil"/>
        </w:pBdr>
        <w:spacing w:before="0" w:after="240"/>
        <w:rPr>
          <w:noProof/>
        </w:rPr>
      </w:pPr>
      <w:r>
        <w:rPr>
          <w:noProof/>
        </w:rPr>
        <w:t xml:space="preserve">Regionale fiskeriforvaltningsorganisationer (RFFO'er) er internationale organisationer, der omfatter lande, hvoraf nogle er kyststater, organisationer for regional integration, f.eks. EU, og fiskerienheder med fiskeriinteresser i et givet område. Nogle RFFO'er forvalter alle fiskebestande inden for et bestemt område, mens andre fokuserer på særligt stærkt vandrende arter, navnlig tun, over udstrakte geografiske områder. Mens nogle udelukkende har rådgivende funktion, har de fleste forvaltningsbeføjelser til at fastsætte grænser for fangst- og fiskeriindsats, tekniske foranstaltninger og kontrolforpligtelser. </w:t>
      </w:r>
    </w:p>
    <w:p>
      <w:pPr>
        <w:spacing w:before="0" w:after="240"/>
        <w:rPr>
          <w:rFonts w:eastAsia="Arial Unicode MS"/>
          <w:noProof/>
        </w:rPr>
      </w:pPr>
      <w:r>
        <w:rPr>
          <w:noProof/>
        </w:rPr>
        <w:lastRenderedPageBreak/>
        <w:t>Den Europæiske Union, repræsenteret ved Europa-Kommissionen, støtter og bidrager aktivt til arbejdet i ICCAT i overensstemmelse med Kommissionens meddelelse om deltagelse i regionale fiskeriorganisationer</w:t>
      </w:r>
      <w:r>
        <w:rPr>
          <w:rStyle w:val="FootnoteReference"/>
          <w:noProof/>
        </w:rPr>
        <w:footnoteReference w:id="3"/>
      </w:r>
      <w:r>
        <w:rPr>
          <w:noProof/>
        </w:rPr>
        <w:t>, artikel 29 i Europa-Parlamentets og Rådets forordning (EU) nr. 1380/2013 om den fælles fiskeripolitik</w:t>
      </w:r>
      <w:r>
        <w:rPr>
          <w:rStyle w:val="FootnoteReference"/>
          <w:noProof/>
        </w:rPr>
        <w:footnoteReference w:id="4"/>
      </w:r>
      <w:r>
        <w:rPr>
          <w:noProof/>
        </w:rPr>
        <w:t xml:space="preserve"> og Rådets konklusioner af 19. marts 2012 om Kommissionens meddelelse om den fælles fiskeripolitiks eksterne dimension</w:t>
      </w:r>
      <w:r>
        <w:rPr>
          <w:rStyle w:val="FootnoteReference"/>
          <w:noProof/>
        </w:rPr>
        <w:footnoteReference w:id="5"/>
      </w:r>
      <w:r>
        <w:rPr>
          <w:noProof/>
        </w:rPr>
        <w:t>. Det er nødvendigt at ændre konventionen for at sikre en bæredygtig udnyttelse, forvaltning og bevarelse af havets biologiske ressourcer og det havmiljø, der forvaltes af ICCAT, samt af arter, der fanges i forbindelse med fiskeri efter ICCAT-arter.</w:t>
      </w:r>
    </w:p>
    <w:p>
      <w:pPr>
        <w:pStyle w:val="ManualHeading2"/>
        <w:rPr>
          <w:rFonts w:eastAsia="Arial Unicode MS"/>
          <w:noProof/>
        </w:rPr>
      </w:pPr>
      <w:r>
        <w:rPr>
          <w:noProof/>
          <w:u w:color="000000"/>
          <w:bdr w:val="nil"/>
        </w:rPr>
        <w:t>•</w:t>
      </w:r>
      <w:r>
        <w:rPr>
          <w:noProof/>
          <w:u w:color="000000"/>
          <w:bdr w:val="nil"/>
        </w:rPr>
        <w:tab/>
      </w:r>
      <w:r>
        <w:rPr>
          <w:noProof/>
        </w:rPr>
        <w:t>Sammenhæng med Unionens politik på andre områder</w:t>
      </w:r>
    </w:p>
    <w:p>
      <w:pPr>
        <w:pBdr>
          <w:top w:val="nil"/>
          <w:left w:val="nil"/>
          <w:bottom w:val="nil"/>
          <w:right w:val="nil"/>
          <w:between w:val="nil"/>
          <w:bar w:val="nil"/>
        </w:pBdr>
        <w:spacing w:before="0" w:after="240"/>
        <w:rPr>
          <w:noProof/>
          <w:sz w:val="23"/>
          <w:szCs w:val="23"/>
        </w:rPr>
      </w:pPr>
      <w:r>
        <w:rPr>
          <w:noProof/>
        </w:rPr>
        <w:t>I overensstemmelse med den fælles meddelelse fra Unionens højtstående repræsentant for udenrigsanliggender og sikkerhedspolitik og Europa-Kommissionen om "International havforvaltning: En dagsorden for havenes fremtid"</w:t>
      </w:r>
      <w:r>
        <w:rPr>
          <w:rStyle w:val="FootnoteReference"/>
          <w:noProof/>
        </w:rPr>
        <w:footnoteReference w:id="6"/>
      </w:r>
      <w:r>
        <w:rPr>
          <w:noProof/>
        </w:rPr>
        <w:t xml:space="preserve"> og Rådets konklusioner om denne fælles meddelelse</w:t>
      </w:r>
      <w:r>
        <w:rPr>
          <w:rStyle w:val="FootnoteReference"/>
          <w:noProof/>
        </w:rPr>
        <w:footnoteReference w:id="7"/>
      </w:r>
      <w:r>
        <w:rPr>
          <w:noProof/>
        </w:rPr>
        <w:t xml:space="preserve"> er fremme af foranstaltninger til støtte og forbedring af effektiviteten af de regionale fiskeriforvaltningsorganisationer og, hvor det er relevant, forbedring af deres forvaltning et centralt element i Unionens indsats i disse fora.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rPr>
          <w:rFonts w:eastAsia="Times New Roman"/>
          <w:noProof/>
        </w:rPr>
      </w:pPr>
      <w:r>
        <w:rPr>
          <w:noProof/>
        </w:rPr>
        <w:t>Dette forslag til Rådets afgørelse er baseret på traktaten om Den Europæiske Unions funktionsmåde, særlig artikel 43, stk. 2, sammenholdt med artikel 218, stk. 5.</w:t>
      </w:r>
    </w:p>
    <w:p>
      <w:pPr>
        <w:pBdr>
          <w:top w:val="nil"/>
          <w:left w:val="nil"/>
          <w:bottom w:val="nil"/>
          <w:right w:val="nil"/>
          <w:between w:val="nil"/>
          <w:bar w:val="nil"/>
        </w:pBdr>
        <w:spacing w:before="0" w:after="240"/>
        <w:rPr>
          <w:rFonts w:eastAsia="Arial Unicode MS"/>
          <w:noProof/>
        </w:rPr>
      </w:pPr>
      <w:r>
        <w:rPr>
          <w:noProof/>
        </w:rPr>
        <w:t>Europa-Parlamentets og Rådets forordning (EU) nr. 1380/2013</w:t>
      </w:r>
      <w:r>
        <w:rPr>
          <w:rStyle w:val="FootnoteReference"/>
          <w:noProof/>
        </w:rPr>
        <w:footnoteReference w:id="8"/>
      </w:r>
      <w:r>
        <w:rPr>
          <w:noProof/>
        </w:rPr>
        <w:t xml:space="preserve"> er retsgrundlaget for de principper, der skal afspejles i denne afgørelse.</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pBdr>
          <w:top w:val="nil"/>
          <w:left w:val="nil"/>
          <w:bottom w:val="nil"/>
          <w:right w:val="nil"/>
          <w:between w:val="nil"/>
          <w:bar w:val="nil"/>
        </w:pBdr>
        <w:spacing w:before="0" w:after="240"/>
        <w:rPr>
          <w:rFonts w:eastAsia="Arial Unicode MS"/>
          <w:noProof/>
        </w:rPr>
      </w:pPr>
      <w:r>
        <w:rPr>
          <w:noProof/>
        </w:rPr>
        <w:t>Forslaget går ikke videre end nødvendigt for at nå målet, dvs. Unionens undertegnelse og midlertidige anvendelse af protokollen.</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pBdr>
          <w:top w:val="nil"/>
          <w:left w:val="nil"/>
          <w:bottom w:val="nil"/>
          <w:right w:val="nil"/>
          <w:between w:val="nil"/>
          <w:bar w:val="nil"/>
        </w:pBdr>
        <w:spacing w:before="0" w:after="240"/>
        <w:rPr>
          <w:rFonts w:eastAsia="Arial Unicode MS"/>
          <w:noProof/>
        </w:rPr>
      </w:pPr>
      <w:r>
        <w:rPr>
          <w:noProof/>
        </w:rPr>
        <w:t>I henhold til artikel 218, stk. 5, i traktaten om Den Europæiske Unions funktionsmåde skal Kommissionen fremsætte et forslag, så Rådet kan vedtage en afgørelse om bemyndigelse til undertegnelse af protokollen samt eventuelt om midlertidig anvendelse heraf inden ikrafttrædelsen.</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spacing w:before="0" w:after="240"/>
        <w:rPr>
          <w:rFonts w:eastAsia="Times New Roman"/>
          <w:noProof/>
        </w:rPr>
      </w:pPr>
      <w:r>
        <w:rPr>
          <w:noProof/>
        </w:rPr>
        <w:t>Den 13. maj 2013 bemyndigede Rådet Europa-Kommissionen til på Unionens vegne at føre forhandlinger om en ændring af konventionen.</w:t>
      </w:r>
    </w:p>
    <w:p>
      <w:pPr>
        <w:spacing w:before="0" w:after="240"/>
        <w:rPr>
          <w:rFonts w:eastAsia="Times New Roman"/>
          <w:noProof/>
        </w:rPr>
      </w:pPr>
      <w:r>
        <w:rPr>
          <w:noProof/>
        </w:rPr>
        <w:t>Ændringerne blev udarbejdet i løbet af seks møder i den arbejdsgruppe om ændring af konventionen, der var blevet nedsat af ICATT-Kommissionen til dette formål. Det første af møderne fandt sted den 10.-12. juli 2013 og det sidste den 24.-25. maj 2018. Medlemsstaterne er blevet holdt underrettet om forløbet af forhandlingerne.</w:t>
      </w:r>
    </w:p>
    <w:p>
      <w:pPr>
        <w:pStyle w:val="ManualHeading2"/>
        <w:rPr>
          <w:rFonts w:eastAsia="Arial Unicode MS"/>
          <w:noProof/>
          <w:u w:color="000000"/>
          <w:bdr w:val="nil"/>
        </w:rPr>
      </w:pPr>
      <w:r>
        <w:rPr>
          <w:noProof/>
          <w:u w:color="000000"/>
          <w:bdr w:val="nil"/>
        </w:rPr>
        <w:t>•</w:t>
      </w:r>
      <w:r>
        <w:rPr>
          <w:noProof/>
          <w:u w:color="000000"/>
          <w:bdr w:val="nil"/>
        </w:rPr>
        <w:tab/>
        <w:t>Indhentning og brug af ekspertbistand</w:t>
      </w:r>
    </w:p>
    <w:p>
      <w:pPr>
        <w:pBdr>
          <w:top w:val="nil"/>
          <w:left w:val="nil"/>
          <w:bottom w:val="nil"/>
          <w:right w:val="nil"/>
          <w:between w:val="nil"/>
          <w:bar w:val="nil"/>
        </w:pBdr>
        <w:spacing w:before="0" w:after="240"/>
        <w:rPr>
          <w:rFonts w:eastAsia="Arial Unicode MS"/>
          <w:noProof/>
        </w:rPr>
      </w:pPr>
      <w:r>
        <w:rPr>
          <w:noProof/>
        </w:rPr>
        <w:t>Kommission har trukket på medlemsstaternes ekspertise under forberedelserne til forhandlingerne og under selve forhandlingerne i ICCAT-Kommissionen om ændring af konventionen.</w:t>
      </w:r>
    </w:p>
    <w:p>
      <w:pPr>
        <w:pStyle w:val="ManualHeading2"/>
        <w:rPr>
          <w:rFonts w:eastAsia="Arial Unicode MS"/>
          <w:noProof/>
          <w:u w:color="000000"/>
          <w:bdr w:val="nil"/>
        </w:rPr>
      </w:pPr>
      <w:r>
        <w:rPr>
          <w:noProof/>
          <w:u w:color="000000"/>
          <w:bdr w:val="nil"/>
        </w:rPr>
        <w:t>•</w:t>
      </w:r>
      <w:r>
        <w:rPr>
          <w:noProof/>
          <w:u w:color="000000"/>
          <w:bdr w:val="nil"/>
        </w:rPr>
        <w:tab/>
        <w:t>Konsekvensanalyse</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u w:color="000000"/>
          <w:bdr w:val="nil"/>
        </w:rPr>
        <w:t>•</w:t>
      </w:r>
      <w:r>
        <w:rPr>
          <w:noProof/>
          <w:u w:color="000000"/>
          <w:bdr w:val="nil"/>
        </w:rPr>
        <w:tab/>
        <w:t>Målrettet regulering og forenkling</w:t>
      </w:r>
    </w:p>
    <w:p>
      <w:pPr>
        <w:pBdr>
          <w:top w:val="nil"/>
          <w:left w:val="nil"/>
          <w:bottom w:val="nil"/>
          <w:right w:val="nil"/>
          <w:between w:val="nil"/>
          <w:bar w:val="nil"/>
        </w:pBdr>
        <w:spacing w:before="0" w:after="240"/>
        <w:rPr>
          <w:rFonts w:eastAsia="Arial Unicode MS"/>
          <w:noProof/>
        </w:rPr>
      </w:pPr>
      <w:r>
        <w:rPr>
          <w:noProof/>
        </w:rPr>
        <w:t xml:space="preserve">Ikke relevant. </w:t>
      </w:r>
    </w:p>
    <w:p>
      <w:pPr>
        <w:pStyle w:val="ManualHeading2"/>
        <w:rPr>
          <w:rFonts w:eastAsia="Arial Unicode MS"/>
          <w:noProof/>
          <w:u w:color="000000"/>
          <w:bdr w:val="nil"/>
        </w:rPr>
      </w:pPr>
      <w:r>
        <w:rPr>
          <w:noProof/>
          <w:u w:color="000000"/>
          <w:bdr w:val="nil"/>
        </w:rPr>
        <w:t>•</w:t>
      </w:r>
      <w:r>
        <w:rPr>
          <w:noProof/>
          <w:u w:color="000000"/>
          <w:bdr w:val="nil"/>
        </w:rPr>
        <w:tab/>
        <w:t>Grundlæggende rettigheder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medfører ingen merudgifter for EU-budgettet.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u w:color="000000"/>
          <w:bdr w:val="nil"/>
        </w:rPr>
        <w:tab/>
        <w:t>Nærmere redegørelse for de enkelte bestemmelser i forslaget</w:t>
      </w:r>
    </w:p>
    <w:p>
      <w:pPr>
        <w:pBdr>
          <w:top w:val="nil"/>
          <w:left w:val="nil"/>
          <w:bottom w:val="nil"/>
          <w:right w:val="nil"/>
          <w:between w:val="nil"/>
          <w:bar w:val="nil"/>
        </w:pBdr>
        <w:spacing w:before="0" w:after="240"/>
        <w:rPr>
          <w:noProof/>
        </w:rPr>
      </w:pPr>
      <w:r>
        <w:rPr>
          <w:noProof/>
        </w:rPr>
        <w:t>Ikke relevant.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2019/0223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Den Europæiske Unions vegne og om midlertidig anvendelse af protokollen om ændring af den internationale konvention om bevarelse af tunfiskebestanden i Atlanterhavet</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2, sammenholdt med artikel 218, stk. 5,</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13. maj 2013 bemyndigede Rådet Europa-Kommissionen til at indlede forhandlinger om ændring af den internationale konvention om bevarelse af tunfiskebestanden i Atlanterhavet (ICCAT-konventionen)</w:t>
      </w:r>
      <w:r>
        <w:rPr>
          <w:rStyle w:val="FootnoteReference"/>
          <w:noProof/>
        </w:rPr>
        <w:footnoteReference w:id="9"/>
      </w:r>
      <w:r>
        <w:rPr>
          <w:noProof/>
        </w:rPr>
        <w:t xml:space="preserve">. Disse forhandlinger blev vel afsluttet i november 2018. </w:t>
      </w:r>
    </w:p>
    <w:p>
      <w:pPr>
        <w:pStyle w:val="ManualConsidrant"/>
        <w:rPr>
          <w:noProof/>
        </w:rPr>
      </w:pPr>
      <w:r>
        <w:t>(2)</w:t>
      </w:r>
      <w:r>
        <w:tab/>
      </w:r>
      <w:r>
        <w:rPr>
          <w:noProof/>
        </w:rPr>
        <w:t>Den deraf følgende protokol bør forbedre ICCAT's effektivitet og styrke bevarelsen og forvaltningen af de arter, der hører under dens kompetenceområde.</w:t>
      </w:r>
    </w:p>
    <w:p>
      <w:pPr>
        <w:pStyle w:val="ManualConsidrant"/>
        <w:rPr>
          <w:noProof/>
        </w:rPr>
      </w:pPr>
      <w:r>
        <w:t>(3)</w:t>
      </w:r>
      <w:r>
        <w:tab/>
      </w:r>
      <w:r>
        <w:rPr>
          <w:noProof/>
        </w:rPr>
        <w:t>I henhold til Europa-Parlamentets og Rådets forordning (EU) nr. 1380/2013</w:t>
      </w:r>
      <w:r>
        <w:rPr>
          <w:rStyle w:val="FootnoteReference"/>
          <w:noProof/>
        </w:rPr>
        <w:footnoteReference w:id="10"/>
      </w:r>
      <w:r>
        <w:rPr>
          <w:noProof/>
        </w:rPr>
        <w:t xml:space="preserve"> skal EU sikre, at fiskeri- og akvakulturaktiviteter er miljømæssigt bæredygtige på langt sigt og forvaltes på en måde, der er i overensstemmelse med målene om at opnå økonomiske, sociale og beskæftigelsesmæssige fordele, og som bidrager til at sikre fødevareforsyningen. Det er ligeledes fastsat i nævnte forordning, at Unionen skal forvalte fiskeriet efter en forsigtighedstilgang og bestræbe sig på at sikre, at udnyttelsen af havets levende biologiske ressourcer genopretter og opretholder bestandene af befiskede arter på niveauer, der kan give det maksimale bæredygtige udbytte. Endvidere er det fastsat, at Unionen skal træffe forvaltnings- og bevarelsesforanstaltninger på grundlag af den bedste foreliggende videnskabelige rådgivning, støtte udbygningen af videnskabelig viden og rådgivning, gradvis eliminere udsmid og fremme fangstmetoder, der bidrager til et mere selektivt fiskeri, til undgåelse eller størst mulig begrænsning af uønskede fangster og til fiskeri med begrænset indvirkning på det marine økosystem og fiskeressourcerne. Derudover er det i forordning (EU) nr. 1380/2013 udtrykkeligt fastsat, at Unionen skal anvende disse mål og principper i forbindelse med varetagelsen af sine eksterne fiskeriforbindelser. Protokollen er i overensstemmelse med disse mål.</w:t>
      </w:r>
    </w:p>
    <w:p>
      <w:pPr>
        <w:pStyle w:val="ManualConsidrant"/>
        <w:rPr>
          <w:noProof/>
        </w:rPr>
      </w:pPr>
      <w:r>
        <w:lastRenderedPageBreak/>
        <w:t>(4)</w:t>
      </w:r>
      <w:r>
        <w:tab/>
      </w:r>
      <w:r>
        <w:rPr>
          <w:noProof/>
        </w:rPr>
        <w:t>Som det fremgår af den fælles meddelelse fra Unionens højtstående repræsentant for udenrigsanliggender og sikkerhedspolitik og Europa-Kommissionen om "International havforvaltning:</w:t>
      </w:r>
      <w:r>
        <w:rPr>
          <w:i/>
          <w:noProof/>
        </w:rPr>
        <w:t xml:space="preserve"> </w:t>
      </w:r>
      <w:r>
        <w:rPr>
          <w:noProof/>
        </w:rPr>
        <w:t>En dagsorden for havenes fremtid"</w:t>
      </w:r>
      <w:r>
        <w:rPr>
          <w:rStyle w:val="FootnoteReference"/>
          <w:noProof/>
        </w:rPr>
        <w:footnoteReference w:id="11"/>
      </w:r>
      <w:r>
        <w:rPr>
          <w:noProof/>
        </w:rPr>
        <w:t xml:space="preserve"> og Rådets konklusioner om denne fælles meddelelse</w:t>
      </w:r>
      <w:r>
        <w:rPr>
          <w:rStyle w:val="FootnoteReference"/>
          <w:noProof/>
        </w:rPr>
        <w:footnoteReference w:id="12"/>
      </w:r>
      <w:r>
        <w:rPr>
          <w:noProof/>
        </w:rPr>
        <w:t xml:space="preserve"> er fremme af foranstaltninger til støtte og forbedring af effektiviteten af de regionale fiskeriforvaltningsorganisationer og, hvor det er relevant, forbedring af deres forvaltning et centralt element i Unionens indsats i disse fora. Protokollen er fuldt ud i overensstemmelse med disse mål.</w:t>
      </w:r>
    </w:p>
    <w:p>
      <w:pPr>
        <w:pStyle w:val="ManualConsidrant"/>
        <w:rPr>
          <w:noProof/>
        </w:rPr>
      </w:pPr>
      <w:r>
        <w:t>(5)</w:t>
      </w:r>
      <w:r>
        <w:tab/>
      </w:r>
      <w:r>
        <w:rPr>
          <w:noProof/>
        </w:rPr>
        <w:t>Protokollen bør undertegnes på Unionens vegne og anvendes midlertidigt indtil afslutningen af de procedurer, som er nødvendige for dens indgåelse.</w:t>
      </w:r>
    </w:p>
    <w:p>
      <w:pPr>
        <w:pStyle w:val="ManualConsidrant"/>
        <w:rPr>
          <w:noProof/>
        </w:rPr>
      </w:pPr>
      <w:r>
        <w:t>(6)</w:t>
      </w:r>
      <w:r>
        <w:tab/>
      </w:r>
      <w:r>
        <w:rPr>
          <w:noProof/>
        </w:rPr>
        <w:t>Hvis protokollen træder i kraft, før Unionen har afsluttet sine interne ratifikationsprocedurer, bør den anvendes midlertidigt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 xml:space="preserve">Der gives bemyndigelse til undertegnelse på Unionens vegne af protokollen om ændring af den internationale konvention om bevarelse af tunfiskebestanden i Atlanterhavet ("protokollen”) med forbehold af dens indgåelse. </w:t>
      </w:r>
    </w:p>
    <w:p>
      <w:pPr>
        <w:rPr>
          <w:noProof/>
        </w:rPr>
      </w:pPr>
      <w:r>
        <w:rPr>
          <w:noProof/>
        </w:rPr>
        <w:t>Teksten til den protokol, der skal undertegnes, er knyttet til denne afgørelse.</w:t>
      </w:r>
    </w:p>
    <w:p>
      <w:pPr>
        <w:pStyle w:val="Titrearticle"/>
        <w:keepNext w:val="0"/>
        <w:rPr>
          <w:noProof/>
        </w:rPr>
      </w:pPr>
      <w:r>
        <w:rPr>
          <w:noProof/>
        </w:rPr>
        <w:t>Artikel 2</w:t>
      </w:r>
    </w:p>
    <w:p>
      <w:pPr>
        <w:keepLines/>
        <w:rPr>
          <w:noProof/>
        </w:rPr>
      </w:pPr>
      <w:r>
        <w:rPr>
          <w:noProof/>
        </w:rPr>
        <w:t>Generalsekretariatet for Rådet udarbejder fuldmagtsinstrumentet til undertegnelse af protokollen med forbehold af dens indgåelse til den eller de personer, som forhandleren af protokollen har udpeget.</w:t>
      </w:r>
    </w:p>
    <w:p>
      <w:pPr>
        <w:pStyle w:val="Titrearticle"/>
        <w:keepNext w:val="0"/>
        <w:rPr>
          <w:noProof/>
        </w:rPr>
      </w:pPr>
      <w:r>
        <w:rPr>
          <w:noProof/>
        </w:rPr>
        <w:t>Artikel 3</w:t>
      </w:r>
    </w:p>
    <w:p>
      <w:pPr>
        <w:keepLines/>
        <w:rPr>
          <w:noProof/>
        </w:rPr>
      </w:pPr>
      <w:r>
        <w:rPr>
          <w:noProof/>
        </w:rPr>
        <w:t>Protokollen anvendes midlertidigt i overensstemmelse med dens artikel 13, indtil den træder i kraft.</w:t>
      </w:r>
    </w:p>
    <w:p>
      <w:pPr>
        <w:pStyle w:val="Titrearticle"/>
        <w:rPr>
          <w:noProof/>
        </w:rPr>
      </w:pPr>
      <w:r>
        <w:rPr>
          <w:noProof/>
        </w:rPr>
        <w:t>Artikel 4</w:t>
      </w:r>
    </w:p>
    <w:p>
      <w:pPr>
        <w:keepLines/>
        <w:rPr>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afgørelse af 9. juni 1986 om Fællesskabets tiltrædelse af den internationale konvention om bevarelse af tunfiskebestanden i Atlanterhavet som ændret ved den protokol, der er knyttet som bilag til slutakten fra konferencen af befuldmægtigede for stater, der er parter i konventionen, undertegnet den 10. juli 1984 i Paris (EFT L 162 af 18.6.1986, s. 33).</w:t>
      </w:r>
    </w:p>
  </w:footnote>
  <w:footnote w:id="2">
    <w:p>
      <w:pPr>
        <w:pStyle w:val="FootnoteText"/>
      </w:pPr>
      <w:r>
        <w:rPr>
          <w:rStyle w:val="FootnoteReference"/>
        </w:rPr>
        <w:footnoteRef/>
      </w:r>
      <w:r>
        <w:tab/>
        <w:t>Rådets afgørelse af 13. maj 2013 om bemyndigelse af Kommissionen til på Den Europæiske Unions vegne at indlede forhandlinger om ændringer til den internationale konvention om bevarelse af tunfiskebestanden i Atlanterhavet.</w:t>
      </w:r>
    </w:p>
  </w:footnote>
  <w:footnote w:id="3">
    <w:p>
      <w:pPr>
        <w:pStyle w:val="FootnoteText"/>
      </w:pPr>
      <w:r>
        <w:rPr>
          <w:rStyle w:val="FootnoteReference"/>
        </w:rPr>
        <w:footnoteRef/>
      </w:r>
      <w:r>
        <w:tab/>
        <w:t>KOM/99/613 endelig.</w:t>
      </w:r>
    </w:p>
  </w:footnote>
  <w:footnote w:id="4">
    <w:p>
      <w:pPr>
        <w:pStyle w:val="FootnoteText"/>
      </w:pPr>
      <w:r>
        <w:rPr>
          <w:rStyle w:val="FootnoteReference"/>
        </w:rPr>
        <w:footnoteRef/>
      </w:r>
      <w:r>
        <w:tab/>
        <w:t>Europa-Parlamentets og Rådets forordning (EU) nr. 1380/2013 om den fælles fiskeripolitik, ændring af Rådets forordning (EF) nr. 1954/2003 og (EF) nr. 1224/2009 og ophævelse af Rådets forordning (EF) nr. 2371/2002 og (EF) nr. 639/2004 samt Rådets afgørelse 2004/585/EF (EUT L 354 af 28.12.2013, s. 22).</w:t>
      </w:r>
    </w:p>
  </w:footnote>
  <w:footnote w:id="5">
    <w:p>
      <w:pPr>
        <w:pStyle w:val="FootnoteText"/>
        <w:rPr>
          <w:rFonts w:eastAsia="Times New Roman"/>
        </w:rPr>
      </w:pPr>
      <w:r>
        <w:rPr>
          <w:rStyle w:val="FootnoteReference"/>
        </w:rPr>
        <w:footnoteRef/>
      </w:r>
      <w:r>
        <w:tab/>
        <w:t>KOM(2011) 424 af 13.7.2011.</w:t>
      </w:r>
    </w:p>
  </w:footnote>
  <w:footnote w:id="6">
    <w:p>
      <w:pPr>
        <w:pStyle w:val="FootnoteText"/>
      </w:pPr>
      <w:r>
        <w:rPr>
          <w:rStyle w:val="FootnoteReference"/>
        </w:rPr>
        <w:footnoteRef/>
      </w:r>
      <w:r>
        <w:tab/>
        <w:t>JOIN(2016) 49 final.</w:t>
      </w:r>
    </w:p>
  </w:footnote>
  <w:footnote w:id="7">
    <w:p>
      <w:pPr>
        <w:pStyle w:val="FootnoteText"/>
      </w:pPr>
      <w:r>
        <w:rPr>
          <w:rStyle w:val="FootnoteReference"/>
        </w:rPr>
        <w:footnoteRef/>
      </w:r>
      <w:r>
        <w:tab/>
        <w:t>7348/1/17 REV 1.</w:t>
      </w:r>
    </w:p>
  </w:footnote>
  <w:footnote w:id="8">
    <w:p>
      <w:pPr>
        <w:pStyle w:val="FootnoteText"/>
      </w:pPr>
      <w:r>
        <w:rPr>
          <w:rStyle w:val="FootnoteReference"/>
        </w:rPr>
        <w:footnoteRef/>
      </w:r>
      <w:r>
        <w:tab/>
        <w:t>Europa-Parlamentets og Rådets forordning (EU) nr. 1380/2013 om den fælles fiskeripolitik, ændring af Rådets forordning (EF) nr. 1954/2003 og (EF) nr. 1224/2009 og ophævelse af Rådets forordning (EF) nr. 2371/2002 og (EF) nr. 639/2004 samt Rådets afgørelse 2004/585/EF (EUT L 354 af 28.12.2013, s. 22).</w:t>
      </w:r>
    </w:p>
  </w:footnote>
  <w:footnote w:id="9">
    <w:p>
      <w:pPr>
        <w:pStyle w:val="FootnoteText"/>
      </w:pPr>
      <w:r>
        <w:rPr>
          <w:rStyle w:val="FootnoteReference"/>
        </w:rPr>
        <w:footnoteRef/>
      </w:r>
      <w:r>
        <w:tab/>
        <w:t>Rådets afgørelse af 13. maj 2013 om bemyndigelse af Kommissionen til på Den Europæiske Unions vegne at indlede forhandlinger om ændringer til den internationale konvention om bevarelse af tunfiskebestanden i Atlanterhavet (ICCAT-konventionen).</w:t>
      </w:r>
    </w:p>
  </w:footnote>
  <w:footnote w:id="10">
    <w:p>
      <w:pPr>
        <w:pStyle w:val="FootnoteText"/>
      </w:pPr>
      <w:r>
        <w:rPr>
          <w:rStyle w:val="FootnoteReference"/>
        </w:rPr>
        <w:footnoteRef/>
      </w:r>
      <w:r>
        <w:tab/>
        <w:t>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w:t>
      </w:r>
    </w:p>
  </w:footnote>
  <w:footnote w:id="11">
    <w:p>
      <w:pPr>
        <w:pStyle w:val="FootnoteText"/>
      </w:pPr>
      <w:r>
        <w:rPr>
          <w:rStyle w:val="FootnoteReference"/>
        </w:rPr>
        <w:footnoteRef/>
      </w:r>
      <w:r>
        <w:tab/>
        <w:t>JOIN(2016) 49 final af 10.11.2016.</w:t>
      </w:r>
    </w:p>
  </w:footnote>
  <w:footnote w:id="12">
    <w:p>
      <w:pPr>
        <w:pStyle w:val="FootnoteText"/>
      </w:pPr>
      <w:r>
        <w:rPr>
          <w:rStyle w:val="FootnoteReference"/>
        </w:rPr>
        <w:footnoteRef/>
      </w:r>
      <w:r>
        <w:tab/>
        <w:t>7348/1/17 REV 1 af 24.3.2017.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6:00: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7C3228B-B8A8-48AB-9B35-F1E3A76ED04B"/>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23"/>
    <w:docVar w:name="LW_REF.II.NEW.CP_YEAR" w:val="2019"/>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undertegnelse på Den Europæiske Unions vegne og om midlertidig anvendelse af protokollen om ændring af den internationale konvention om bevarelse af tunfiskebestanden i Atlanterhavet"/>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721">
      <w:bodyDiv w:val="1"/>
      <w:marLeft w:val="0"/>
      <w:marRight w:val="0"/>
      <w:marTop w:val="0"/>
      <w:marBottom w:val="0"/>
      <w:divBdr>
        <w:top w:val="none" w:sz="0" w:space="0" w:color="auto"/>
        <w:left w:val="none" w:sz="0" w:space="0" w:color="auto"/>
        <w:bottom w:val="none" w:sz="0" w:space="0" w:color="auto"/>
        <w:right w:val="none" w:sz="0" w:space="0" w:color="auto"/>
      </w:divBdr>
      <w:divsChild>
        <w:div w:id="355431119">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62722805">
          <w:marLeft w:val="0"/>
          <w:marRight w:val="0"/>
          <w:marTop w:val="0"/>
          <w:marBottom w:val="0"/>
          <w:divBdr>
            <w:top w:val="none" w:sz="0" w:space="0" w:color="auto"/>
            <w:left w:val="none" w:sz="0" w:space="0" w:color="auto"/>
            <w:bottom w:val="none" w:sz="0" w:space="0" w:color="auto"/>
            <w:right w:val="none" w:sz="0" w:space="0" w:color="auto"/>
          </w:divBdr>
        </w:div>
        <w:div w:id="1305770927">
          <w:marLeft w:val="0"/>
          <w:marRight w:val="0"/>
          <w:marTop w:val="0"/>
          <w:marBottom w:val="0"/>
          <w:divBdr>
            <w:top w:val="none" w:sz="0" w:space="0" w:color="auto"/>
            <w:left w:val="none" w:sz="0" w:space="0" w:color="auto"/>
            <w:bottom w:val="none" w:sz="0" w:space="0" w:color="auto"/>
            <w:right w:val="none" w:sz="0" w:space="0" w:color="auto"/>
          </w:divBdr>
        </w:div>
        <w:div w:id="217018392">
          <w:marLeft w:val="0"/>
          <w:marRight w:val="0"/>
          <w:marTop w:val="0"/>
          <w:marBottom w:val="0"/>
          <w:divBdr>
            <w:top w:val="none" w:sz="0" w:space="0" w:color="auto"/>
            <w:left w:val="none" w:sz="0" w:space="0" w:color="auto"/>
            <w:bottom w:val="none" w:sz="0" w:space="0" w:color="auto"/>
            <w:right w:val="none" w:sz="0" w:space="0" w:color="auto"/>
          </w:divBdr>
        </w:div>
        <w:div w:id="1999991566">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861283573">
          <w:marLeft w:val="0"/>
          <w:marRight w:val="0"/>
          <w:marTop w:val="0"/>
          <w:marBottom w:val="0"/>
          <w:divBdr>
            <w:top w:val="none" w:sz="0" w:space="0" w:color="auto"/>
            <w:left w:val="none" w:sz="0" w:space="0" w:color="auto"/>
            <w:bottom w:val="none" w:sz="0" w:space="0" w:color="auto"/>
            <w:right w:val="none" w:sz="0" w:space="0" w:color="auto"/>
          </w:divBdr>
        </w:div>
        <w:div w:id="1461805374">
          <w:marLeft w:val="0"/>
          <w:marRight w:val="0"/>
          <w:marTop w:val="0"/>
          <w:marBottom w:val="0"/>
          <w:divBdr>
            <w:top w:val="none" w:sz="0" w:space="0" w:color="auto"/>
            <w:left w:val="none" w:sz="0" w:space="0" w:color="auto"/>
            <w:bottom w:val="none" w:sz="0" w:space="0" w:color="auto"/>
            <w:right w:val="none" w:sz="0" w:space="0" w:color="auto"/>
          </w:divBdr>
        </w:div>
        <w:div w:id="784269893">
          <w:marLeft w:val="0"/>
          <w:marRight w:val="0"/>
          <w:marTop w:val="0"/>
          <w:marBottom w:val="0"/>
          <w:divBdr>
            <w:top w:val="none" w:sz="0" w:space="0" w:color="auto"/>
            <w:left w:val="none" w:sz="0" w:space="0" w:color="auto"/>
            <w:bottom w:val="none" w:sz="0" w:space="0" w:color="auto"/>
            <w:right w:val="none" w:sz="0" w:space="0" w:color="auto"/>
          </w:divBdr>
        </w:div>
        <w:div w:id="488639541">
          <w:marLeft w:val="0"/>
          <w:marRight w:val="0"/>
          <w:marTop w:val="0"/>
          <w:marBottom w:val="0"/>
          <w:divBdr>
            <w:top w:val="none" w:sz="0" w:space="0" w:color="auto"/>
            <w:left w:val="none" w:sz="0" w:space="0" w:color="auto"/>
            <w:bottom w:val="none" w:sz="0" w:space="0" w:color="auto"/>
            <w:right w:val="none" w:sz="0" w:space="0" w:color="auto"/>
          </w:divBdr>
        </w:div>
        <w:div w:id="1395471490">
          <w:marLeft w:val="0"/>
          <w:marRight w:val="0"/>
          <w:marTop w:val="0"/>
          <w:marBottom w:val="0"/>
          <w:divBdr>
            <w:top w:val="none" w:sz="0" w:space="0" w:color="auto"/>
            <w:left w:val="none" w:sz="0" w:space="0" w:color="auto"/>
            <w:bottom w:val="none" w:sz="0" w:space="0" w:color="auto"/>
            <w:right w:val="none" w:sz="0" w:space="0" w:color="auto"/>
          </w:divBdr>
        </w:div>
      </w:divsChild>
    </w:div>
    <w:div w:id="149249283">
      <w:bodyDiv w:val="1"/>
      <w:marLeft w:val="0"/>
      <w:marRight w:val="0"/>
      <w:marTop w:val="0"/>
      <w:marBottom w:val="0"/>
      <w:divBdr>
        <w:top w:val="none" w:sz="0" w:space="0" w:color="auto"/>
        <w:left w:val="none" w:sz="0" w:space="0" w:color="auto"/>
        <w:bottom w:val="none" w:sz="0" w:space="0" w:color="auto"/>
        <w:right w:val="none" w:sz="0" w:space="0" w:color="auto"/>
      </w:divBdr>
      <w:divsChild>
        <w:div w:id="992489707">
          <w:marLeft w:val="0"/>
          <w:marRight w:val="0"/>
          <w:marTop w:val="0"/>
          <w:marBottom w:val="0"/>
          <w:divBdr>
            <w:top w:val="none" w:sz="0" w:space="0" w:color="auto"/>
            <w:left w:val="none" w:sz="0" w:space="0" w:color="auto"/>
            <w:bottom w:val="none" w:sz="0" w:space="0" w:color="auto"/>
            <w:right w:val="none" w:sz="0" w:space="0" w:color="auto"/>
          </w:divBdr>
        </w:div>
        <w:div w:id="957874661">
          <w:marLeft w:val="0"/>
          <w:marRight w:val="0"/>
          <w:marTop w:val="0"/>
          <w:marBottom w:val="0"/>
          <w:divBdr>
            <w:top w:val="none" w:sz="0" w:space="0" w:color="auto"/>
            <w:left w:val="none" w:sz="0" w:space="0" w:color="auto"/>
            <w:bottom w:val="none" w:sz="0" w:space="0" w:color="auto"/>
            <w:right w:val="none" w:sz="0" w:space="0" w:color="auto"/>
          </w:divBdr>
        </w:div>
        <w:div w:id="607350161">
          <w:marLeft w:val="0"/>
          <w:marRight w:val="0"/>
          <w:marTop w:val="0"/>
          <w:marBottom w:val="0"/>
          <w:divBdr>
            <w:top w:val="none" w:sz="0" w:space="0" w:color="auto"/>
            <w:left w:val="none" w:sz="0" w:space="0" w:color="auto"/>
            <w:bottom w:val="none" w:sz="0" w:space="0" w:color="auto"/>
            <w:right w:val="none" w:sz="0" w:space="0" w:color="auto"/>
          </w:divBdr>
        </w:div>
      </w:divsChild>
    </w:div>
    <w:div w:id="430050620">
      <w:bodyDiv w:val="1"/>
      <w:marLeft w:val="0"/>
      <w:marRight w:val="0"/>
      <w:marTop w:val="0"/>
      <w:marBottom w:val="0"/>
      <w:divBdr>
        <w:top w:val="none" w:sz="0" w:space="0" w:color="auto"/>
        <w:left w:val="none" w:sz="0" w:space="0" w:color="auto"/>
        <w:bottom w:val="none" w:sz="0" w:space="0" w:color="auto"/>
        <w:right w:val="none" w:sz="0" w:space="0" w:color="auto"/>
      </w:divBdr>
      <w:divsChild>
        <w:div w:id="1612317131">
          <w:marLeft w:val="0"/>
          <w:marRight w:val="0"/>
          <w:marTop w:val="0"/>
          <w:marBottom w:val="0"/>
          <w:divBdr>
            <w:top w:val="none" w:sz="0" w:space="0" w:color="auto"/>
            <w:left w:val="none" w:sz="0" w:space="0" w:color="auto"/>
            <w:bottom w:val="none" w:sz="0" w:space="0" w:color="auto"/>
            <w:right w:val="none" w:sz="0" w:space="0" w:color="auto"/>
          </w:divBdr>
        </w:div>
        <w:div w:id="1567908737">
          <w:marLeft w:val="0"/>
          <w:marRight w:val="0"/>
          <w:marTop w:val="0"/>
          <w:marBottom w:val="0"/>
          <w:divBdr>
            <w:top w:val="none" w:sz="0" w:space="0" w:color="auto"/>
            <w:left w:val="none" w:sz="0" w:space="0" w:color="auto"/>
            <w:bottom w:val="none" w:sz="0" w:space="0" w:color="auto"/>
            <w:right w:val="none" w:sz="0" w:space="0" w:color="auto"/>
          </w:divBdr>
        </w:div>
        <w:div w:id="1845899598">
          <w:marLeft w:val="0"/>
          <w:marRight w:val="0"/>
          <w:marTop w:val="0"/>
          <w:marBottom w:val="0"/>
          <w:divBdr>
            <w:top w:val="none" w:sz="0" w:space="0" w:color="auto"/>
            <w:left w:val="none" w:sz="0" w:space="0" w:color="auto"/>
            <w:bottom w:val="none" w:sz="0" w:space="0" w:color="auto"/>
            <w:right w:val="none" w:sz="0" w:space="0" w:color="auto"/>
          </w:divBdr>
        </w:div>
        <w:div w:id="369644660">
          <w:marLeft w:val="0"/>
          <w:marRight w:val="0"/>
          <w:marTop w:val="0"/>
          <w:marBottom w:val="0"/>
          <w:divBdr>
            <w:top w:val="none" w:sz="0" w:space="0" w:color="auto"/>
            <w:left w:val="none" w:sz="0" w:space="0" w:color="auto"/>
            <w:bottom w:val="none" w:sz="0" w:space="0" w:color="auto"/>
            <w:right w:val="none" w:sz="0" w:space="0" w:color="auto"/>
          </w:divBdr>
        </w:div>
        <w:div w:id="23749061">
          <w:marLeft w:val="0"/>
          <w:marRight w:val="0"/>
          <w:marTop w:val="0"/>
          <w:marBottom w:val="0"/>
          <w:divBdr>
            <w:top w:val="none" w:sz="0" w:space="0" w:color="auto"/>
            <w:left w:val="none" w:sz="0" w:space="0" w:color="auto"/>
            <w:bottom w:val="none" w:sz="0" w:space="0" w:color="auto"/>
            <w:right w:val="none" w:sz="0" w:space="0" w:color="auto"/>
          </w:divBdr>
        </w:div>
        <w:div w:id="1993175419">
          <w:marLeft w:val="0"/>
          <w:marRight w:val="0"/>
          <w:marTop w:val="0"/>
          <w:marBottom w:val="0"/>
          <w:divBdr>
            <w:top w:val="none" w:sz="0" w:space="0" w:color="auto"/>
            <w:left w:val="none" w:sz="0" w:space="0" w:color="auto"/>
            <w:bottom w:val="none" w:sz="0" w:space="0" w:color="auto"/>
            <w:right w:val="none" w:sz="0" w:space="0" w:color="auto"/>
          </w:divBdr>
        </w:div>
        <w:div w:id="888759268">
          <w:marLeft w:val="0"/>
          <w:marRight w:val="0"/>
          <w:marTop w:val="0"/>
          <w:marBottom w:val="0"/>
          <w:divBdr>
            <w:top w:val="none" w:sz="0" w:space="0" w:color="auto"/>
            <w:left w:val="none" w:sz="0" w:space="0" w:color="auto"/>
            <w:bottom w:val="none" w:sz="0" w:space="0" w:color="auto"/>
            <w:right w:val="none" w:sz="0" w:space="0" w:color="auto"/>
          </w:divBdr>
        </w:div>
        <w:div w:id="1192763818">
          <w:marLeft w:val="0"/>
          <w:marRight w:val="0"/>
          <w:marTop w:val="0"/>
          <w:marBottom w:val="0"/>
          <w:divBdr>
            <w:top w:val="none" w:sz="0" w:space="0" w:color="auto"/>
            <w:left w:val="none" w:sz="0" w:space="0" w:color="auto"/>
            <w:bottom w:val="none" w:sz="0" w:space="0" w:color="auto"/>
            <w:right w:val="none" w:sz="0" w:space="0" w:color="auto"/>
          </w:divBdr>
        </w:div>
        <w:div w:id="421146895">
          <w:marLeft w:val="0"/>
          <w:marRight w:val="0"/>
          <w:marTop w:val="0"/>
          <w:marBottom w:val="0"/>
          <w:divBdr>
            <w:top w:val="none" w:sz="0" w:space="0" w:color="auto"/>
            <w:left w:val="none" w:sz="0" w:space="0" w:color="auto"/>
            <w:bottom w:val="none" w:sz="0" w:space="0" w:color="auto"/>
            <w:right w:val="none" w:sz="0" w:space="0" w:color="auto"/>
          </w:divBdr>
        </w:div>
        <w:div w:id="865098418">
          <w:marLeft w:val="0"/>
          <w:marRight w:val="0"/>
          <w:marTop w:val="0"/>
          <w:marBottom w:val="0"/>
          <w:divBdr>
            <w:top w:val="none" w:sz="0" w:space="0" w:color="auto"/>
            <w:left w:val="none" w:sz="0" w:space="0" w:color="auto"/>
            <w:bottom w:val="none" w:sz="0" w:space="0" w:color="auto"/>
            <w:right w:val="none" w:sz="0" w:space="0" w:color="auto"/>
          </w:divBdr>
        </w:div>
        <w:div w:id="42340219">
          <w:marLeft w:val="0"/>
          <w:marRight w:val="0"/>
          <w:marTop w:val="0"/>
          <w:marBottom w:val="0"/>
          <w:divBdr>
            <w:top w:val="none" w:sz="0" w:space="0" w:color="auto"/>
            <w:left w:val="none" w:sz="0" w:space="0" w:color="auto"/>
            <w:bottom w:val="none" w:sz="0" w:space="0" w:color="auto"/>
            <w:right w:val="none" w:sz="0" w:space="0" w:color="auto"/>
          </w:divBdr>
        </w:div>
        <w:div w:id="1880314007">
          <w:marLeft w:val="0"/>
          <w:marRight w:val="0"/>
          <w:marTop w:val="0"/>
          <w:marBottom w:val="0"/>
          <w:divBdr>
            <w:top w:val="none" w:sz="0" w:space="0" w:color="auto"/>
            <w:left w:val="none" w:sz="0" w:space="0" w:color="auto"/>
            <w:bottom w:val="none" w:sz="0" w:space="0" w:color="auto"/>
            <w:right w:val="none" w:sz="0" w:space="0" w:color="auto"/>
          </w:divBdr>
        </w:div>
        <w:div w:id="1447390325">
          <w:marLeft w:val="0"/>
          <w:marRight w:val="0"/>
          <w:marTop w:val="0"/>
          <w:marBottom w:val="0"/>
          <w:divBdr>
            <w:top w:val="none" w:sz="0" w:space="0" w:color="auto"/>
            <w:left w:val="none" w:sz="0" w:space="0" w:color="auto"/>
            <w:bottom w:val="none" w:sz="0" w:space="0" w:color="auto"/>
            <w:right w:val="none" w:sz="0" w:space="0" w:color="auto"/>
          </w:divBdr>
        </w:div>
        <w:div w:id="1817069863">
          <w:marLeft w:val="0"/>
          <w:marRight w:val="0"/>
          <w:marTop w:val="0"/>
          <w:marBottom w:val="0"/>
          <w:divBdr>
            <w:top w:val="none" w:sz="0" w:space="0" w:color="auto"/>
            <w:left w:val="none" w:sz="0" w:space="0" w:color="auto"/>
            <w:bottom w:val="none" w:sz="0" w:space="0" w:color="auto"/>
            <w:right w:val="none" w:sz="0" w:space="0" w:color="auto"/>
          </w:divBdr>
        </w:div>
        <w:div w:id="33963449">
          <w:marLeft w:val="0"/>
          <w:marRight w:val="0"/>
          <w:marTop w:val="0"/>
          <w:marBottom w:val="0"/>
          <w:divBdr>
            <w:top w:val="none" w:sz="0" w:space="0" w:color="auto"/>
            <w:left w:val="none" w:sz="0" w:space="0" w:color="auto"/>
            <w:bottom w:val="none" w:sz="0" w:space="0" w:color="auto"/>
            <w:right w:val="none" w:sz="0" w:space="0" w:color="auto"/>
          </w:divBdr>
        </w:div>
        <w:div w:id="1781293463">
          <w:marLeft w:val="0"/>
          <w:marRight w:val="0"/>
          <w:marTop w:val="0"/>
          <w:marBottom w:val="0"/>
          <w:divBdr>
            <w:top w:val="none" w:sz="0" w:space="0" w:color="auto"/>
            <w:left w:val="none" w:sz="0" w:space="0" w:color="auto"/>
            <w:bottom w:val="none" w:sz="0" w:space="0" w:color="auto"/>
            <w:right w:val="none" w:sz="0" w:space="0" w:color="auto"/>
          </w:divBdr>
        </w:div>
        <w:div w:id="1971354863">
          <w:marLeft w:val="0"/>
          <w:marRight w:val="0"/>
          <w:marTop w:val="0"/>
          <w:marBottom w:val="0"/>
          <w:divBdr>
            <w:top w:val="none" w:sz="0" w:space="0" w:color="auto"/>
            <w:left w:val="none" w:sz="0" w:space="0" w:color="auto"/>
            <w:bottom w:val="none" w:sz="0" w:space="0" w:color="auto"/>
            <w:right w:val="none" w:sz="0" w:space="0" w:color="auto"/>
          </w:divBdr>
        </w:div>
        <w:div w:id="49691422">
          <w:marLeft w:val="0"/>
          <w:marRight w:val="0"/>
          <w:marTop w:val="0"/>
          <w:marBottom w:val="0"/>
          <w:divBdr>
            <w:top w:val="none" w:sz="0" w:space="0" w:color="auto"/>
            <w:left w:val="none" w:sz="0" w:space="0" w:color="auto"/>
            <w:bottom w:val="none" w:sz="0" w:space="0" w:color="auto"/>
            <w:right w:val="none" w:sz="0" w:space="0" w:color="auto"/>
          </w:divBdr>
        </w:div>
        <w:div w:id="373500908">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573006990">
          <w:marLeft w:val="0"/>
          <w:marRight w:val="0"/>
          <w:marTop w:val="0"/>
          <w:marBottom w:val="0"/>
          <w:divBdr>
            <w:top w:val="none" w:sz="0" w:space="0" w:color="auto"/>
            <w:left w:val="none" w:sz="0" w:space="0" w:color="auto"/>
            <w:bottom w:val="none" w:sz="0" w:space="0" w:color="auto"/>
            <w:right w:val="none" w:sz="0" w:space="0" w:color="auto"/>
          </w:divBdr>
        </w:div>
      </w:divsChild>
    </w:div>
    <w:div w:id="820929226">
      <w:bodyDiv w:val="1"/>
      <w:marLeft w:val="0"/>
      <w:marRight w:val="0"/>
      <w:marTop w:val="0"/>
      <w:marBottom w:val="0"/>
      <w:divBdr>
        <w:top w:val="none" w:sz="0" w:space="0" w:color="auto"/>
        <w:left w:val="none" w:sz="0" w:space="0" w:color="auto"/>
        <w:bottom w:val="none" w:sz="0" w:space="0" w:color="auto"/>
        <w:right w:val="none" w:sz="0" w:space="0" w:color="auto"/>
      </w:divBdr>
      <w:divsChild>
        <w:div w:id="436410381">
          <w:marLeft w:val="0"/>
          <w:marRight w:val="0"/>
          <w:marTop w:val="0"/>
          <w:marBottom w:val="0"/>
          <w:divBdr>
            <w:top w:val="none" w:sz="0" w:space="0" w:color="auto"/>
            <w:left w:val="none" w:sz="0" w:space="0" w:color="auto"/>
            <w:bottom w:val="none" w:sz="0" w:space="0" w:color="auto"/>
            <w:right w:val="none" w:sz="0" w:space="0" w:color="auto"/>
          </w:divBdr>
        </w:div>
        <w:div w:id="1239096386">
          <w:marLeft w:val="0"/>
          <w:marRight w:val="0"/>
          <w:marTop w:val="0"/>
          <w:marBottom w:val="0"/>
          <w:divBdr>
            <w:top w:val="none" w:sz="0" w:space="0" w:color="auto"/>
            <w:left w:val="none" w:sz="0" w:space="0" w:color="auto"/>
            <w:bottom w:val="none" w:sz="0" w:space="0" w:color="auto"/>
            <w:right w:val="none" w:sz="0" w:space="0" w:color="auto"/>
          </w:divBdr>
        </w:div>
      </w:divsChild>
    </w:div>
    <w:div w:id="855848601">
      <w:bodyDiv w:val="1"/>
      <w:marLeft w:val="0"/>
      <w:marRight w:val="0"/>
      <w:marTop w:val="0"/>
      <w:marBottom w:val="0"/>
      <w:divBdr>
        <w:top w:val="none" w:sz="0" w:space="0" w:color="auto"/>
        <w:left w:val="none" w:sz="0" w:space="0" w:color="auto"/>
        <w:bottom w:val="none" w:sz="0" w:space="0" w:color="auto"/>
        <w:right w:val="none" w:sz="0" w:space="0" w:color="auto"/>
      </w:divBdr>
      <w:divsChild>
        <w:div w:id="753166962">
          <w:marLeft w:val="0"/>
          <w:marRight w:val="0"/>
          <w:marTop w:val="0"/>
          <w:marBottom w:val="0"/>
          <w:divBdr>
            <w:top w:val="none" w:sz="0" w:space="0" w:color="auto"/>
            <w:left w:val="none" w:sz="0" w:space="0" w:color="auto"/>
            <w:bottom w:val="none" w:sz="0" w:space="0" w:color="auto"/>
            <w:right w:val="none" w:sz="0" w:space="0" w:color="auto"/>
          </w:divBdr>
        </w:div>
        <w:div w:id="742484477">
          <w:marLeft w:val="0"/>
          <w:marRight w:val="0"/>
          <w:marTop w:val="0"/>
          <w:marBottom w:val="0"/>
          <w:divBdr>
            <w:top w:val="none" w:sz="0" w:space="0" w:color="auto"/>
            <w:left w:val="none" w:sz="0" w:space="0" w:color="auto"/>
            <w:bottom w:val="none" w:sz="0" w:space="0" w:color="auto"/>
            <w:right w:val="none" w:sz="0" w:space="0" w:color="auto"/>
          </w:divBdr>
        </w:div>
      </w:divsChild>
    </w:div>
    <w:div w:id="1283266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947">
          <w:marLeft w:val="0"/>
          <w:marRight w:val="0"/>
          <w:marTop w:val="0"/>
          <w:marBottom w:val="0"/>
          <w:divBdr>
            <w:top w:val="none" w:sz="0" w:space="0" w:color="auto"/>
            <w:left w:val="none" w:sz="0" w:space="0" w:color="auto"/>
            <w:bottom w:val="none" w:sz="0" w:space="0" w:color="auto"/>
            <w:right w:val="none" w:sz="0" w:space="0" w:color="auto"/>
          </w:divBdr>
        </w:div>
        <w:div w:id="160505358">
          <w:marLeft w:val="0"/>
          <w:marRight w:val="0"/>
          <w:marTop w:val="0"/>
          <w:marBottom w:val="0"/>
          <w:divBdr>
            <w:top w:val="none" w:sz="0" w:space="0" w:color="auto"/>
            <w:left w:val="none" w:sz="0" w:space="0" w:color="auto"/>
            <w:bottom w:val="none" w:sz="0" w:space="0" w:color="auto"/>
            <w:right w:val="none" w:sz="0" w:space="0" w:color="auto"/>
          </w:divBdr>
        </w:div>
        <w:div w:id="274602328">
          <w:marLeft w:val="0"/>
          <w:marRight w:val="0"/>
          <w:marTop w:val="0"/>
          <w:marBottom w:val="0"/>
          <w:divBdr>
            <w:top w:val="none" w:sz="0" w:space="0" w:color="auto"/>
            <w:left w:val="none" w:sz="0" w:space="0" w:color="auto"/>
            <w:bottom w:val="none" w:sz="0" w:space="0" w:color="auto"/>
            <w:right w:val="none" w:sz="0" w:space="0" w:color="auto"/>
          </w:divBdr>
        </w:div>
      </w:divsChild>
    </w:div>
    <w:div w:id="1449356487">
      <w:bodyDiv w:val="1"/>
      <w:marLeft w:val="0"/>
      <w:marRight w:val="0"/>
      <w:marTop w:val="0"/>
      <w:marBottom w:val="0"/>
      <w:divBdr>
        <w:top w:val="none" w:sz="0" w:space="0" w:color="auto"/>
        <w:left w:val="none" w:sz="0" w:space="0" w:color="auto"/>
        <w:bottom w:val="none" w:sz="0" w:space="0" w:color="auto"/>
        <w:right w:val="none" w:sz="0" w:space="0" w:color="auto"/>
      </w:divBdr>
      <w:divsChild>
        <w:div w:id="674918157">
          <w:marLeft w:val="0"/>
          <w:marRight w:val="0"/>
          <w:marTop w:val="0"/>
          <w:marBottom w:val="0"/>
          <w:divBdr>
            <w:top w:val="none" w:sz="0" w:space="0" w:color="auto"/>
            <w:left w:val="none" w:sz="0" w:space="0" w:color="auto"/>
            <w:bottom w:val="none" w:sz="0" w:space="0" w:color="auto"/>
            <w:right w:val="none" w:sz="0" w:space="0" w:color="auto"/>
          </w:divBdr>
        </w:div>
        <w:div w:id="1835030161">
          <w:marLeft w:val="0"/>
          <w:marRight w:val="0"/>
          <w:marTop w:val="0"/>
          <w:marBottom w:val="0"/>
          <w:divBdr>
            <w:top w:val="none" w:sz="0" w:space="0" w:color="auto"/>
            <w:left w:val="none" w:sz="0" w:space="0" w:color="auto"/>
            <w:bottom w:val="none" w:sz="0" w:space="0" w:color="auto"/>
            <w:right w:val="none" w:sz="0" w:space="0" w:color="auto"/>
          </w:divBdr>
        </w:div>
        <w:div w:id="613445890">
          <w:marLeft w:val="0"/>
          <w:marRight w:val="0"/>
          <w:marTop w:val="0"/>
          <w:marBottom w:val="0"/>
          <w:divBdr>
            <w:top w:val="none" w:sz="0" w:space="0" w:color="auto"/>
            <w:left w:val="none" w:sz="0" w:space="0" w:color="auto"/>
            <w:bottom w:val="none" w:sz="0" w:space="0" w:color="auto"/>
            <w:right w:val="none" w:sz="0" w:space="0" w:color="auto"/>
          </w:divBdr>
        </w:div>
        <w:div w:id="2132549850">
          <w:marLeft w:val="0"/>
          <w:marRight w:val="0"/>
          <w:marTop w:val="0"/>
          <w:marBottom w:val="0"/>
          <w:divBdr>
            <w:top w:val="none" w:sz="0" w:space="0" w:color="auto"/>
            <w:left w:val="none" w:sz="0" w:space="0" w:color="auto"/>
            <w:bottom w:val="none" w:sz="0" w:space="0" w:color="auto"/>
            <w:right w:val="none" w:sz="0" w:space="0" w:color="auto"/>
          </w:divBdr>
        </w:div>
        <w:div w:id="1501505778">
          <w:marLeft w:val="0"/>
          <w:marRight w:val="0"/>
          <w:marTop w:val="0"/>
          <w:marBottom w:val="0"/>
          <w:divBdr>
            <w:top w:val="none" w:sz="0" w:space="0" w:color="auto"/>
            <w:left w:val="none" w:sz="0" w:space="0" w:color="auto"/>
            <w:bottom w:val="none" w:sz="0" w:space="0" w:color="auto"/>
            <w:right w:val="none" w:sz="0" w:space="0" w:color="auto"/>
          </w:divBdr>
        </w:div>
      </w:divsChild>
    </w:div>
    <w:div w:id="1878659805">
      <w:bodyDiv w:val="1"/>
      <w:marLeft w:val="0"/>
      <w:marRight w:val="0"/>
      <w:marTop w:val="0"/>
      <w:marBottom w:val="0"/>
      <w:divBdr>
        <w:top w:val="none" w:sz="0" w:space="0" w:color="auto"/>
        <w:left w:val="none" w:sz="0" w:space="0" w:color="auto"/>
        <w:bottom w:val="none" w:sz="0" w:space="0" w:color="auto"/>
        <w:right w:val="none" w:sz="0" w:space="0" w:color="auto"/>
      </w:divBdr>
      <w:divsChild>
        <w:div w:id="1151478988">
          <w:marLeft w:val="0"/>
          <w:marRight w:val="0"/>
          <w:marTop w:val="0"/>
          <w:marBottom w:val="0"/>
          <w:divBdr>
            <w:top w:val="none" w:sz="0" w:space="0" w:color="auto"/>
            <w:left w:val="none" w:sz="0" w:space="0" w:color="auto"/>
            <w:bottom w:val="none" w:sz="0" w:space="0" w:color="auto"/>
            <w:right w:val="none" w:sz="0" w:space="0" w:color="auto"/>
          </w:divBdr>
        </w:div>
        <w:div w:id="619144393">
          <w:marLeft w:val="0"/>
          <w:marRight w:val="0"/>
          <w:marTop w:val="0"/>
          <w:marBottom w:val="0"/>
          <w:divBdr>
            <w:top w:val="none" w:sz="0" w:space="0" w:color="auto"/>
            <w:left w:val="none" w:sz="0" w:space="0" w:color="auto"/>
            <w:bottom w:val="none" w:sz="0" w:space="0" w:color="auto"/>
            <w:right w:val="none" w:sz="0" w:space="0" w:color="auto"/>
          </w:divBdr>
        </w:div>
        <w:div w:id="156389997">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738630665">
          <w:marLeft w:val="0"/>
          <w:marRight w:val="0"/>
          <w:marTop w:val="0"/>
          <w:marBottom w:val="0"/>
          <w:divBdr>
            <w:top w:val="none" w:sz="0" w:space="0" w:color="auto"/>
            <w:left w:val="none" w:sz="0" w:space="0" w:color="auto"/>
            <w:bottom w:val="none" w:sz="0" w:space="0" w:color="auto"/>
            <w:right w:val="none" w:sz="0" w:space="0" w:color="auto"/>
          </w:divBdr>
        </w:div>
        <w:div w:id="454452191">
          <w:marLeft w:val="0"/>
          <w:marRight w:val="0"/>
          <w:marTop w:val="0"/>
          <w:marBottom w:val="0"/>
          <w:divBdr>
            <w:top w:val="none" w:sz="0" w:space="0" w:color="auto"/>
            <w:left w:val="none" w:sz="0" w:space="0" w:color="auto"/>
            <w:bottom w:val="none" w:sz="0" w:space="0" w:color="auto"/>
            <w:right w:val="none" w:sz="0" w:space="0" w:color="auto"/>
          </w:divBdr>
        </w:div>
        <w:div w:id="25180958">
          <w:marLeft w:val="0"/>
          <w:marRight w:val="0"/>
          <w:marTop w:val="0"/>
          <w:marBottom w:val="0"/>
          <w:divBdr>
            <w:top w:val="none" w:sz="0" w:space="0" w:color="auto"/>
            <w:left w:val="none" w:sz="0" w:space="0" w:color="auto"/>
            <w:bottom w:val="none" w:sz="0" w:space="0" w:color="auto"/>
            <w:right w:val="none" w:sz="0" w:space="0" w:color="auto"/>
          </w:divBdr>
        </w:div>
        <w:div w:id="202864402">
          <w:marLeft w:val="0"/>
          <w:marRight w:val="0"/>
          <w:marTop w:val="0"/>
          <w:marBottom w:val="0"/>
          <w:divBdr>
            <w:top w:val="none" w:sz="0" w:space="0" w:color="auto"/>
            <w:left w:val="none" w:sz="0" w:space="0" w:color="auto"/>
            <w:bottom w:val="none" w:sz="0" w:space="0" w:color="auto"/>
            <w:right w:val="none" w:sz="0" w:space="0" w:color="auto"/>
          </w:divBdr>
        </w:div>
        <w:div w:id="284194947">
          <w:marLeft w:val="0"/>
          <w:marRight w:val="0"/>
          <w:marTop w:val="0"/>
          <w:marBottom w:val="0"/>
          <w:divBdr>
            <w:top w:val="none" w:sz="0" w:space="0" w:color="auto"/>
            <w:left w:val="none" w:sz="0" w:space="0" w:color="auto"/>
            <w:bottom w:val="none" w:sz="0" w:space="0" w:color="auto"/>
            <w:right w:val="none" w:sz="0" w:space="0" w:color="auto"/>
          </w:divBdr>
        </w:div>
        <w:div w:id="152235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31EF45-241F-40CB-B768-7BD4F33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1806</Words>
  <Characters>11582</Characters>
  <Application>Microsoft Office Word</Application>
  <DocSecurity>0</DocSecurity>
  <Lines>210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2019-09-23T13:08:00Z</dcterms:created>
  <dcterms:modified xsi:type="dcterms:W3CDTF">2019-10-07T14:00:00Z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